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6D094" w14:textId="77777777" w:rsidR="00B4522B" w:rsidRPr="00B4522B" w:rsidRDefault="00B4522B" w:rsidP="00A65875">
      <w:pPr>
        <w:ind w:left="-567" w:firstLine="567"/>
        <w:outlineLvl w:val="0"/>
        <w:rPr>
          <w:rFonts w:ascii="Times New Roman" w:hAnsi="Times New Roman" w:cs="Times New Roman"/>
          <w:b/>
          <w:color w:val="0070C0"/>
          <w:sz w:val="32"/>
          <w:szCs w:val="32"/>
          <w:lang w:val="uk-UA"/>
        </w:rPr>
      </w:pPr>
      <w:r w:rsidRPr="00B4522B">
        <w:rPr>
          <w:rFonts w:ascii="Times New Roman" w:hAnsi="Times New Roman" w:cs="Times New Roman"/>
          <w:b/>
          <w:color w:val="0070C0"/>
          <w:sz w:val="32"/>
          <w:szCs w:val="32"/>
          <w:lang w:val="uk-UA"/>
        </w:rPr>
        <w:t>Журнал з гепатології</w:t>
      </w:r>
    </w:p>
    <w:p w14:paraId="736809C2" w14:textId="77777777" w:rsidR="0039680E" w:rsidRPr="006C7989" w:rsidRDefault="0039680E"/>
    <w:p w14:paraId="59A36910" w14:textId="77777777" w:rsidR="0002042D" w:rsidRPr="00B4522B" w:rsidRDefault="0002042D" w:rsidP="00C87A95">
      <w:pPr>
        <w:outlineLvl w:val="0"/>
        <w:rPr>
          <w:rFonts w:ascii="Times New Roman" w:hAnsi="Times New Roman" w:cs="Times New Roman"/>
          <w:b/>
          <w:color w:val="0070C0"/>
          <w:sz w:val="32"/>
          <w:szCs w:val="32"/>
          <w:lang w:val="uk-UA"/>
        </w:rPr>
      </w:pPr>
      <w:r w:rsidRPr="00B4522B">
        <w:rPr>
          <w:rFonts w:ascii="Times New Roman" w:hAnsi="Times New Roman" w:cs="Times New Roman"/>
          <w:b/>
          <w:color w:val="0070C0"/>
          <w:sz w:val="32"/>
          <w:szCs w:val="32"/>
        </w:rPr>
        <w:t>Керівництво</w:t>
      </w:r>
      <w:r w:rsidRPr="00B4522B">
        <w:rPr>
          <w:rFonts w:ascii="Times New Roman" w:hAnsi="Times New Roman" w:cs="Times New Roman"/>
          <w:b/>
          <w:color w:val="0070C0"/>
          <w:sz w:val="32"/>
          <w:szCs w:val="32"/>
          <w:lang w:val="uk-UA"/>
        </w:rPr>
        <w:t xml:space="preserve"> з клінічної практики  </w:t>
      </w:r>
    </w:p>
    <w:p w14:paraId="7A6126FC" w14:textId="77777777" w:rsidR="00B97144" w:rsidRDefault="00B97144">
      <w:pPr>
        <w:pBdr>
          <w:bottom w:val="single" w:sz="6" w:space="1" w:color="auto"/>
        </w:pBdr>
        <w:rPr>
          <w:rFonts w:ascii="Times New Roman" w:hAnsi="Times New Roman" w:cs="Times New Roman"/>
          <w:b/>
          <w:sz w:val="32"/>
          <w:szCs w:val="32"/>
          <w:lang w:val="uk-UA"/>
        </w:rPr>
      </w:pPr>
    </w:p>
    <w:p w14:paraId="31B96AAE" w14:textId="50EB35DD" w:rsidR="0002042D" w:rsidRPr="006C7989" w:rsidRDefault="0002042D">
      <w:pPr>
        <w:pBdr>
          <w:bottom w:val="single" w:sz="6" w:space="1" w:color="auto"/>
        </w:pBdr>
        <w:rPr>
          <w:rFonts w:ascii="Times New Roman" w:hAnsi="Times New Roman" w:cs="Times New Roman"/>
          <w:b/>
          <w:sz w:val="32"/>
          <w:szCs w:val="32"/>
          <w:lang w:val="uk-UA"/>
        </w:rPr>
      </w:pPr>
      <w:r w:rsidRPr="006C7989">
        <w:rPr>
          <w:rFonts w:ascii="Times New Roman" w:hAnsi="Times New Roman" w:cs="Times New Roman"/>
          <w:b/>
          <w:sz w:val="32"/>
          <w:szCs w:val="32"/>
          <w:lang w:val="uk-UA"/>
        </w:rPr>
        <w:t>Рекомендації Європейської асоціації з дослідження печінки (</w:t>
      </w:r>
      <w:r w:rsidRPr="0002042D">
        <w:rPr>
          <w:rFonts w:ascii="Times New Roman" w:hAnsi="Times New Roman" w:cs="Times New Roman"/>
          <w:b/>
          <w:sz w:val="32"/>
          <w:szCs w:val="32"/>
          <w:lang w:val="en-US"/>
        </w:rPr>
        <w:t>EASL</w:t>
      </w:r>
      <w:r w:rsidRPr="006C7989">
        <w:rPr>
          <w:rFonts w:ascii="Times New Roman" w:hAnsi="Times New Roman" w:cs="Times New Roman"/>
          <w:b/>
          <w:sz w:val="32"/>
          <w:szCs w:val="32"/>
          <w:lang w:val="uk-UA"/>
        </w:rPr>
        <w:t xml:space="preserve">) </w:t>
      </w:r>
      <w:r w:rsidR="008D4ECC" w:rsidRPr="006C7989">
        <w:rPr>
          <w:rFonts w:ascii="Times New Roman" w:hAnsi="Times New Roman" w:cs="Times New Roman"/>
          <w:b/>
          <w:sz w:val="32"/>
          <w:szCs w:val="32"/>
          <w:lang w:val="uk-UA"/>
        </w:rPr>
        <w:t xml:space="preserve">щодо лікування гепатиту С, </w:t>
      </w:r>
      <w:r w:rsidRPr="006C7989">
        <w:rPr>
          <w:rFonts w:ascii="Times New Roman" w:hAnsi="Times New Roman" w:cs="Times New Roman"/>
          <w:b/>
          <w:sz w:val="32"/>
          <w:szCs w:val="32"/>
          <w:lang w:val="uk-UA"/>
        </w:rPr>
        <w:t>2018</w:t>
      </w:r>
    </w:p>
    <w:p w14:paraId="2E7E95F2" w14:textId="77777777" w:rsidR="00B4522B" w:rsidRPr="006C7989" w:rsidRDefault="00B4522B">
      <w:pPr>
        <w:pBdr>
          <w:bottom w:val="single" w:sz="6" w:space="1" w:color="auto"/>
        </w:pBdr>
        <w:rPr>
          <w:rFonts w:ascii="Times New Roman" w:hAnsi="Times New Roman" w:cs="Times New Roman"/>
          <w:color w:val="00B0F0"/>
          <w:sz w:val="32"/>
          <w:szCs w:val="32"/>
          <w:lang w:val="uk-UA"/>
        </w:rPr>
      </w:pPr>
    </w:p>
    <w:p w14:paraId="7C219D5C" w14:textId="77777777" w:rsidR="00B97144" w:rsidRPr="006C7989" w:rsidRDefault="00B97144" w:rsidP="008D4ECC">
      <w:pPr>
        <w:rPr>
          <w:rFonts w:ascii="Times New Roman" w:hAnsi="Times New Roman" w:cs="Times New Roman"/>
          <w:color w:val="00B0F0"/>
          <w:sz w:val="32"/>
          <w:szCs w:val="32"/>
          <w:lang w:val="uk-UA"/>
        </w:rPr>
      </w:pPr>
    </w:p>
    <w:p w14:paraId="74AE19BE" w14:textId="79133131" w:rsidR="008D4ECC" w:rsidRPr="00B4522B" w:rsidRDefault="008D4ECC" w:rsidP="00C87A95">
      <w:pPr>
        <w:outlineLvl w:val="0"/>
        <w:rPr>
          <w:rFonts w:ascii="Times New Roman" w:hAnsi="Times New Roman" w:cs="Times New Roman"/>
          <w:b/>
          <w:color w:val="0070C0"/>
          <w:sz w:val="28"/>
          <w:szCs w:val="28"/>
          <w:lang w:val="uk-UA"/>
        </w:rPr>
      </w:pPr>
      <w:r w:rsidRPr="006C7989">
        <w:rPr>
          <w:rFonts w:ascii="Times New Roman" w:hAnsi="Times New Roman" w:cs="Times New Roman"/>
          <w:b/>
          <w:color w:val="0070C0"/>
          <w:sz w:val="28"/>
          <w:szCs w:val="28"/>
          <w:lang w:val="uk-UA"/>
        </w:rPr>
        <w:t>Підсумок</w:t>
      </w:r>
    </w:p>
    <w:p w14:paraId="1DA927E3" w14:textId="77777777" w:rsidR="00E45B86" w:rsidRPr="006C7989" w:rsidRDefault="00E45B86" w:rsidP="008D4ECC">
      <w:pPr>
        <w:rPr>
          <w:rFonts w:ascii="Times New Roman" w:hAnsi="Times New Roman" w:cs="Times New Roman"/>
          <w:lang w:val="uk-UA"/>
        </w:rPr>
      </w:pPr>
    </w:p>
    <w:p w14:paraId="561E725A" w14:textId="0C86EAB1" w:rsidR="008D4ECC" w:rsidRPr="006C7989" w:rsidRDefault="00E45B86" w:rsidP="00F53078">
      <w:pPr>
        <w:jc w:val="both"/>
        <w:rPr>
          <w:rFonts w:ascii="Times New Roman" w:hAnsi="Times New Roman" w:cs="Times New Roman"/>
          <w:lang w:val="uk-UA"/>
        </w:rPr>
      </w:pPr>
      <w:r w:rsidRPr="006C7989">
        <w:rPr>
          <w:rFonts w:ascii="Times New Roman" w:hAnsi="Times New Roman" w:cs="Times New Roman"/>
          <w:lang w:val="uk-UA"/>
        </w:rPr>
        <w:t>Вірусний гепатит</w:t>
      </w:r>
      <w:r w:rsidR="008D4ECC" w:rsidRPr="006C7989">
        <w:rPr>
          <w:rFonts w:ascii="Times New Roman" w:hAnsi="Times New Roman" w:cs="Times New Roman"/>
          <w:lang w:val="uk-UA"/>
        </w:rPr>
        <w:t xml:space="preserve"> С (далі</w:t>
      </w:r>
      <w:r w:rsidR="008D7F50">
        <w:rPr>
          <w:rFonts w:ascii="Times New Roman" w:hAnsi="Times New Roman" w:cs="Times New Roman"/>
          <w:lang w:val="uk-UA"/>
        </w:rPr>
        <w:t xml:space="preserve"> –</w:t>
      </w:r>
      <w:r w:rsidR="008D4ECC" w:rsidRPr="006C7989">
        <w:rPr>
          <w:rFonts w:ascii="Times New Roman" w:hAnsi="Times New Roman" w:cs="Times New Roman"/>
          <w:lang w:val="uk-UA"/>
        </w:rPr>
        <w:t xml:space="preserve"> ВГС) є основною причиною хро</w:t>
      </w:r>
      <w:r w:rsidRPr="006C7989">
        <w:rPr>
          <w:rFonts w:ascii="Times New Roman" w:hAnsi="Times New Roman" w:cs="Times New Roman"/>
          <w:lang w:val="uk-UA"/>
        </w:rPr>
        <w:t xml:space="preserve">нічного захворювання печінки </w:t>
      </w:r>
      <w:r w:rsidR="00FC6D8A">
        <w:rPr>
          <w:rFonts w:ascii="Times New Roman" w:hAnsi="Times New Roman" w:cs="Times New Roman"/>
          <w:lang w:val="uk-UA"/>
        </w:rPr>
        <w:t>–</w:t>
      </w:r>
      <w:r w:rsidRPr="006C7989">
        <w:rPr>
          <w:rFonts w:ascii="Times New Roman" w:hAnsi="Times New Roman" w:cs="Times New Roman"/>
          <w:lang w:val="uk-UA"/>
        </w:rPr>
        <w:t xml:space="preserve"> п</w:t>
      </w:r>
      <w:r w:rsidR="008D4ECC" w:rsidRPr="006C7989">
        <w:rPr>
          <w:rFonts w:ascii="Times New Roman" w:hAnsi="Times New Roman" w:cs="Times New Roman"/>
          <w:lang w:val="uk-UA"/>
        </w:rPr>
        <w:t xml:space="preserve">риблизно 71 мільйон людей по всьому світі мають хронічну форму цього захворювання. </w:t>
      </w:r>
      <w:r w:rsidR="008D7F50">
        <w:rPr>
          <w:rFonts w:ascii="Times New Roman" w:hAnsi="Times New Roman" w:cs="Times New Roman"/>
          <w:lang w:val="uk-UA"/>
        </w:rPr>
        <w:t>За останні</w:t>
      </w:r>
      <w:r w:rsidRPr="006C7989">
        <w:rPr>
          <w:rFonts w:ascii="Times New Roman" w:hAnsi="Times New Roman" w:cs="Times New Roman"/>
          <w:lang w:val="uk-UA"/>
        </w:rPr>
        <w:t xml:space="preserve"> </w:t>
      </w:r>
      <w:r w:rsidR="008D7F50">
        <w:rPr>
          <w:rFonts w:ascii="Times New Roman" w:hAnsi="Times New Roman" w:cs="Times New Roman"/>
          <w:lang w:val="uk-UA"/>
        </w:rPr>
        <w:t>роки</w:t>
      </w:r>
      <w:r w:rsidRPr="006C7989">
        <w:rPr>
          <w:rFonts w:ascii="Times New Roman" w:hAnsi="Times New Roman" w:cs="Times New Roman"/>
          <w:lang w:val="uk-UA"/>
        </w:rPr>
        <w:t xml:space="preserve">, </w:t>
      </w:r>
      <w:r w:rsidR="008D4ECC" w:rsidRPr="006C7989">
        <w:rPr>
          <w:rFonts w:ascii="Times New Roman" w:hAnsi="Times New Roman" w:cs="Times New Roman"/>
          <w:lang w:val="uk-UA"/>
        </w:rPr>
        <w:t>лікування пацієнтів із захворюваннями печінки</w:t>
      </w:r>
      <w:r w:rsidR="006C7989">
        <w:rPr>
          <w:rFonts w:ascii="Times New Roman" w:hAnsi="Times New Roman" w:cs="Times New Roman"/>
          <w:lang w:val="uk-UA"/>
        </w:rPr>
        <w:t>,</w:t>
      </w:r>
      <w:r w:rsidR="008D4ECC" w:rsidRPr="006C7989">
        <w:rPr>
          <w:rFonts w:ascii="Times New Roman" w:hAnsi="Times New Roman" w:cs="Times New Roman"/>
          <w:lang w:val="uk-UA"/>
        </w:rPr>
        <w:t xml:space="preserve"> пов’язаними з </w:t>
      </w:r>
      <w:r w:rsidR="006C7989" w:rsidRPr="006C7989">
        <w:rPr>
          <w:rFonts w:ascii="Times New Roman" w:hAnsi="Times New Roman" w:cs="Times New Roman"/>
          <w:lang w:val="uk-UA"/>
        </w:rPr>
        <w:t>ВГС</w:t>
      </w:r>
      <w:r w:rsidR="006C7989">
        <w:rPr>
          <w:rFonts w:ascii="Times New Roman" w:hAnsi="Times New Roman" w:cs="Times New Roman"/>
          <w:lang w:val="uk-UA"/>
        </w:rPr>
        <w:t xml:space="preserve">, </w:t>
      </w:r>
      <w:r w:rsidR="008D4ECC" w:rsidRPr="006C7989">
        <w:rPr>
          <w:rFonts w:ascii="Times New Roman" w:hAnsi="Times New Roman" w:cs="Times New Roman"/>
          <w:lang w:val="uk-UA"/>
        </w:rPr>
        <w:t>значно покращилося завдяки поглибленому розумінн</w:t>
      </w:r>
      <w:r w:rsidRPr="006C7989">
        <w:rPr>
          <w:rFonts w:ascii="Times New Roman" w:hAnsi="Times New Roman" w:cs="Times New Roman"/>
          <w:lang w:val="uk-UA"/>
        </w:rPr>
        <w:t>ю патофізіології захворювання,</w:t>
      </w:r>
      <w:r w:rsidR="008D4ECC" w:rsidRPr="006C7989">
        <w:rPr>
          <w:rFonts w:ascii="Times New Roman" w:hAnsi="Times New Roman" w:cs="Times New Roman"/>
          <w:lang w:val="uk-UA"/>
        </w:rPr>
        <w:t xml:space="preserve"> розвитку діагн</w:t>
      </w:r>
      <w:r w:rsidRPr="006C7989">
        <w:rPr>
          <w:rFonts w:ascii="Times New Roman" w:hAnsi="Times New Roman" w:cs="Times New Roman"/>
          <w:lang w:val="uk-UA"/>
        </w:rPr>
        <w:t xml:space="preserve">остичних процедур та поліпшенню лікування </w:t>
      </w:r>
      <w:r w:rsidR="008D4ECC" w:rsidRPr="006C7989">
        <w:rPr>
          <w:rFonts w:ascii="Times New Roman" w:hAnsi="Times New Roman" w:cs="Times New Roman"/>
          <w:lang w:val="uk-UA"/>
        </w:rPr>
        <w:t>та профілактики</w:t>
      </w:r>
      <w:r w:rsidRPr="006C7989">
        <w:rPr>
          <w:rFonts w:ascii="Times New Roman" w:hAnsi="Times New Roman" w:cs="Times New Roman"/>
          <w:lang w:val="uk-UA"/>
        </w:rPr>
        <w:t xml:space="preserve">. Ці </w:t>
      </w:r>
      <w:r w:rsidR="008D4ECC" w:rsidRPr="006C7989">
        <w:rPr>
          <w:rFonts w:ascii="Times New Roman" w:hAnsi="Times New Roman" w:cs="Times New Roman"/>
          <w:lang w:val="uk-UA"/>
        </w:rPr>
        <w:t xml:space="preserve"> </w:t>
      </w:r>
      <w:r w:rsidRPr="006C7989">
        <w:rPr>
          <w:rFonts w:ascii="Times New Roman" w:hAnsi="Times New Roman" w:cs="Times New Roman"/>
          <w:lang w:val="uk-UA"/>
        </w:rPr>
        <w:t>рекомендації щодо лікування гепатиту С Європейської асоціації з дослідження печінки</w:t>
      </w:r>
      <w:r w:rsidR="008D4ECC" w:rsidRPr="006C7989">
        <w:rPr>
          <w:rFonts w:ascii="Times New Roman" w:hAnsi="Times New Roman" w:cs="Times New Roman"/>
          <w:lang w:val="uk-UA"/>
        </w:rPr>
        <w:t xml:space="preserve"> </w:t>
      </w:r>
      <w:r w:rsidR="00230286" w:rsidRPr="006C7989">
        <w:rPr>
          <w:rFonts w:ascii="Times New Roman" w:hAnsi="Times New Roman" w:cs="Times New Roman"/>
          <w:lang w:val="uk-UA"/>
        </w:rPr>
        <w:t xml:space="preserve">(далі </w:t>
      </w:r>
      <w:r w:rsidR="00F53078">
        <w:rPr>
          <w:rFonts w:ascii="Times New Roman" w:hAnsi="Times New Roman" w:cs="Times New Roman"/>
          <w:lang w:val="uk-UA"/>
        </w:rPr>
        <w:t xml:space="preserve">– </w:t>
      </w:r>
      <w:r w:rsidR="00230286">
        <w:rPr>
          <w:rFonts w:ascii="Times New Roman" w:hAnsi="Times New Roman" w:cs="Times New Roman"/>
          <w:lang w:val="en-US"/>
        </w:rPr>
        <w:t>EASL</w:t>
      </w:r>
      <w:r w:rsidR="00230286" w:rsidRPr="006C7989">
        <w:rPr>
          <w:rFonts w:ascii="Times New Roman" w:hAnsi="Times New Roman" w:cs="Times New Roman"/>
          <w:lang w:val="uk-UA"/>
        </w:rPr>
        <w:t xml:space="preserve">) </w:t>
      </w:r>
      <w:r w:rsidRPr="006C7989">
        <w:rPr>
          <w:rFonts w:ascii="Times New Roman" w:hAnsi="Times New Roman" w:cs="Times New Roman"/>
          <w:lang w:val="uk-UA"/>
        </w:rPr>
        <w:t>описують оптимальну тактику ведення пацієнтів</w:t>
      </w:r>
      <w:r w:rsidR="008D4ECC" w:rsidRPr="006C7989">
        <w:rPr>
          <w:rFonts w:ascii="Times New Roman" w:hAnsi="Times New Roman" w:cs="Times New Roman"/>
          <w:lang w:val="uk-UA"/>
        </w:rPr>
        <w:t xml:space="preserve"> з гострим</w:t>
      </w:r>
      <w:r w:rsidRPr="006C7989">
        <w:rPr>
          <w:rFonts w:ascii="Times New Roman" w:hAnsi="Times New Roman" w:cs="Times New Roman"/>
          <w:lang w:val="uk-UA"/>
        </w:rPr>
        <w:t xml:space="preserve"> та хронічним ВГС починаючи</w:t>
      </w:r>
      <w:r w:rsidR="008D4ECC" w:rsidRPr="006C7989">
        <w:rPr>
          <w:rFonts w:ascii="Times New Roman" w:hAnsi="Times New Roman" w:cs="Times New Roman"/>
          <w:lang w:val="uk-UA"/>
        </w:rPr>
        <w:t xml:space="preserve"> </w:t>
      </w:r>
      <w:r w:rsidRPr="006C7989">
        <w:rPr>
          <w:rFonts w:ascii="Times New Roman" w:hAnsi="Times New Roman" w:cs="Times New Roman"/>
          <w:lang w:val="uk-UA"/>
        </w:rPr>
        <w:t>з 2018 року</w:t>
      </w:r>
      <w:r w:rsidR="008D4ECC" w:rsidRPr="006C7989">
        <w:rPr>
          <w:rFonts w:ascii="Times New Roman" w:hAnsi="Times New Roman" w:cs="Times New Roman"/>
          <w:lang w:val="uk-UA"/>
        </w:rPr>
        <w:t>.</w:t>
      </w:r>
    </w:p>
    <w:p w14:paraId="070C162E" w14:textId="42D062A3" w:rsidR="008D4ECC" w:rsidRPr="006C7989" w:rsidRDefault="008D4ECC" w:rsidP="008D4ECC">
      <w:pPr>
        <w:rPr>
          <w:rFonts w:ascii="Times New Roman" w:hAnsi="Times New Roman" w:cs="Times New Roman"/>
          <w:lang w:val="uk-UA"/>
        </w:rPr>
      </w:pPr>
    </w:p>
    <w:p w14:paraId="43E49FB1" w14:textId="77777777" w:rsidR="00E45B86" w:rsidRPr="006C7989" w:rsidRDefault="00E45B86" w:rsidP="00C87A95">
      <w:pPr>
        <w:outlineLvl w:val="0"/>
        <w:rPr>
          <w:rFonts w:ascii="Times New Roman" w:hAnsi="Times New Roman" w:cs="Times New Roman"/>
          <w:b/>
          <w:color w:val="0070C0"/>
          <w:sz w:val="28"/>
          <w:szCs w:val="28"/>
        </w:rPr>
      </w:pPr>
      <w:r w:rsidRPr="006C7989">
        <w:rPr>
          <w:rFonts w:ascii="Times New Roman" w:hAnsi="Times New Roman" w:cs="Times New Roman"/>
          <w:b/>
          <w:color w:val="0070C0"/>
          <w:sz w:val="28"/>
          <w:szCs w:val="28"/>
        </w:rPr>
        <w:t>Вступ</w:t>
      </w:r>
    </w:p>
    <w:p w14:paraId="7D6BEE1A" w14:textId="77777777" w:rsidR="00E45B86" w:rsidRPr="006C7989" w:rsidRDefault="00E45B86" w:rsidP="00E45B86">
      <w:pPr>
        <w:rPr>
          <w:rFonts w:ascii="Times New Roman" w:hAnsi="Times New Roman" w:cs="Times New Roman"/>
        </w:rPr>
      </w:pPr>
    </w:p>
    <w:p w14:paraId="34CF185A" w14:textId="371145E7" w:rsidR="00E45B86" w:rsidRPr="0001353A" w:rsidRDefault="00E953C6" w:rsidP="00F53078">
      <w:pPr>
        <w:jc w:val="both"/>
        <w:rPr>
          <w:rFonts w:ascii="Times New Roman" w:hAnsi="Times New Roman" w:cs="Times New Roman"/>
        </w:rPr>
      </w:pPr>
      <w:r>
        <w:rPr>
          <w:rFonts w:ascii="Times New Roman" w:hAnsi="Times New Roman" w:cs="Times New Roman"/>
          <w:lang w:val="uk-UA"/>
        </w:rPr>
        <w:t>Інфікування</w:t>
      </w:r>
      <w:r w:rsidR="00E45B86" w:rsidRPr="006C7989">
        <w:rPr>
          <w:rFonts w:ascii="Times New Roman" w:hAnsi="Times New Roman" w:cs="Times New Roman"/>
        </w:rPr>
        <w:t xml:space="preserve"> вірусом гепатиту С є однією з основних причин хронічного захворювання печінки в усьому світі</w:t>
      </w:r>
      <w:r w:rsidR="00E45B86" w:rsidRPr="006C7989">
        <w:rPr>
          <w:rFonts w:ascii="Times New Roman" w:hAnsi="Times New Roman" w:cs="Times New Roman"/>
          <w:b/>
          <w:vertAlign w:val="superscript"/>
        </w:rPr>
        <w:t>1</w:t>
      </w:r>
      <w:r w:rsidR="00FB5645" w:rsidRPr="006C7989">
        <w:rPr>
          <w:rFonts w:ascii="Times New Roman" w:hAnsi="Times New Roman" w:cs="Times New Roman"/>
        </w:rPr>
        <w:t xml:space="preserve">. </w:t>
      </w:r>
      <w:r w:rsidR="00E45B86" w:rsidRPr="0001353A">
        <w:rPr>
          <w:rFonts w:ascii="Times New Roman" w:hAnsi="Times New Roman" w:cs="Times New Roman"/>
        </w:rPr>
        <w:t>Пошкодження печінки може варіюватися від мінімальних</w:t>
      </w:r>
      <w:r w:rsidR="00FB5645" w:rsidRPr="0001353A">
        <w:rPr>
          <w:rFonts w:ascii="Times New Roman" w:hAnsi="Times New Roman" w:cs="Times New Roman"/>
        </w:rPr>
        <w:t xml:space="preserve"> гістологічних змін до </w:t>
      </w:r>
      <w:r w:rsidR="00F53078">
        <w:rPr>
          <w:rFonts w:ascii="Times New Roman" w:hAnsi="Times New Roman" w:cs="Times New Roman"/>
          <w:lang w:val="uk-UA"/>
        </w:rPr>
        <w:t>вираженого</w:t>
      </w:r>
      <w:r w:rsidR="004A41B0" w:rsidRPr="0001353A">
        <w:rPr>
          <w:rFonts w:ascii="Times New Roman" w:hAnsi="Times New Roman" w:cs="Times New Roman"/>
        </w:rPr>
        <w:t xml:space="preserve"> </w:t>
      </w:r>
      <w:r w:rsidR="00E45B86" w:rsidRPr="0001353A">
        <w:rPr>
          <w:rFonts w:ascii="Times New Roman" w:hAnsi="Times New Roman" w:cs="Times New Roman"/>
        </w:rPr>
        <w:t>фіброзу та цирозу з гепатоцелюлярною карцино</w:t>
      </w:r>
      <w:r w:rsidR="00FB5645" w:rsidRPr="0001353A">
        <w:rPr>
          <w:rFonts w:ascii="Times New Roman" w:hAnsi="Times New Roman" w:cs="Times New Roman"/>
        </w:rPr>
        <w:t xml:space="preserve">мою </w:t>
      </w:r>
      <w:r w:rsidR="00104F4F" w:rsidRPr="0001353A">
        <w:rPr>
          <w:rFonts w:ascii="Times New Roman" w:hAnsi="Times New Roman" w:cs="Times New Roman"/>
        </w:rPr>
        <w:t xml:space="preserve">(далі </w:t>
      </w:r>
      <w:r w:rsidR="00F53078" w:rsidRPr="00F53078">
        <w:rPr>
          <w:rFonts w:ascii="Times New Roman" w:hAnsi="Times New Roman" w:cs="Times New Roman"/>
        </w:rPr>
        <w:t>–</w:t>
      </w:r>
      <w:r w:rsidR="00F53078">
        <w:rPr>
          <w:rFonts w:ascii="Times New Roman" w:hAnsi="Times New Roman" w:cs="Times New Roman"/>
          <w:lang w:val="uk-UA"/>
        </w:rPr>
        <w:t xml:space="preserve"> </w:t>
      </w:r>
      <w:r w:rsidR="00104F4F" w:rsidRPr="0001353A">
        <w:rPr>
          <w:rFonts w:ascii="Times New Roman" w:hAnsi="Times New Roman" w:cs="Times New Roman"/>
        </w:rPr>
        <w:t>ГЦК) або без неї.</w:t>
      </w:r>
      <w:r w:rsidR="00FB5645" w:rsidRPr="0001353A">
        <w:rPr>
          <w:rFonts w:ascii="Times New Roman" w:hAnsi="Times New Roman" w:cs="Times New Roman"/>
        </w:rPr>
        <w:t xml:space="preserve"> П</w:t>
      </w:r>
      <w:r w:rsidR="00E45B86" w:rsidRPr="0001353A">
        <w:rPr>
          <w:rFonts w:ascii="Times New Roman" w:hAnsi="Times New Roman" w:cs="Times New Roman"/>
        </w:rPr>
        <w:t xml:space="preserve">риблизно 71 мільйон </w:t>
      </w:r>
      <w:r w:rsidR="00FB5645" w:rsidRPr="0001353A">
        <w:rPr>
          <w:rFonts w:ascii="Times New Roman" w:hAnsi="Times New Roman" w:cs="Times New Roman"/>
        </w:rPr>
        <w:t>людей мають хронічну інфекцію ВГС.</w:t>
      </w:r>
      <w:r w:rsidR="00E45B86" w:rsidRPr="0001353A">
        <w:rPr>
          <w:rFonts w:ascii="Times New Roman" w:hAnsi="Times New Roman" w:cs="Times New Roman"/>
        </w:rPr>
        <w:t xml:space="preserve"> </w:t>
      </w:r>
      <w:r w:rsidR="00E45B86" w:rsidRPr="0001353A">
        <w:rPr>
          <w:rFonts w:ascii="Times New Roman" w:hAnsi="Times New Roman" w:cs="Times New Roman"/>
          <w:b/>
          <w:vertAlign w:val="superscript"/>
        </w:rPr>
        <w:t>1,2</w:t>
      </w:r>
      <w:r w:rsidR="00FB5645" w:rsidRPr="0001353A">
        <w:rPr>
          <w:rFonts w:ascii="Times New Roman" w:hAnsi="Times New Roman" w:cs="Times New Roman"/>
        </w:rPr>
        <w:t xml:space="preserve"> Багато з них не знають про свій статус</w:t>
      </w:r>
      <w:r w:rsidR="00195FFA" w:rsidRPr="0001353A">
        <w:rPr>
          <w:rFonts w:ascii="Times New Roman" w:hAnsi="Times New Roman" w:cs="Times New Roman"/>
        </w:rPr>
        <w:t xml:space="preserve">, і їх кількість </w:t>
      </w:r>
      <w:r>
        <w:rPr>
          <w:rFonts w:ascii="Times New Roman" w:hAnsi="Times New Roman" w:cs="Times New Roman"/>
          <w:lang w:val="uk-UA"/>
        </w:rPr>
        <w:t>відрізняється</w:t>
      </w:r>
      <w:r w:rsidR="00E45B86" w:rsidRPr="0001353A">
        <w:rPr>
          <w:rFonts w:ascii="Times New Roman" w:hAnsi="Times New Roman" w:cs="Times New Roman"/>
        </w:rPr>
        <w:t xml:space="preserve"> залежно від географічної зони. </w:t>
      </w:r>
      <w:r>
        <w:rPr>
          <w:rFonts w:ascii="Times New Roman" w:hAnsi="Times New Roman" w:cs="Times New Roman"/>
          <w:lang w:val="uk-UA"/>
        </w:rPr>
        <w:t>Л</w:t>
      </w:r>
      <w:r w:rsidR="00E45B86" w:rsidRPr="0001353A">
        <w:rPr>
          <w:rFonts w:ascii="Times New Roman" w:hAnsi="Times New Roman" w:cs="Times New Roman"/>
        </w:rPr>
        <w:t>ікування пацієнтів</w:t>
      </w:r>
      <w:r w:rsidR="00195FFA" w:rsidRPr="0001353A">
        <w:rPr>
          <w:rFonts w:ascii="Times New Roman" w:hAnsi="Times New Roman" w:cs="Times New Roman"/>
        </w:rPr>
        <w:t xml:space="preserve"> із захворюваннями печінки</w:t>
      </w:r>
      <w:r w:rsidR="006C7989">
        <w:rPr>
          <w:rFonts w:ascii="Times New Roman" w:hAnsi="Times New Roman" w:cs="Times New Roman"/>
          <w:lang w:val="uk-UA"/>
        </w:rPr>
        <w:t>,</w:t>
      </w:r>
      <w:r w:rsidR="00195FFA" w:rsidRPr="0001353A">
        <w:rPr>
          <w:rFonts w:ascii="Times New Roman" w:hAnsi="Times New Roman" w:cs="Times New Roman"/>
        </w:rPr>
        <w:t xml:space="preserve"> </w:t>
      </w:r>
      <w:r w:rsidR="008D7F50">
        <w:rPr>
          <w:rFonts w:ascii="Times New Roman" w:hAnsi="Times New Roman" w:cs="Times New Roman"/>
          <w:lang w:val="uk-UA"/>
        </w:rPr>
        <w:t xml:space="preserve">що </w:t>
      </w:r>
      <w:r w:rsidR="00195FFA" w:rsidRPr="0001353A">
        <w:rPr>
          <w:rFonts w:ascii="Times New Roman" w:hAnsi="Times New Roman" w:cs="Times New Roman"/>
        </w:rPr>
        <w:t>пов’язан</w:t>
      </w:r>
      <w:r w:rsidR="008D7F50">
        <w:rPr>
          <w:rFonts w:ascii="Times New Roman" w:hAnsi="Times New Roman" w:cs="Times New Roman"/>
          <w:lang w:val="uk-UA"/>
        </w:rPr>
        <w:t>і</w:t>
      </w:r>
      <w:r w:rsidR="00195FFA" w:rsidRPr="0001353A">
        <w:rPr>
          <w:rFonts w:ascii="Times New Roman" w:hAnsi="Times New Roman" w:cs="Times New Roman"/>
        </w:rPr>
        <w:t xml:space="preserve"> </w:t>
      </w:r>
      <w:r w:rsidR="00195FFA">
        <w:rPr>
          <w:rFonts w:ascii="Times New Roman" w:hAnsi="Times New Roman" w:cs="Times New Roman"/>
          <w:lang w:val="uk-UA"/>
        </w:rPr>
        <w:t>з ВГС</w:t>
      </w:r>
      <w:r w:rsidR="006C7989">
        <w:rPr>
          <w:rFonts w:ascii="Times New Roman" w:hAnsi="Times New Roman" w:cs="Times New Roman"/>
          <w:lang w:val="uk-UA"/>
        </w:rPr>
        <w:t>,</w:t>
      </w:r>
      <w:r w:rsidR="00E45B86" w:rsidRPr="0001353A">
        <w:rPr>
          <w:rFonts w:ascii="Times New Roman" w:hAnsi="Times New Roman" w:cs="Times New Roman"/>
        </w:rPr>
        <w:t xml:space="preserve"> значно покращилося протягом останніх двох десятиліть завдяки поглибленому розумінн</w:t>
      </w:r>
      <w:r w:rsidR="00195FFA" w:rsidRPr="0001353A">
        <w:rPr>
          <w:rFonts w:ascii="Times New Roman" w:hAnsi="Times New Roman" w:cs="Times New Roman"/>
        </w:rPr>
        <w:t>ю патофізіології захворювання,</w:t>
      </w:r>
      <w:r w:rsidR="00E45B86" w:rsidRPr="0001353A">
        <w:rPr>
          <w:rFonts w:ascii="Times New Roman" w:hAnsi="Times New Roman" w:cs="Times New Roman"/>
        </w:rPr>
        <w:t xml:space="preserve"> розвитку діагн</w:t>
      </w:r>
      <w:r w:rsidR="00195FFA" w:rsidRPr="0001353A">
        <w:rPr>
          <w:rFonts w:ascii="Times New Roman" w:hAnsi="Times New Roman" w:cs="Times New Roman"/>
        </w:rPr>
        <w:t xml:space="preserve">остичних процедур та поліпшенню лікування </w:t>
      </w:r>
      <w:r w:rsidR="00E45B86" w:rsidRPr="0001353A">
        <w:rPr>
          <w:rFonts w:ascii="Times New Roman" w:hAnsi="Times New Roman" w:cs="Times New Roman"/>
        </w:rPr>
        <w:t>та профілактики.</w:t>
      </w:r>
    </w:p>
    <w:p w14:paraId="556E5E91" w14:textId="77777777" w:rsidR="00D17BCA" w:rsidRPr="0001353A" w:rsidRDefault="00D17BCA" w:rsidP="00F53078">
      <w:pPr>
        <w:jc w:val="both"/>
        <w:rPr>
          <w:rFonts w:ascii="Times New Roman" w:hAnsi="Times New Roman" w:cs="Times New Roman"/>
        </w:rPr>
      </w:pPr>
    </w:p>
    <w:p w14:paraId="25C69B07" w14:textId="6450FB31" w:rsidR="00556FDA" w:rsidRPr="006C7989" w:rsidRDefault="00333522" w:rsidP="00F53078">
      <w:pPr>
        <w:jc w:val="both"/>
        <w:rPr>
          <w:rFonts w:ascii="Times New Roman" w:hAnsi="Times New Roman" w:cs="Times New Roman"/>
          <w:b/>
          <w:color w:val="0070C0"/>
          <w:vertAlign w:val="superscript"/>
        </w:rPr>
      </w:pPr>
      <w:r w:rsidRPr="0001353A">
        <w:rPr>
          <w:rFonts w:ascii="Times New Roman" w:hAnsi="Times New Roman" w:cs="Times New Roman"/>
        </w:rPr>
        <w:t xml:space="preserve">Основною метою </w:t>
      </w:r>
      <w:r w:rsidR="00155A99">
        <w:rPr>
          <w:rFonts w:ascii="Times New Roman" w:hAnsi="Times New Roman" w:cs="Times New Roman"/>
          <w:lang w:val="uk-UA"/>
        </w:rPr>
        <w:t xml:space="preserve">лікування </w:t>
      </w:r>
      <w:r w:rsidRPr="0001353A">
        <w:rPr>
          <w:rFonts w:ascii="Times New Roman" w:hAnsi="Times New Roman" w:cs="Times New Roman"/>
        </w:rPr>
        <w:t>ВГС є повне виліковування інфекції</w:t>
      </w:r>
      <w:r w:rsidR="00B83A4F" w:rsidRPr="0001353A">
        <w:rPr>
          <w:rFonts w:ascii="Times New Roman" w:hAnsi="Times New Roman" w:cs="Times New Roman"/>
        </w:rPr>
        <w:t xml:space="preserve">, тобто досягнення </w:t>
      </w:r>
      <w:r w:rsidR="00E45B86" w:rsidRPr="0001353A">
        <w:rPr>
          <w:rFonts w:ascii="Times New Roman" w:hAnsi="Times New Roman" w:cs="Times New Roman"/>
        </w:rPr>
        <w:t>стійк</w:t>
      </w:r>
      <w:r w:rsidR="00AA28AF" w:rsidRPr="0001353A">
        <w:rPr>
          <w:rFonts w:ascii="Times New Roman" w:hAnsi="Times New Roman" w:cs="Times New Roman"/>
        </w:rPr>
        <w:t>ої вірусологічної відповіді (далі</w:t>
      </w:r>
      <w:r w:rsidR="00F53078">
        <w:rPr>
          <w:rFonts w:ascii="Times New Roman" w:hAnsi="Times New Roman" w:cs="Times New Roman"/>
          <w:lang w:val="uk-UA"/>
        </w:rPr>
        <w:t xml:space="preserve"> </w:t>
      </w:r>
      <w:r w:rsidR="00F53078" w:rsidRPr="00F53078">
        <w:rPr>
          <w:rFonts w:ascii="Times New Roman" w:hAnsi="Times New Roman" w:cs="Times New Roman"/>
        </w:rPr>
        <w:t>–</w:t>
      </w:r>
      <w:r w:rsidR="00AA28AF" w:rsidRPr="0001353A">
        <w:rPr>
          <w:rFonts w:ascii="Times New Roman" w:hAnsi="Times New Roman" w:cs="Times New Roman"/>
        </w:rPr>
        <w:t xml:space="preserve"> СВВ</w:t>
      </w:r>
      <w:r w:rsidR="00E45B86" w:rsidRPr="0001353A">
        <w:rPr>
          <w:rFonts w:ascii="Times New Roman" w:hAnsi="Times New Roman" w:cs="Times New Roman"/>
        </w:rPr>
        <w:t>)</w:t>
      </w:r>
      <w:r w:rsidR="00B83A4F" w:rsidRPr="0001353A">
        <w:rPr>
          <w:rFonts w:ascii="Times New Roman" w:hAnsi="Times New Roman" w:cs="Times New Roman"/>
        </w:rPr>
        <w:t>, яка визначається як невиявлення</w:t>
      </w:r>
      <w:r w:rsidR="00E45B86" w:rsidRPr="0001353A">
        <w:rPr>
          <w:rFonts w:ascii="Times New Roman" w:hAnsi="Times New Roman" w:cs="Times New Roman"/>
        </w:rPr>
        <w:t xml:space="preserve"> РНК ВГС </w:t>
      </w:r>
      <w:r w:rsidR="00B83A4F" w:rsidRPr="0001353A">
        <w:rPr>
          <w:rFonts w:ascii="Times New Roman" w:hAnsi="Times New Roman" w:cs="Times New Roman"/>
        </w:rPr>
        <w:t>на 12 (</w:t>
      </w:r>
      <w:r w:rsidR="00163439" w:rsidRPr="0001353A">
        <w:rPr>
          <w:rFonts w:ascii="Times New Roman" w:hAnsi="Times New Roman" w:cs="Times New Roman"/>
        </w:rPr>
        <w:t>СВВ</w:t>
      </w:r>
      <w:r w:rsidR="00B83A4F" w:rsidRPr="0001353A">
        <w:rPr>
          <w:rFonts w:ascii="Times New Roman" w:hAnsi="Times New Roman" w:cs="Times New Roman"/>
        </w:rPr>
        <w:t>12) або 24 тиждень</w:t>
      </w:r>
      <w:r w:rsidR="00E45B86" w:rsidRPr="0001353A">
        <w:rPr>
          <w:rFonts w:ascii="Times New Roman" w:hAnsi="Times New Roman" w:cs="Times New Roman"/>
        </w:rPr>
        <w:t xml:space="preserve"> (</w:t>
      </w:r>
      <w:r w:rsidR="00163439" w:rsidRPr="0001353A">
        <w:rPr>
          <w:rFonts w:ascii="Times New Roman" w:hAnsi="Times New Roman" w:cs="Times New Roman"/>
        </w:rPr>
        <w:t>СВВ</w:t>
      </w:r>
      <w:r w:rsidR="00E45B86" w:rsidRPr="0001353A">
        <w:rPr>
          <w:rFonts w:ascii="Times New Roman" w:hAnsi="Times New Roman" w:cs="Times New Roman"/>
        </w:rPr>
        <w:t xml:space="preserve">24) після закінчення лікування. </w:t>
      </w:r>
      <w:r w:rsidR="00102EB8" w:rsidRPr="0001353A">
        <w:rPr>
          <w:rFonts w:ascii="Times New Roman" w:hAnsi="Times New Roman" w:cs="Times New Roman"/>
        </w:rPr>
        <w:t>Досягнення СВВ означає</w:t>
      </w:r>
      <w:r w:rsidR="00E45B86" w:rsidRPr="0001353A">
        <w:rPr>
          <w:rFonts w:ascii="Times New Roman" w:hAnsi="Times New Roman" w:cs="Times New Roman"/>
        </w:rPr>
        <w:t xml:space="preserve"> </w:t>
      </w:r>
      <w:r w:rsidR="00102EB8" w:rsidRPr="0001353A">
        <w:rPr>
          <w:rFonts w:ascii="Times New Roman" w:hAnsi="Times New Roman" w:cs="Times New Roman"/>
        </w:rPr>
        <w:t>виліковування ВГ</w:t>
      </w:r>
      <w:r w:rsidR="006C7989">
        <w:rPr>
          <w:rFonts w:ascii="Times New Roman" w:hAnsi="Times New Roman" w:cs="Times New Roman"/>
          <w:lang w:val="uk-UA"/>
        </w:rPr>
        <w:t>С</w:t>
      </w:r>
      <w:r w:rsidR="00102EB8" w:rsidRPr="0001353A">
        <w:rPr>
          <w:rFonts w:ascii="Times New Roman" w:hAnsi="Times New Roman" w:cs="Times New Roman"/>
        </w:rPr>
        <w:t xml:space="preserve"> інфекції, з дуже низькою ймовірністю</w:t>
      </w:r>
      <w:r w:rsidR="00EF7757" w:rsidRPr="0001353A">
        <w:rPr>
          <w:rFonts w:ascii="Times New Roman" w:hAnsi="Times New Roman" w:cs="Times New Roman"/>
        </w:rPr>
        <w:t xml:space="preserve"> рецидиву. СВВ</w:t>
      </w:r>
      <w:r w:rsidR="00E45B86" w:rsidRPr="0001353A">
        <w:rPr>
          <w:rFonts w:ascii="Times New Roman" w:hAnsi="Times New Roman" w:cs="Times New Roman"/>
        </w:rPr>
        <w:t xml:space="preserve"> зазвичай асоціюється з нормалізацією </w:t>
      </w:r>
      <w:r w:rsidR="00104F4F" w:rsidRPr="0001353A">
        <w:rPr>
          <w:rFonts w:ascii="Times New Roman" w:hAnsi="Times New Roman" w:cs="Times New Roman"/>
        </w:rPr>
        <w:t xml:space="preserve">рівня печінкових ферментів </w:t>
      </w:r>
      <w:r w:rsidR="00E45B86" w:rsidRPr="0001353A">
        <w:rPr>
          <w:rFonts w:ascii="Times New Roman" w:hAnsi="Times New Roman" w:cs="Times New Roman"/>
        </w:rPr>
        <w:t>та п</w:t>
      </w:r>
      <w:r w:rsidR="00465AA5" w:rsidRPr="0001353A">
        <w:rPr>
          <w:rFonts w:ascii="Times New Roman" w:hAnsi="Times New Roman" w:cs="Times New Roman"/>
        </w:rPr>
        <w:t>оліпшенням або зникненням некроз</w:t>
      </w:r>
      <w:r w:rsidR="00E45B86" w:rsidRPr="0001353A">
        <w:rPr>
          <w:rFonts w:ascii="Times New Roman" w:hAnsi="Times New Roman" w:cs="Times New Roman"/>
        </w:rPr>
        <w:t xml:space="preserve">апалення печінки та фіброзу у пацієнтів без цирозу. Пацієнти з </w:t>
      </w:r>
      <w:r w:rsidR="008D7F50">
        <w:rPr>
          <w:rFonts w:ascii="Times New Roman" w:hAnsi="Times New Roman" w:cs="Times New Roman"/>
          <w:lang w:val="uk-UA"/>
        </w:rPr>
        <w:t>вираженим</w:t>
      </w:r>
      <w:r w:rsidR="008D7F50" w:rsidRPr="0001353A">
        <w:rPr>
          <w:rFonts w:ascii="Times New Roman" w:hAnsi="Times New Roman" w:cs="Times New Roman"/>
        </w:rPr>
        <w:t xml:space="preserve"> </w:t>
      </w:r>
      <w:r w:rsidR="00E45B86" w:rsidRPr="0001353A">
        <w:rPr>
          <w:rFonts w:ascii="Times New Roman" w:hAnsi="Times New Roman" w:cs="Times New Roman"/>
        </w:rPr>
        <w:t>фіброзом (</w:t>
      </w:r>
      <w:r w:rsidR="00465AA5" w:rsidRPr="00E45B86">
        <w:rPr>
          <w:rFonts w:ascii="Times New Roman" w:hAnsi="Times New Roman" w:cs="Times New Roman"/>
          <w:lang w:val="en-US"/>
        </w:rPr>
        <w:t>F</w:t>
      </w:r>
      <w:r w:rsidR="00465AA5" w:rsidRPr="0001353A">
        <w:rPr>
          <w:rFonts w:ascii="Times New Roman" w:hAnsi="Times New Roman" w:cs="Times New Roman"/>
        </w:rPr>
        <w:t xml:space="preserve">3 за шкалою </w:t>
      </w:r>
      <w:r w:rsidR="00465AA5">
        <w:rPr>
          <w:rFonts w:ascii="Times New Roman" w:hAnsi="Times New Roman" w:cs="Times New Roman"/>
          <w:lang w:val="en-US"/>
        </w:rPr>
        <w:t>METAVIR</w:t>
      </w:r>
      <w:r w:rsidR="00E45B86" w:rsidRPr="0001353A">
        <w:rPr>
          <w:rFonts w:ascii="Times New Roman" w:hAnsi="Times New Roman" w:cs="Times New Roman"/>
        </w:rPr>
        <w:t>) або циро</w:t>
      </w:r>
      <w:r w:rsidR="00104F4F" w:rsidRPr="0001353A">
        <w:rPr>
          <w:rFonts w:ascii="Times New Roman" w:hAnsi="Times New Roman" w:cs="Times New Roman"/>
        </w:rPr>
        <w:t>зом печінки (</w:t>
      </w:r>
      <w:r w:rsidR="00104F4F">
        <w:rPr>
          <w:rFonts w:ascii="Times New Roman" w:hAnsi="Times New Roman" w:cs="Times New Roman"/>
          <w:lang w:val="en-US"/>
        </w:rPr>
        <w:t>F</w:t>
      </w:r>
      <w:r w:rsidR="00104F4F" w:rsidRPr="0001353A">
        <w:rPr>
          <w:rFonts w:ascii="Times New Roman" w:hAnsi="Times New Roman" w:cs="Times New Roman"/>
        </w:rPr>
        <w:t xml:space="preserve">4) мають ризик розвитку </w:t>
      </w:r>
      <w:r w:rsidR="00E45B86" w:rsidRPr="0001353A">
        <w:rPr>
          <w:rFonts w:ascii="Times New Roman" w:hAnsi="Times New Roman" w:cs="Times New Roman"/>
        </w:rPr>
        <w:t xml:space="preserve">небезпечних для життя ускладнень. </w:t>
      </w:r>
      <w:r w:rsidR="00E45B86" w:rsidRPr="006C7989">
        <w:rPr>
          <w:rFonts w:ascii="Times New Roman" w:hAnsi="Times New Roman" w:cs="Times New Roman"/>
        </w:rPr>
        <w:t>Однак, фіброз може регресу</w:t>
      </w:r>
      <w:r w:rsidR="00104F4F" w:rsidRPr="006C7989">
        <w:rPr>
          <w:rFonts w:ascii="Times New Roman" w:hAnsi="Times New Roman" w:cs="Times New Roman"/>
        </w:rPr>
        <w:t>вати</w:t>
      </w:r>
      <w:r w:rsidR="00E45B86" w:rsidRPr="006C7989">
        <w:rPr>
          <w:rFonts w:ascii="Times New Roman" w:hAnsi="Times New Roman" w:cs="Times New Roman"/>
        </w:rPr>
        <w:t xml:space="preserve"> і ризик </w:t>
      </w:r>
      <w:r w:rsidR="00104F4F" w:rsidRPr="006C7989">
        <w:rPr>
          <w:rFonts w:ascii="Times New Roman" w:hAnsi="Times New Roman" w:cs="Times New Roman"/>
        </w:rPr>
        <w:t xml:space="preserve">розвитку ускладнень, таких як печінкова недостатність </w:t>
      </w:r>
      <w:r w:rsidR="00556FDA" w:rsidRPr="006C7989">
        <w:rPr>
          <w:rFonts w:ascii="Times New Roman" w:hAnsi="Times New Roman" w:cs="Times New Roman"/>
        </w:rPr>
        <w:t>та портальна г</w:t>
      </w:r>
      <w:r w:rsidR="00104F4F" w:rsidRPr="006C7989">
        <w:rPr>
          <w:rFonts w:ascii="Times New Roman" w:hAnsi="Times New Roman" w:cs="Times New Roman"/>
        </w:rPr>
        <w:t>іпертензія</w:t>
      </w:r>
      <w:r w:rsidR="006C7989">
        <w:rPr>
          <w:rFonts w:ascii="Times New Roman" w:hAnsi="Times New Roman" w:cs="Times New Roman"/>
          <w:lang w:val="uk-UA"/>
        </w:rPr>
        <w:t>,</w:t>
      </w:r>
      <w:r w:rsidR="00104F4F" w:rsidRPr="006C7989">
        <w:rPr>
          <w:rFonts w:ascii="Times New Roman" w:hAnsi="Times New Roman" w:cs="Times New Roman"/>
        </w:rPr>
        <w:t xml:space="preserve"> зменшуються після </w:t>
      </w:r>
      <w:r w:rsidR="00532B69">
        <w:rPr>
          <w:rFonts w:ascii="Times New Roman" w:hAnsi="Times New Roman" w:cs="Times New Roman"/>
          <w:lang w:val="uk-UA"/>
        </w:rPr>
        <w:t xml:space="preserve">досягнення </w:t>
      </w:r>
      <w:r w:rsidR="00104F4F" w:rsidRPr="006C7989">
        <w:rPr>
          <w:rFonts w:ascii="Times New Roman" w:hAnsi="Times New Roman" w:cs="Times New Roman"/>
        </w:rPr>
        <w:t>СВВ</w:t>
      </w:r>
      <w:r w:rsidR="00556FDA" w:rsidRPr="006C7989">
        <w:rPr>
          <w:rFonts w:ascii="Times New Roman" w:hAnsi="Times New Roman" w:cs="Times New Roman"/>
        </w:rPr>
        <w:t xml:space="preserve">. Останні дані показують, що ризик виникнення </w:t>
      </w:r>
      <w:r w:rsidR="00104F4F" w:rsidRPr="006C7989">
        <w:rPr>
          <w:rFonts w:ascii="Times New Roman" w:hAnsi="Times New Roman" w:cs="Times New Roman"/>
        </w:rPr>
        <w:t xml:space="preserve">ГЦК </w:t>
      </w:r>
      <w:r w:rsidR="00104F4F" w:rsidRPr="004971B1">
        <w:rPr>
          <w:rFonts w:ascii="Times New Roman" w:hAnsi="Times New Roman" w:cs="Times New Roman"/>
        </w:rPr>
        <w:t>та пов'язаний з печінкою</w:t>
      </w:r>
      <w:r w:rsidR="00104F4F" w:rsidRPr="006C7989">
        <w:rPr>
          <w:rFonts w:ascii="Times New Roman" w:hAnsi="Times New Roman" w:cs="Times New Roman"/>
        </w:rPr>
        <w:t xml:space="preserve"> рівень смертності</w:t>
      </w:r>
      <w:r w:rsidR="00556FDA" w:rsidRPr="006C7989">
        <w:rPr>
          <w:rFonts w:ascii="Times New Roman" w:hAnsi="Times New Roman" w:cs="Times New Roman"/>
        </w:rPr>
        <w:t xml:space="preserve"> знач</w:t>
      </w:r>
      <w:r w:rsidR="00104F4F" w:rsidRPr="006C7989">
        <w:rPr>
          <w:rFonts w:ascii="Times New Roman" w:hAnsi="Times New Roman" w:cs="Times New Roman"/>
        </w:rPr>
        <w:t>но знижується, але не зникає</w:t>
      </w:r>
      <w:r w:rsidR="00556FDA" w:rsidRPr="006C7989">
        <w:rPr>
          <w:rFonts w:ascii="Times New Roman" w:hAnsi="Times New Roman" w:cs="Times New Roman"/>
        </w:rPr>
        <w:t xml:space="preserve">, у пацієнтів з цирозом, </w:t>
      </w:r>
      <w:r w:rsidR="00D93D19" w:rsidRPr="006C7989">
        <w:rPr>
          <w:rFonts w:ascii="Times New Roman" w:hAnsi="Times New Roman" w:cs="Times New Roman"/>
        </w:rPr>
        <w:t>які вилікували ВГС</w:t>
      </w:r>
      <w:r w:rsidR="006C7989">
        <w:rPr>
          <w:rFonts w:ascii="Times New Roman" w:hAnsi="Times New Roman" w:cs="Times New Roman"/>
          <w:lang w:val="uk-UA"/>
        </w:rPr>
        <w:t>,</w:t>
      </w:r>
      <w:r w:rsidR="00D93D19" w:rsidRPr="006C7989">
        <w:rPr>
          <w:rFonts w:ascii="Times New Roman" w:hAnsi="Times New Roman" w:cs="Times New Roman"/>
        </w:rPr>
        <w:t xml:space="preserve"> </w:t>
      </w:r>
      <w:r w:rsidR="00334506">
        <w:rPr>
          <w:rFonts w:ascii="Times New Roman" w:hAnsi="Times New Roman" w:cs="Times New Roman"/>
          <w:lang w:val="uk-UA"/>
        </w:rPr>
        <w:t>порівнюючи</w:t>
      </w:r>
      <w:r w:rsidR="00D93D19" w:rsidRPr="006C7989">
        <w:rPr>
          <w:rFonts w:ascii="Times New Roman" w:hAnsi="Times New Roman" w:cs="Times New Roman"/>
        </w:rPr>
        <w:t xml:space="preserve"> з пацієнтами, які не отримували лікування </w:t>
      </w:r>
      <w:r w:rsidR="00556FDA" w:rsidRPr="006C7989">
        <w:rPr>
          <w:rFonts w:ascii="Times New Roman" w:hAnsi="Times New Roman" w:cs="Times New Roman"/>
        </w:rPr>
        <w:t xml:space="preserve">та </w:t>
      </w:r>
      <w:r w:rsidR="00D93D19" w:rsidRPr="006C7989">
        <w:rPr>
          <w:rFonts w:ascii="Times New Roman" w:hAnsi="Times New Roman" w:cs="Times New Roman"/>
        </w:rPr>
        <w:t>респондентами, які не досягли СВВ, особливо при наявності</w:t>
      </w:r>
      <w:r w:rsidR="00556FDA" w:rsidRPr="006C7989">
        <w:rPr>
          <w:rFonts w:ascii="Times New Roman" w:hAnsi="Times New Roman" w:cs="Times New Roman"/>
        </w:rPr>
        <w:t xml:space="preserve"> </w:t>
      </w:r>
      <w:r w:rsidR="00556FDA" w:rsidRPr="004971B1">
        <w:rPr>
          <w:rFonts w:ascii="Times New Roman" w:hAnsi="Times New Roman" w:cs="Times New Roman"/>
        </w:rPr>
        <w:t>кофак</w:t>
      </w:r>
      <w:r w:rsidR="00D93D19" w:rsidRPr="004971B1">
        <w:rPr>
          <w:rFonts w:ascii="Times New Roman" w:hAnsi="Times New Roman" w:cs="Times New Roman"/>
        </w:rPr>
        <w:t>торів захворюваності на</w:t>
      </w:r>
      <w:r w:rsidR="00D93D19" w:rsidRPr="006C7989">
        <w:rPr>
          <w:rFonts w:ascii="Times New Roman" w:hAnsi="Times New Roman" w:cs="Times New Roman"/>
        </w:rPr>
        <w:t xml:space="preserve"> печінку, таких</w:t>
      </w:r>
      <w:r w:rsidR="00556FDA" w:rsidRPr="006C7989">
        <w:rPr>
          <w:rFonts w:ascii="Times New Roman" w:hAnsi="Times New Roman" w:cs="Times New Roman"/>
        </w:rPr>
        <w:t xml:space="preserve"> як метаболічний синдром, </w:t>
      </w:r>
      <w:r w:rsidR="008D7F50">
        <w:rPr>
          <w:rFonts w:ascii="Times New Roman" w:hAnsi="Times New Roman" w:cs="Times New Roman"/>
          <w:lang w:val="uk-UA"/>
        </w:rPr>
        <w:t>надмірне</w:t>
      </w:r>
      <w:r w:rsidR="008D7F50" w:rsidRPr="006C7989">
        <w:rPr>
          <w:rFonts w:ascii="Times New Roman" w:hAnsi="Times New Roman" w:cs="Times New Roman"/>
        </w:rPr>
        <w:t xml:space="preserve"> </w:t>
      </w:r>
      <w:r w:rsidR="008D7F50">
        <w:rPr>
          <w:rFonts w:ascii="Times New Roman" w:hAnsi="Times New Roman" w:cs="Times New Roman"/>
          <w:lang w:val="uk-UA"/>
        </w:rPr>
        <w:t>в</w:t>
      </w:r>
      <w:r w:rsidR="00D93D19" w:rsidRPr="006C7989">
        <w:rPr>
          <w:rFonts w:ascii="Times New Roman" w:hAnsi="Times New Roman" w:cs="Times New Roman"/>
        </w:rPr>
        <w:t>живання алкоголю та/</w:t>
      </w:r>
      <w:r w:rsidR="00556FDA" w:rsidRPr="006C7989">
        <w:rPr>
          <w:rFonts w:ascii="Times New Roman" w:hAnsi="Times New Roman" w:cs="Times New Roman"/>
        </w:rPr>
        <w:t xml:space="preserve">або одночасне </w:t>
      </w:r>
      <w:r w:rsidR="00532B69">
        <w:rPr>
          <w:rFonts w:ascii="Times New Roman" w:hAnsi="Times New Roman" w:cs="Times New Roman"/>
          <w:lang w:val="uk-UA"/>
        </w:rPr>
        <w:t>інфікування</w:t>
      </w:r>
      <w:r w:rsidR="00D93D19" w:rsidRPr="006C7989">
        <w:rPr>
          <w:rFonts w:ascii="Times New Roman" w:hAnsi="Times New Roman" w:cs="Times New Roman"/>
        </w:rPr>
        <w:t xml:space="preserve"> вірусом гепатиту В (ВГВ</w:t>
      </w:r>
      <w:r w:rsidR="00556FDA" w:rsidRPr="006C7989">
        <w:rPr>
          <w:rFonts w:ascii="Times New Roman" w:hAnsi="Times New Roman" w:cs="Times New Roman"/>
        </w:rPr>
        <w:t xml:space="preserve">). </w:t>
      </w:r>
      <w:r w:rsidR="00556FDA" w:rsidRPr="006C7989">
        <w:rPr>
          <w:rFonts w:ascii="Times New Roman" w:hAnsi="Times New Roman" w:cs="Times New Roman"/>
          <w:b/>
          <w:color w:val="0070C0"/>
          <w:vertAlign w:val="superscript"/>
        </w:rPr>
        <w:t>3</w:t>
      </w:r>
      <w:r w:rsidR="00FC6D8A">
        <w:rPr>
          <w:rFonts w:ascii="Times New Roman" w:hAnsi="Times New Roman" w:cs="Times New Roman"/>
          <w:b/>
          <w:color w:val="0070C0"/>
          <w:vertAlign w:val="superscript"/>
        </w:rPr>
        <w:t>–</w:t>
      </w:r>
      <w:r w:rsidR="00556FDA" w:rsidRPr="006C7989">
        <w:rPr>
          <w:rFonts w:ascii="Times New Roman" w:hAnsi="Times New Roman" w:cs="Times New Roman"/>
          <w:b/>
          <w:color w:val="0070C0"/>
          <w:vertAlign w:val="superscript"/>
        </w:rPr>
        <w:t>9</w:t>
      </w:r>
      <w:r w:rsidR="00556FDA" w:rsidRPr="006C7989">
        <w:rPr>
          <w:rFonts w:ascii="Times New Roman" w:hAnsi="Times New Roman" w:cs="Times New Roman"/>
        </w:rPr>
        <w:t xml:space="preserve"> ВГС також асоціює</w:t>
      </w:r>
      <w:r w:rsidR="00D93D19" w:rsidRPr="006C7989">
        <w:rPr>
          <w:rFonts w:ascii="Times New Roman" w:hAnsi="Times New Roman" w:cs="Times New Roman"/>
        </w:rPr>
        <w:t xml:space="preserve">ться з </w:t>
      </w:r>
      <w:r w:rsidR="008D7F50">
        <w:rPr>
          <w:rFonts w:ascii="Times New Roman" w:hAnsi="Times New Roman" w:cs="Times New Roman"/>
          <w:lang w:val="uk-UA"/>
        </w:rPr>
        <w:t>низкою</w:t>
      </w:r>
      <w:r w:rsidR="008D7F50" w:rsidRPr="006C7989">
        <w:rPr>
          <w:rFonts w:ascii="Times New Roman" w:hAnsi="Times New Roman" w:cs="Times New Roman"/>
        </w:rPr>
        <w:t xml:space="preserve"> </w:t>
      </w:r>
      <w:r w:rsidR="00D93D19" w:rsidRPr="006C7989">
        <w:rPr>
          <w:rFonts w:ascii="Times New Roman" w:hAnsi="Times New Roman" w:cs="Times New Roman"/>
        </w:rPr>
        <w:t>позапечінкових проявів захворювання</w:t>
      </w:r>
      <w:r w:rsidR="008D7F50">
        <w:rPr>
          <w:rFonts w:ascii="Times New Roman" w:hAnsi="Times New Roman" w:cs="Times New Roman"/>
          <w:lang w:val="uk-UA"/>
        </w:rPr>
        <w:t xml:space="preserve"> і елімінація</w:t>
      </w:r>
      <w:r w:rsidR="008D7F50" w:rsidRPr="006C7989">
        <w:rPr>
          <w:rFonts w:ascii="Times New Roman" w:hAnsi="Times New Roman" w:cs="Times New Roman"/>
        </w:rPr>
        <w:t xml:space="preserve"> </w:t>
      </w:r>
      <w:r w:rsidR="00556FDA" w:rsidRPr="006C7989">
        <w:rPr>
          <w:rFonts w:ascii="Times New Roman" w:hAnsi="Times New Roman" w:cs="Times New Roman"/>
        </w:rPr>
        <w:t>ві</w:t>
      </w:r>
      <w:r w:rsidR="00D93D19" w:rsidRPr="006C7989">
        <w:rPr>
          <w:rFonts w:ascii="Times New Roman" w:hAnsi="Times New Roman" w:cs="Times New Roman"/>
        </w:rPr>
        <w:t xml:space="preserve">русу викликає </w:t>
      </w:r>
      <w:r w:rsidR="00EC741E" w:rsidRPr="006C7989">
        <w:rPr>
          <w:rFonts w:ascii="Times New Roman" w:hAnsi="Times New Roman" w:cs="Times New Roman"/>
        </w:rPr>
        <w:t>пригнічення більшості з них, що зменшу</w:t>
      </w:r>
      <w:r w:rsidR="00D84B1A">
        <w:rPr>
          <w:rFonts w:ascii="Times New Roman" w:hAnsi="Times New Roman" w:cs="Times New Roman"/>
          <w:lang w:val="uk-UA"/>
        </w:rPr>
        <w:t>є</w:t>
      </w:r>
      <w:r w:rsidR="00EC741E" w:rsidRPr="006C7989">
        <w:rPr>
          <w:rFonts w:ascii="Times New Roman" w:hAnsi="Times New Roman" w:cs="Times New Roman"/>
        </w:rPr>
        <w:t xml:space="preserve"> загальну смертність</w:t>
      </w:r>
      <w:r w:rsidR="00556FDA" w:rsidRPr="006C7989">
        <w:rPr>
          <w:rFonts w:ascii="Times New Roman" w:hAnsi="Times New Roman" w:cs="Times New Roman"/>
        </w:rPr>
        <w:t>.</w:t>
      </w:r>
      <w:r w:rsidR="00556FDA" w:rsidRPr="006C7989">
        <w:rPr>
          <w:rFonts w:ascii="Times New Roman" w:hAnsi="Times New Roman" w:cs="Times New Roman"/>
          <w:b/>
          <w:color w:val="0070C0"/>
          <w:vertAlign w:val="superscript"/>
        </w:rPr>
        <w:t>10</w:t>
      </w:r>
      <w:r w:rsidR="00FC6D8A">
        <w:rPr>
          <w:rFonts w:ascii="Times New Roman" w:hAnsi="Times New Roman" w:cs="Times New Roman"/>
          <w:b/>
          <w:color w:val="0070C0"/>
          <w:vertAlign w:val="superscript"/>
        </w:rPr>
        <w:t>–</w:t>
      </w:r>
      <w:r w:rsidR="00556FDA" w:rsidRPr="006C7989">
        <w:rPr>
          <w:rFonts w:ascii="Times New Roman" w:hAnsi="Times New Roman" w:cs="Times New Roman"/>
          <w:b/>
          <w:color w:val="0070C0"/>
          <w:vertAlign w:val="superscript"/>
        </w:rPr>
        <w:t>16</w:t>
      </w:r>
    </w:p>
    <w:p w14:paraId="598891C3" w14:textId="263BB34B" w:rsidR="00EC741E" w:rsidRDefault="00EC741E" w:rsidP="00556FDA">
      <w:pPr>
        <w:rPr>
          <w:rFonts w:ascii="Times New Roman" w:hAnsi="Times New Roman" w:cs="Times New Roman"/>
        </w:rPr>
      </w:pPr>
    </w:p>
    <w:p w14:paraId="5B5A1C5C" w14:textId="77777777" w:rsidR="008D7F50" w:rsidRPr="006C7989" w:rsidRDefault="008D7F50" w:rsidP="00556FDA">
      <w:pPr>
        <w:rPr>
          <w:rFonts w:ascii="Times New Roman" w:hAnsi="Times New Roman" w:cs="Times New Roman"/>
        </w:rPr>
      </w:pPr>
    </w:p>
    <w:p w14:paraId="28BAFF33" w14:textId="73DBB90F" w:rsidR="00E45B86" w:rsidRDefault="00EC741E" w:rsidP="00F53078">
      <w:pPr>
        <w:jc w:val="both"/>
        <w:rPr>
          <w:rFonts w:ascii="Times New Roman" w:hAnsi="Times New Roman" w:cs="Times New Roman"/>
        </w:rPr>
      </w:pPr>
      <w:r w:rsidRPr="006C7989">
        <w:rPr>
          <w:rFonts w:ascii="Times New Roman" w:hAnsi="Times New Roman" w:cs="Times New Roman"/>
        </w:rPr>
        <w:lastRenderedPageBreak/>
        <w:t>Ці р</w:t>
      </w:r>
      <w:r w:rsidR="00556FDA" w:rsidRPr="006C7989">
        <w:rPr>
          <w:rFonts w:ascii="Times New Roman" w:hAnsi="Times New Roman" w:cs="Times New Roman"/>
        </w:rPr>
        <w:t xml:space="preserve">екомендації </w:t>
      </w:r>
      <w:r w:rsidR="00556FDA" w:rsidRPr="00556FDA">
        <w:rPr>
          <w:rFonts w:ascii="Times New Roman" w:hAnsi="Times New Roman" w:cs="Times New Roman"/>
          <w:lang w:val="en-US"/>
        </w:rPr>
        <w:t>EASL</w:t>
      </w:r>
      <w:r w:rsidR="00556FDA" w:rsidRPr="006C7989">
        <w:rPr>
          <w:rFonts w:ascii="Times New Roman" w:hAnsi="Times New Roman" w:cs="Times New Roman"/>
        </w:rPr>
        <w:t xml:space="preserve"> щодо лікування гепатиту С призначені для надання допомоги лікарям та іншим медичним працівникам, а також пацієнтам та іншим зацікавленим особам у процесі </w:t>
      </w:r>
      <w:r w:rsidRPr="006C7989">
        <w:rPr>
          <w:rFonts w:ascii="Times New Roman" w:hAnsi="Times New Roman" w:cs="Times New Roman"/>
        </w:rPr>
        <w:t>прийняття клінічних</w:t>
      </w:r>
      <w:r w:rsidR="00556FDA" w:rsidRPr="006C7989">
        <w:rPr>
          <w:rFonts w:ascii="Times New Roman" w:hAnsi="Times New Roman" w:cs="Times New Roman"/>
        </w:rPr>
        <w:t xml:space="preserve"> </w:t>
      </w:r>
      <w:r w:rsidRPr="006C7989">
        <w:rPr>
          <w:rFonts w:ascii="Times New Roman" w:hAnsi="Times New Roman" w:cs="Times New Roman"/>
        </w:rPr>
        <w:t>рішень шляхом опису поточної оптимальної тактики</w:t>
      </w:r>
      <w:r w:rsidR="00556FDA" w:rsidRPr="006C7989">
        <w:rPr>
          <w:rFonts w:ascii="Times New Roman" w:hAnsi="Times New Roman" w:cs="Times New Roman"/>
        </w:rPr>
        <w:t xml:space="preserve"> лікування пацієнтів з гострим т</w:t>
      </w:r>
      <w:r w:rsidR="00230286" w:rsidRPr="006C7989">
        <w:rPr>
          <w:rFonts w:ascii="Times New Roman" w:hAnsi="Times New Roman" w:cs="Times New Roman"/>
        </w:rPr>
        <w:t xml:space="preserve">а хронічним гепатитом </w:t>
      </w:r>
      <w:r w:rsidR="00532B69">
        <w:rPr>
          <w:rFonts w:ascii="Times New Roman" w:hAnsi="Times New Roman" w:cs="Times New Roman"/>
          <w:lang w:val="uk-UA"/>
        </w:rPr>
        <w:t>С</w:t>
      </w:r>
      <w:r w:rsidR="00230286" w:rsidRPr="006C7989">
        <w:rPr>
          <w:rFonts w:ascii="Times New Roman" w:hAnsi="Times New Roman" w:cs="Times New Roman"/>
        </w:rPr>
        <w:t xml:space="preserve">. Ці рекомендації </w:t>
      </w:r>
      <w:r w:rsidR="00D84B1A">
        <w:rPr>
          <w:rFonts w:ascii="Times New Roman" w:hAnsi="Times New Roman" w:cs="Times New Roman"/>
          <w:lang w:val="uk-UA"/>
        </w:rPr>
        <w:t>включають</w:t>
      </w:r>
      <w:r w:rsidR="00230286" w:rsidRPr="006C7989">
        <w:rPr>
          <w:rFonts w:ascii="Times New Roman" w:hAnsi="Times New Roman" w:cs="Times New Roman"/>
        </w:rPr>
        <w:t xml:space="preserve"> схем</w:t>
      </w:r>
      <w:r w:rsidR="00D84B1A">
        <w:rPr>
          <w:rFonts w:ascii="Times New Roman" w:hAnsi="Times New Roman" w:cs="Times New Roman"/>
          <w:lang w:val="uk-UA"/>
        </w:rPr>
        <w:t>и</w:t>
      </w:r>
      <w:r w:rsidR="00230286" w:rsidRPr="006C7989">
        <w:rPr>
          <w:rFonts w:ascii="Times New Roman" w:hAnsi="Times New Roman" w:cs="Times New Roman"/>
        </w:rPr>
        <w:t xml:space="preserve"> лікування, які </w:t>
      </w:r>
      <w:r w:rsidR="00556FDA" w:rsidRPr="006C7989">
        <w:rPr>
          <w:rFonts w:ascii="Times New Roman" w:hAnsi="Times New Roman" w:cs="Times New Roman"/>
        </w:rPr>
        <w:t>були схвалені Європейським агентством з лікарських засобів та іншими національними європейськими агенціями на момент публікації.</w:t>
      </w:r>
    </w:p>
    <w:p w14:paraId="082B2E97" w14:textId="77777777" w:rsidR="002B13FA" w:rsidRPr="00B4522B" w:rsidRDefault="002B13FA" w:rsidP="00556FDA">
      <w:pPr>
        <w:rPr>
          <w:rFonts w:ascii="Times New Roman" w:hAnsi="Times New Roman" w:cs="Times New Roman"/>
          <w:color w:val="0070C0"/>
        </w:rPr>
      </w:pPr>
    </w:p>
    <w:p w14:paraId="05DEF28F" w14:textId="77777777" w:rsidR="002B13FA" w:rsidRPr="00B4522B" w:rsidRDefault="002B13FA" w:rsidP="00C87A95">
      <w:pPr>
        <w:outlineLvl w:val="0"/>
        <w:rPr>
          <w:rFonts w:ascii="Times New Roman" w:hAnsi="Times New Roman" w:cs="Times New Roman"/>
          <w:b/>
          <w:color w:val="0070C0"/>
          <w:lang w:val="uk-UA"/>
        </w:rPr>
      </w:pPr>
      <w:r w:rsidRPr="00B4522B">
        <w:rPr>
          <w:rFonts w:ascii="Times New Roman" w:hAnsi="Times New Roman" w:cs="Times New Roman"/>
          <w:b/>
          <w:color w:val="0070C0"/>
          <w:lang w:val="uk-UA"/>
        </w:rPr>
        <w:t>Методологія</w:t>
      </w:r>
    </w:p>
    <w:p w14:paraId="260C7B0F" w14:textId="77777777" w:rsidR="00B4522B" w:rsidRDefault="00B4522B" w:rsidP="008547D5">
      <w:pPr>
        <w:rPr>
          <w:rFonts w:ascii="Times New Roman" w:hAnsi="Times New Roman" w:cs="Times New Roman"/>
          <w:lang w:val="uk-UA"/>
        </w:rPr>
      </w:pPr>
    </w:p>
    <w:p w14:paraId="5AB8924A" w14:textId="2E8BC7CB" w:rsidR="008547D5" w:rsidRPr="00D84B1A" w:rsidRDefault="008D7F50" w:rsidP="00F53078">
      <w:pPr>
        <w:jc w:val="both"/>
        <w:rPr>
          <w:rFonts w:ascii="Times New Roman" w:hAnsi="Times New Roman" w:cs="Times New Roman"/>
          <w:lang w:val="uk-UA"/>
        </w:rPr>
      </w:pPr>
      <w:r>
        <w:rPr>
          <w:rFonts w:ascii="Times New Roman" w:hAnsi="Times New Roman" w:cs="Times New Roman"/>
          <w:lang w:val="uk-UA"/>
        </w:rPr>
        <w:t>Р</w:t>
      </w:r>
      <w:r w:rsidR="00EC741E">
        <w:rPr>
          <w:rFonts w:ascii="Times New Roman" w:hAnsi="Times New Roman" w:cs="Times New Roman"/>
          <w:lang w:val="uk-UA"/>
        </w:rPr>
        <w:t xml:space="preserve">екомендації </w:t>
      </w:r>
      <w:r w:rsidR="002B13FA" w:rsidRPr="002B13FA">
        <w:rPr>
          <w:rFonts w:ascii="Times New Roman" w:hAnsi="Times New Roman" w:cs="Times New Roman"/>
          <w:lang w:val="uk-UA"/>
        </w:rPr>
        <w:t xml:space="preserve">EASL </w:t>
      </w:r>
      <w:r>
        <w:rPr>
          <w:rFonts w:ascii="Times New Roman" w:hAnsi="Times New Roman" w:cs="Times New Roman"/>
          <w:lang w:val="uk-UA"/>
        </w:rPr>
        <w:t>щодо</w:t>
      </w:r>
      <w:r w:rsidR="00EC741E">
        <w:rPr>
          <w:rFonts w:ascii="Times New Roman" w:hAnsi="Times New Roman" w:cs="Times New Roman"/>
          <w:lang w:val="uk-UA"/>
        </w:rPr>
        <w:t xml:space="preserve"> лікування ВГС</w:t>
      </w:r>
      <w:r w:rsidR="00230286">
        <w:rPr>
          <w:rFonts w:ascii="Times New Roman" w:hAnsi="Times New Roman" w:cs="Times New Roman"/>
          <w:lang w:val="uk-UA"/>
        </w:rPr>
        <w:t xml:space="preserve"> були розроблені експертною групою</w:t>
      </w:r>
      <w:r w:rsidR="002B13FA" w:rsidRPr="002B13FA">
        <w:rPr>
          <w:rFonts w:ascii="Times New Roman" w:hAnsi="Times New Roman" w:cs="Times New Roman"/>
          <w:lang w:val="uk-UA"/>
        </w:rPr>
        <w:t>, обраною Правлінням EASL. Рекомендації в основному базуються на доказах існуючих публікацій та презентацій на міжнародних зустрічах. За відсутності таких доказів</w:t>
      </w:r>
      <w:r w:rsidR="002A4A0E">
        <w:rPr>
          <w:rFonts w:ascii="Times New Roman" w:hAnsi="Times New Roman" w:cs="Times New Roman"/>
          <w:lang w:val="uk-UA"/>
        </w:rPr>
        <w:t>, розглядався</w:t>
      </w:r>
      <w:r w:rsidR="002B13FA" w:rsidRPr="002B13FA">
        <w:rPr>
          <w:rFonts w:ascii="Times New Roman" w:hAnsi="Times New Roman" w:cs="Times New Roman"/>
          <w:lang w:val="uk-UA"/>
        </w:rPr>
        <w:t xml:space="preserve"> особистий досвід та думки експертів. Де це </w:t>
      </w:r>
      <w:r w:rsidR="002A4A0E">
        <w:rPr>
          <w:rFonts w:ascii="Times New Roman" w:hAnsi="Times New Roman" w:cs="Times New Roman"/>
          <w:lang w:val="uk-UA"/>
        </w:rPr>
        <w:t>було можливо, наводилися дані</w:t>
      </w:r>
      <w:r w:rsidR="002B13FA" w:rsidRPr="002B13FA">
        <w:rPr>
          <w:rFonts w:ascii="Times New Roman" w:hAnsi="Times New Roman" w:cs="Times New Roman"/>
          <w:lang w:val="uk-UA"/>
        </w:rPr>
        <w:t xml:space="preserve"> </w:t>
      </w:r>
      <w:r w:rsidR="002A4A0E">
        <w:rPr>
          <w:rFonts w:ascii="Times New Roman" w:hAnsi="Times New Roman" w:cs="Times New Roman"/>
          <w:lang w:val="uk-UA"/>
        </w:rPr>
        <w:t>щодо рівня доказів та рекомендації</w:t>
      </w:r>
      <w:r w:rsidR="002B13FA" w:rsidRPr="002B13FA">
        <w:rPr>
          <w:rFonts w:ascii="Times New Roman" w:hAnsi="Times New Roman" w:cs="Times New Roman"/>
          <w:lang w:val="uk-UA"/>
        </w:rPr>
        <w:t xml:space="preserve">. </w:t>
      </w:r>
      <w:r w:rsidR="002A4A0E" w:rsidRPr="002A4A0E">
        <w:rPr>
          <w:rFonts w:ascii="Times New Roman" w:hAnsi="Times New Roman" w:cs="Times New Roman"/>
          <w:lang w:val="uk-UA"/>
        </w:rPr>
        <w:t>Було застосовано</w:t>
      </w:r>
      <w:r w:rsidR="002B13FA" w:rsidRPr="002A4A0E">
        <w:rPr>
          <w:rFonts w:ascii="Times New Roman" w:hAnsi="Times New Roman" w:cs="Times New Roman"/>
          <w:lang w:val="uk-UA"/>
        </w:rPr>
        <w:t xml:space="preserve"> </w:t>
      </w:r>
      <w:r w:rsidR="002A4A0E" w:rsidRPr="002A4A0E">
        <w:rPr>
          <w:rFonts w:ascii="Times New Roman" w:hAnsi="Times New Roman" w:cs="Times New Roman"/>
          <w:color w:val="000000" w:themeColor="text1"/>
          <w:lang w:val="uk-UA"/>
        </w:rPr>
        <w:t>підхід GRADE для оцінки якості доказів та сили рекомендацій</w:t>
      </w:r>
      <w:r w:rsidR="002B13FA" w:rsidRPr="002A4A0E">
        <w:rPr>
          <w:rFonts w:ascii="Times New Roman" w:hAnsi="Times New Roman" w:cs="Times New Roman"/>
          <w:lang w:val="uk-UA"/>
        </w:rPr>
        <w:t>.</w:t>
      </w:r>
      <w:r w:rsidR="002B13FA" w:rsidRPr="002A4A0E">
        <w:rPr>
          <w:rFonts w:ascii="Times New Roman" w:hAnsi="Times New Roman" w:cs="Times New Roman"/>
          <w:b/>
          <w:color w:val="0070C0"/>
          <w:vertAlign w:val="superscript"/>
          <w:lang w:val="uk-UA"/>
        </w:rPr>
        <w:t xml:space="preserve">17 </w:t>
      </w:r>
      <w:r w:rsidR="002B13FA" w:rsidRPr="002B13FA">
        <w:rPr>
          <w:rFonts w:ascii="Times New Roman" w:hAnsi="Times New Roman" w:cs="Times New Roman"/>
          <w:lang w:val="uk-UA"/>
        </w:rPr>
        <w:t>Сила рекомен</w:t>
      </w:r>
      <w:r w:rsidR="002A4A0E">
        <w:rPr>
          <w:rFonts w:ascii="Times New Roman" w:hAnsi="Times New Roman" w:cs="Times New Roman"/>
          <w:lang w:val="uk-UA"/>
        </w:rPr>
        <w:t>дацій відображає якість</w:t>
      </w:r>
      <w:r w:rsidR="002B13FA" w:rsidRPr="002B13FA">
        <w:rPr>
          <w:rFonts w:ascii="Times New Roman" w:hAnsi="Times New Roman" w:cs="Times New Roman"/>
          <w:lang w:val="uk-UA"/>
        </w:rPr>
        <w:t xml:space="preserve"> доказів. Якість доказів у рекоменд</w:t>
      </w:r>
      <w:r w:rsidR="002A4A0E">
        <w:rPr>
          <w:rFonts w:ascii="Times New Roman" w:hAnsi="Times New Roman" w:cs="Times New Roman"/>
          <w:lang w:val="uk-UA"/>
        </w:rPr>
        <w:t xml:space="preserve">аціях була класифікована відповідно </w:t>
      </w:r>
      <w:r w:rsidR="002B13FA" w:rsidRPr="002B13FA">
        <w:rPr>
          <w:rFonts w:ascii="Times New Roman" w:hAnsi="Times New Roman" w:cs="Times New Roman"/>
          <w:lang w:val="uk-UA"/>
        </w:rPr>
        <w:t>трьох рівнів: високий (A), середній (B) або низький (C). Система GRADE пропонує два класи рекомендацій: сильні (1) або слабкі (2) (табл. 1). Таким чином, в рекомендаціях розглядається якість доказів: чим</w:t>
      </w:r>
      <w:r w:rsidR="002A4A0E">
        <w:rPr>
          <w:rFonts w:ascii="Times New Roman" w:hAnsi="Times New Roman" w:cs="Times New Roman"/>
          <w:lang w:val="uk-UA"/>
        </w:rPr>
        <w:t xml:space="preserve"> вище якість доказів, тим більш ймовірне</w:t>
      </w:r>
      <w:r w:rsidR="002A4A0E" w:rsidRPr="002A4A0E">
        <w:rPr>
          <w:rFonts w:ascii="Times New Roman" w:hAnsi="Times New Roman" w:cs="Times New Roman"/>
          <w:lang w:val="uk-UA"/>
        </w:rPr>
        <w:t xml:space="preserve"> </w:t>
      </w:r>
      <w:r w:rsidR="002A4A0E">
        <w:rPr>
          <w:rFonts w:ascii="Times New Roman" w:hAnsi="Times New Roman" w:cs="Times New Roman"/>
          <w:lang w:val="uk-UA"/>
        </w:rPr>
        <w:t>обґрунтування</w:t>
      </w:r>
      <w:r w:rsidR="002B13FA" w:rsidRPr="002B13FA">
        <w:rPr>
          <w:rFonts w:ascii="Times New Roman" w:hAnsi="Times New Roman" w:cs="Times New Roman"/>
          <w:lang w:val="uk-UA"/>
        </w:rPr>
        <w:t xml:space="preserve">, що рекомендація </w:t>
      </w:r>
      <w:r w:rsidR="002A4A0E" w:rsidRPr="002B13FA">
        <w:rPr>
          <w:rFonts w:ascii="Times New Roman" w:hAnsi="Times New Roman" w:cs="Times New Roman"/>
          <w:lang w:val="uk-UA"/>
        </w:rPr>
        <w:t>сильна</w:t>
      </w:r>
      <w:r w:rsidR="002B13FA" w:rsidRPr="002B13FA">
        <w:rPr>
          <w:rFonts w:ascii="Times New Roman" w:hAnsi="Times New Roman" w:cs="Times New Roman"/>
          <w:lang w:val="uk-UA"/>
        </w:rPr>
        <w:t>;</w:t>
      </w:r>
      <w:r w:rsidR="002A4A0E">
        <w:rPr>
          <w:rFonts w:ascii="Times New Roman" w:hAnsi="Times New Roman" w:cs="Times New Roman"/>
          <w:lang w:val="uk-UA"/>
        </w:rPr>
        <w:t xml:space="preserve"> </w:t>
      </w:r>
      <w:r w:rsidR="00B97144">
        <w:rPr>
          <w:rFonts w:ascii="Times New Roman" w:hAnsi="Times New Roman" w:cs="Times New Roman"/>
          <w:lang w:val="uk-UA"/>
        </w:rPr>
        <w:t>чим більша різниця у питаннях вибору</w:t>
      </w:r>
      <w:r w:rsidR="002B13FA" w:rsidRPr="002B13FA">
        <w:rPr>
          <w:rFonts w:ascii="Times New Roman" w:hAnsi="Times New Roman" w:cs="Times New Roman"/>
          <w:lang w:val="uk-UA"/>
        </w:rPr>
        <w:t xml:space="preserve"> та переваг</w:t>
      </w:r>
      <w:r w:rsidR="00B97144">
        <w:rPr>
          <w:rFonts w:ascii="Times New Roman" w:hAnsi="Times New Roman" w:cs="Times New Roman"/>
          <w:lang w:val="uk-UA"/>
        </w:rPr>
        <w:t xml:space="preserve"> пацієнтів</w:t>
      </w:r>
      <w:r w:rsidR="002B13FA" w:rsidRPr="002B13FA">
        <w:rPr>
          <w:rFonts w:ascii="Times New Roman" w:hAnsi="Times New Roman" w:cs="Times New Roman"/>
          <w:lang w:val="uk-UA"/>
        </w:rPr>
        <w:t>, чи бі</w:t>
      </w:r>
      <w:r w:rsidR="002A4A0E">
        <w:rPr>
          <w:rFonts w:ascii="Times New Roman" w:hAnsi="Times New Roman" w:cs="Times New Roman"/>
          <w:lang w:val="uk-UA"/>
        </w:rPr>
        <w:t>льша невизначеність, тим більш ймовірне</w:t>
      </w:r>
      <w:r w:rsidR="002A4A0E" w:rsidRPr="002A4A0E">
        <w:rPr>
          <w:rFonts w:ascii="Times New Roman" w:hAnsi="Times New Roman" w:cs="Times New Roman"/>
          <w:lang w:val="uk-UA"/>
        </w:rPr>
        <w:t xml:space="preserve"> </w:t>
      </w:r>
      <w:r w:rsidR="002A4A0E">
        <w:rPr>
          <w:rFonts w:ascii="Times New Roman" w:hAnsi="Times New Roman" w:cs="Times New Roman"/>
          <w:lang w:val="uk-UA"/>
        </w:rPr>
        <w:t>обґрунтування</w:t>
      </w:r>
      <w:r w:rsidR="002B13FA" w:rsidRPr="002B13FA">
        <w:rPr>
          <w:rFonts w:ascii="Times New Roman" w:hAnsi="Times New Roman" w:cs="Times New Roman"/>
          <w:lang w:val="uk-UA"/>
        </w:rPr>
        <w:t xml:space="preserve">, що </w:t>
      </w:r>
      <w:r w:rsidR="002A4A0E" w:rsidRPr="002B13FA">
        <w:rPr>
          <w:rFonts w:ascii="Times New Roman" w:hAnsi="Times New Roman" w:cs="Times New Roman"/>
          <w:lang w:val="uk-UA"/>
        </w:rPr>
        <w:t xml:space="preserve">рекомендація є </w:t>
      </w:r>
      <w:r w:rsidR="002B13FA" w:rsidRPr="002B13FA">
        <w:rPr>
          <w:rFonts w:ascii="Times New Roman" w:hAnsi="Times New Roman" w:cs="Times New Roman"/>
          <w:lang w:val="uk-UA"/>
        </w:rPr>
        <w:t>слабк</w:t>
      </w:r>
      <w:r w:rsidR="00D84B1A">
        <w:rPr>
          <w:rFonts w:ascii="Times New Roman" w:hAnsi="Times New Roman" w:cs="Times New Roman"/>
          <w:lang w:val="uk-UA"/>
        </w:rPr>
        <w:t>ою</w:t>
      </w:r>
      <w:r w:rsidR="002B13FA" w:rsidRPr="002B13FA">
        <w:rPr>
          <w:rFonts w:ascii="Times New Roman" w:hAnsi="Times New Roman" w:cs="Times New Roman"/>
          <w:lang w:val="uk-UA"/>
        </w:rPr>
        <w:t>. Рекомендації були схвалені Правлінням</w:t>
      </w:r>
      <w:r w:rsidR="008547D5">
        <w:rPr>
          <w:rFonts w:ascii="Times New Roman" w:hAnsi="Times New Roman" w:cs="Times New Roman"/>
          <w:lang w:val="uk-UA"/>
        </w:rPr>
        <w:t xml:space="preserve"> </w:t>
      </w:r>
      <w:r w:rsidR="002A4A0E" w:rsidRPr="002B13FA">
        <w:rPr>
          <w:rFonts w:ascii="Times New Roman" w:hAnsi="Times New Roman" w:cs="Times New Roman"/>
          <w:lang w:val="uk-UA"/>
        </w:rPr>
        <w:t>EASL</w:t>
      </w:r>
      <w:r w:rsidR="002A4A0E">
        <w:rPr>
          <w:rFonts w:ascii="Times New Roman" w:hAnsi="Times New Roman" w:cs="Times New Roman"/>
          <w:lang w:val="uk-UA"/>
        </w:rPr>
        <w:t>.</w:t>
      </w:r>
    </w:p>
    <w:p w14:paraId="7187CAD4" w14:textId="20FACC5E" w:rsidR="008547D5" w:rsidRDefault="008547D5" w:rsidP="008547D5">
      <w:pPr>
        <w:rPr>
          <w:rFonts w:ascii="Times New Roman" w:hAnsi="Times New Roman" w:cs="Times New Roman"/>
          <w:lang w:val="uk-UA"/>
        </w:rPr>
      </w:pPr>
    </w:p>
    <w:p w14:paraId="507EFF53" w14:textId="77777777" w:rsidR="00C92E83" w:rsidRDefault="00C92E83" w:rsidP="008547D5">
      <w:pPr>
        <w:rPr>
          <w:rFonts w:ascii="Times New Roman" w:hAnsi="Times New Roman" w:cs="Times New Roman"/>
          <w:lang w:val="uk-UA"/>
        </w:rPr>
      </w:pPr>
    </w:p>
    <w:p w14:paraId="31826A40" w14:textId="77777777" w:rsidR="003736E7" w:rsidRPr="00707E43" w:rsidRDefault="003736E7" w:rsidP="003736E7">
      <w:pPr>
        <w:pBdr>
          <w:top w:val="single" w:sz="4" w:space="1" w:color="FFFFFF"/>
          <w:left w:val="single" w:sz="4" w:space="4" w:color="FFFFFF"/>
          <w:bottom w:val="single" w:sz="4" w:space="1" w:color="FFFFFF"/>
          <w:right w:val="single" w:sz="4" w:space="4" w:color="FFFFFF"/>
        </w:pBdr>
        <w:rPr>
          <w:rFonts w:ascii="Times New Roman" w:hAnsi="Times New Roman" w:cs="Times New Roman"/>
          <w:b/>
          <w:lang w:val="uk-UA"/>
        </w:rPr>
      </w:pPr>
      <w:r w:rsidRPr="00707E43">
        <w:rPr>
          <w:rFonts w:ascii="Times New Roman" w:hAnsi="Times New Roman" w:cs="Times New Roman"/>
          <w:b/>
          <w:lang w:val="uk-UA"/>
        </w:rPr>
        <w:t>Таблиця 1. Використання оціночних даних (адаптовано з системи GRADE)</w:t>
      </w:r>
    </w:p>
    <w:tbl>
      <w:tblPr>
        <w:tblStyle w:val="a6"/>
        <w:tblW w:w="9918" w:type="dxa"/>
        <w:tblBorders>
          <w:insideH w:val="single" w:sz="4" w:space="0" w:color="FFFFFF"/>
          <w:insideV w:val="single" w:sz="4" w:space="0" w:color="FFFFFF"/>
        </w:tblBorders>
        <w:tblLook w:val="04A0" w:firstRow="1" w:lastRow="0" w:firstColumn="1" w:lastColumn="0" w:noHBand="0" w:noVBand="1"/>
      </w:tblPr>
      <w:tblGrid>
        <w:gridCol w:w="1873"/>
        <w:gridCol w:w="7194"/>
        <w:gridCol w:w="851"/>
      </w:tblGrid>
      <w:tr w:rsidR="003736E7" w14:paraId="0D8ACED9" w14:textId="77777777" w:rsidTr="004971B1">
        <w:tc>
          <w:tcPr>
            <w:tcW w:w="1873" w:type="dxa"/>
          </w:tcPr>
          <w:p w14:paraId="7332EBAB" w14:textId="77777777" w:rsidR="003736E7" w:rsidRDefault="003736E7" w:rsidP="00AC6D39">
            <w:pPr>
              <w:pBdr>
                <w:top w:val="single" w:sz="4" w:space="1" w:color="FFFFFF"/>
                <w:left w:val="single" w:sz="4" w:space="4" w:color="FFFFFF"/>
                <w:bottom w:val="single" w:sz="4" w:space="1" w:color="FFFFFF"/>
                <w:right w:val="single" w:sz="4" w:space="4" w:color="FFFFFF"/>
              </w:pBdr>
              <w:rPr>
                <w:rFonts w:ascii="Times New Roman" w:hAnsi="Times New Roman" w:cs="Times New Roman"/>
                <w:lang w:val="uk-UA"/>
              </w:rPr>
            </w:pPr>
            <w:r>
              <w:rPr>
                <w:rFonts w:ascii="Times New Roman" w:hAnsi="Times New Roman" w:cs="Times New Roman"/>
                <w:lang w:val="uk-UA"/>
              </w:rPr>
              <w:t>Якість доказів</w:t>
            </w:r>
          </w:p>
        </w:tc>
        <w:tc>
          <w:tcPr>
            <w:tcW w:w="7194" w:type="dxa"/>
          </w:tcPr>
          <w:p w14:paraId="0387F7D6" w14:textId="77777777" w:rsidR="003736E7" w:rsidRDefault="003736E7" w:rsidP="00AC6D39">
            <w:pPr>
              <w:pBdr>
                <w:top w:val="single" w:sz="4" w:space="1" w:color="FFFFFF"/>
                <w:left w:val="single" w:sz="4" w:space="4" w:color="FFFFFF"/>
                <w:bottom w:val="single" w:sz="4" w:space="1" w:color="FFFFFF"/>
                <w:right w:val="single" w:sz="4" w:space="4" w:color="FFFFFF"/>
              </w:pBdr>
              <w:rPr>
                <w:rFonts w:ascii="Times New Roman" w:hAnsi="Times New Roman" w:cs="Times New Roman"/>
                <w:lang w:val="uk-UA"/>
              </w:rPr>
            </w:pPr>
          </w:p>
        </w:tc>
        <w:tc>
          <w:tcPr>
            <w:tcW w:w="851" w:type="dxa"/>
          </w:tcPr>
          <w:p w14:paraId="123B71D6" w14:textId="77777777" w:rsidR="003736E7" w:rsidRPr="00BA3365" w:rsidRDefault="003736E7" w:rsidP="00AC6D39">
            <w:pPr>
              <w:pBdr>
                <w:top w:val="single" w:sz="4" w:space="1" w:color="FFFFFF"/>
                <w:left w:val="single" w:sz="4" w:space="4" w:color="FFFFFF"/>
                <w:bottom w:val="single" w:sz="4" w:space="1" w:color="FFFFFF"/>
                <w:right w:val="single" w:sz="4" w:space="4" w:color="FFFFFF"/>
              </w:pBdr>
              <w:jc w:val="center"/>
              <w:rPr>
                <w:rFonts w:ascii="Times New Roman" w:hAnsi="Times New Roman" w:cs="Times New Roman"/>
                <w:lang w:val="uk-UA"/>
              </w:rPr>
            </w:pPr>
          </w:p>
        </w:tc>
      </w:tr>
      <w:tr w:rsidR="003736E7" w14:paraId="0113C111" w14:textId="77777777" w:rsidTr="004971B1">
        <w:tc>
          <w:tcPr>
            <w:tcW w:w="1873" w:type="dxa"/>
            <w:shd w:val="clear" w:color="auto" w:fill="9CC2E5" w:themeFill="accent1" w:themeFillTint="99"/>
          </w:tcPr>
          <w:p w14:paraId="212E25D6" w14:textId="77777777" w:rsidR="003736E7" w:rsidRDefault="003736E7" w:rsidP="00AC6D39">
            <w:pPr>
              <w:pBdr>
                <w:top w:val="single" w:sz="4" w:space="1" w:color="FFFFFF"/>
                <w:left w:val="single" w:sz="4" w:space="4" w:color="FFFFFF"/>
                <w:bottom w:val="single" w:sz="4" w:space="1" w:color="FFFFFF"/>
                <w:right w:val="single" w:sz="4" w:space="4" w:color="FFFFFF"/>
              </w:pBdr>
              <w:rPr>
                <w:rFonts w:ascii="Times New Roman" w:hAnsi="Times New Roman" w:cs="Times New Roman"/>
                <w:lang w:val="uk-UA"/>
              </w:rPr>
            </w:pPr>
            <w:r>
              <w:rPr>
                <w:rFonts w:ascii="Times New Roman" w:hAnsi="Times New Roman" w:cs="Times New Roman"/>
                <w:lang w:val="uk-UA"/>
              </w:rPr>
              <w:t xml:space="preserve">Висока </w:t>
            </w:r>
          </w:p>
          <w:p w14:paraId="026E55C4" w14:textId="77777777" w:rsidR="003736E7" w:rsidRDefault="003736E7" w:rsidP="00AC6D39">
            <w:pPr>
              <w:pBdr>
                <w:top w:val="single" w:sz="4" w:space="1" w:color="FFFFFF"/>
                <w:left w:val="single" w:sz="4" w:space="4" w:color="FFFFFF"/>
                <w:bottom w:val="single" w:sz="4" w:space="1" w:color="FFFFFF"/>
                <w:right w:val="single" w:sz="4" w:space="4" w:color="FFFFFF"/>
              </w:pBdr>
              <w:rPr>
                <w:rFonts w:ascii="Times New Roman" w:hAnsi="Times New Roman" w:cs="Times New Roman"/>
                <w:lang w:val="uk-UA"/>
              </w:rPr>
            </w:pPr>
          </w:p>
        </w:tc>
        <w:tc>
          <w:tcPr>
            <w:tcW w:w="7194" w:type="dxa"/>
            <w:shd w:val="clear" w:color="auto" w:fill="9CC2E5" w:themeFill="accent1" w:themeFillTint="99"/>
          </w:tcPr>
          <w:p w14:paraId="5DDCFD91" w14:textId="1C6EFEDE" w:rsidR="003736E7" w:rsidRPr="0099508F" w:rsidRDefault="003736E7" w:rsidP="00591722">
            <w:pPr>
              <w:pBdr>
                <w:top w:val="single" w:sz="4" w:space="1" w:color="FFFFFF"/>
                <w:left w:val="single" w:sz="4" w:space="4" w:color="FFFFFF"/>
                <w:bottom w:val="single" w:sz="4" w:space="1" w:color="FFFFFF"/>
                <w:right w:val="single" w:sz="4" w:space="4" w:color="FFFFFF"/>
              </w:pBdr>
              <w:rPr>
                <w:rFonts w:ascii="Times New Roman" w:hAnsi="Times New Roman" w:cs="Times New Roman"/>
                <w:lang w:val="uk-UA"/>
              </w:rPr>
            </w:pPr>
            <w:r>
              <w:rPr>
                <w:rFonts w:ascii="Times New Roman" w:hAnsi="Times New Roman" w:cs="Times New Roman"/>
                <w:lang w:val="uk-UA"/>
              </w:rPr>
              <w:t>Д</w:t>
            </w:r>
            <w:r w:rsidRPr="009C6DD2">
              <w:rPr>
                <w:rFonts w:ascii="Times New Roman" w:hAnsi="Times New Roman" w:cs="Times New Roman"/>
                <w:lang w:val="uk-UA"/>
              </w:rPr>
              <w:t>уже малоймовірно</w:t>
            </w:r>
            <w:r>
              <w:rPr>
                <w:rFonts w:ascii="Times New Roman" w:hAnsi="Times New Roman" w:cs="Times New Roman"/>
                <w:lang w:val="uk-UA"/>
              </w:rPr>
              <w:t>, що</w:t>
            </w:r>
            <w:r w:rsidRPr="009C6DD2">
              <w:rPr>
                <w:rFonts w:ascii="Times New Roman" w:hAnsi="Times New Roman" w:cs="Times New Roman"/>
                <w:lang w:val="uk-UA"/>
              </w:rPr>
              <w:t xml:space="preserve"> </w:t>
            </w:r>
            <w:r>
              <w:rPr>
                <w:rFonts w:ascii="Times New Roman" w:hAnsi="Times New Roman" w:cs="Times New Roman"/>
                <w:lang w:val="uk-UA"/>
              </w:rPr>
              <w:t>п</w:t>
            </w:r>
            <w:r w:rsidRPr="009C6DD2">
              <w:rPr>
                <w:rFonts w:ascii="Times New Roman" w:hAnsi="Times New Roman" w:cs="Times New Roman"/>
                <w:lang w:val="uk-UA"/>
              </w:rPr>
              <w:t xml:space="preserve">одальші дослідження </w:t>
            </w:r>
            <w:r>
              <w:rPr>
                <w:rFonts w:ascii="Times New Roman" w:hAnsi="Times New Roman" w:cs="Times New Roman"/>
                <w:lang w:val="uk-UA"/>
              </w:rPr>
              <w:t>змінять впевненість щодо оцінки впливу</w:t>
            </w:r>
          </w:p>
        </w:tc>
        <w:tc>
          <w:tcPr>
            <w:tcW w:w="851" w:type="dxa"/>
            <w:shd w:val="clear" w:color="auto" w:fill="9CC2E5" w:themeFill="accent1" w:themeFillTint="99"/>
          </w:tcPr>
          <w:p w14:paraId="01F89AD1" w14:textId="77777777" w:rsidR="003736E7" w:rsidRDefault="003736E7" w:rsidP="00AC6D39">
            <w:pPr>
              <w:pBdr>
                <w:top w:val="single" w:sz="4" w:space="1" w:color="FFFFFF"/>
                <w:left w:val="single" w:sz="4" w:space="4" w:color="FFFFFF"/>
                <w:bottom w:val="single" w:sz="4" w:space="1" w:color="FFFFFF"/>
                <w:right w:val="single" w:sz="4" w:space="4" w:color="FFFFFF"/>
              </w:pBdr>
              <w:jc w:val="center"/>
              <w:rPr>
                <w:rFonts w:ascii="Times New Roman" w:hAnsi="Times New Roman" w:cs="Times New Roman"/>
                <w:lang w:val="uk-UA"/>
              </w:rPr>
            </w:pPr>
            <w:r>
              <w:rPr>
                <w:rFonts w:ascii="Times New Roman" w:hAnsi="Times New Roman" w:cs="Times New Roman"/>
                <w:lang w:val="uk-UA"/>
              </w:rPr>
              <w:t>А</w:t>
            </w:r>
          </w:p>
          <w:p w14:paraId="39580710" w14:textId="77777777" w:rsidR="003736E7" w:rsidRDefault="003736E7" w:rsidP="00AC6D39">
            <w:pPr>
              <w:pBdr>
                <w:top w:val="single" w:sz="4" w:space="1" w:color="FFFFFF"/>
                <w:left w:val="single" w:sz="4" w:space="4" w:color="FFFFFF"/>
                <w:bottom w:val="single" w:sz="4" w:space="1" w:color="FFFFFF"/>
                <w:right w:val="single" w:sz="4" w:space="4" w:color="FFFFFF"/>
              </w:pBdr>
              <w:jc w:val="center"/>
              <w:rPr>
                <w:rFonts w:ascii="Times New Roman" w:hAnsi="Times New Roman" w:cs="Times New Roman"/>
                <w:lang w:val="uk-UA"/>
              </w:rPr>
            </w:pPr>
          </w:p>
        </w:tc>
      </w:tr>
      <w:tr w:rsidR="003736E7" w14:paraId="6E391D23" w14:textId="77777777" w:rsidTr="004971B1">
        <w:tc>
          <w:tcPr>
            <w:tcW w:w="1873" w:type="dxa"/>
          </w:tcPr>
          <w:p w14:paraId="6DE261E5" w14:textId="77777777" w:rsidR="003736E7" w:rsidRDefault="003736E7" w:rsidP="00AC6D39">
            <w:pPr>
              <w:pBdr>
                <w:top w:val="single" w:sz="4" w:space="1" w:color="FFFFFF"/>
                <w:left w:val="single" w:sz="4" w:space="4" w:color="FFFFFF"/>
                <w:bottom w:val="single" w:sz="4" w:space="1" w:color="FFFFFF"/>
                <w:right w:val="single" w:sz="4" w:space="4" w:color="FFFFFF"/>
              </w:pBdr>
              <w:rPr>
                <w:rFonts w:ascii="Times New Roman" w:hAnsi="Times New Roman" w:cs="Times New Roman"/>
                <w:lang w:val="uk-UA"/>
              </w:rPr>
            </w:pPr>
            <w:r>
              <w:rPr>
                <w:rFonts w:ascii="Times New Roman" w:hAnsi="Times New Roman" w:cs="Times New Roman"/>
                <w:lang w:val="uk-UA"/>
              </w:rPr>
              <w:t xml:space="preserve">Помірна                                                                </w:t>
            </w:r>
          </w:p>
        </w:tc>
        <w:tc>
          <w:tcPr>
            <w:tcW w:w="7194" w:type="dxa"/>
          </w:tcPr>
          <w:p w14:paraId="20D27B4A" w14:textId="69343954" w:rsidR="003736E7" w:rsidRPr="0099508F" w:rsidRDefault="003736E7" w:rsidP="00591722">
            <w:pPr>
              <w:rPr>
                <w:rFonts w:ascii="Times New Roman" w:hAnsi="Times New Roman" w:cs="Times New Roman"/>
                <w:lang w:val="uk-UA"/>
              </w:rPr>
            </w:pPr>
            <w:r w:rsidRPr="002F7F36">
              <w:rPr>
                <w:rFonts w:ascii="Times New Roman" w:hAnsi="Times New Roman" w:cs="Times New Roman"/>
                <w:lang w:val="uk-UA"/>
              </w:rPr>
              <w:t xml:space="preserve">Подальші дослідження, ймовірно, матимуть суттєвий вплив на впевненість </w:t>
            </w:r>
            <w:r>
              <w:rPr>
                <w:rFonts w:ascii="Times New Roman" w:hAnsi="Times New Roman" w:cs="Times New Roman"/>
                <w:lang w:val="uk-UA"/>
              </w:rPr>
              <w:t>щодо оцінки впливу та можуть змінити попередню оцінку</w:t>
            </w:r>
          </w:p>
        </w:tc>
        <w:tc>
          <w:tcPr>
            <w:tcW w:w="851" w:type="dxa"/>
          </w:tcPr>
          <w:p w14:paraId="45D096E1" w14:textId="77777777" w:rsidR="003736E7" w:rsidRDefault="003736E7" w:rsidP="00AC6D39">
            <w:pPr>
              <w:pBdr>
                <w:top w:val="single" w:sz="4" w:space="1" w:color="FFFFFF"/>
                <w:left w:val="single" w:sz="4" w:space="4" w:color="FFFFFF"/>
                <w:bottom w:val="single" w:sz="4" w:space="1" w:color="FFFFFF"/>
                <w:right w:val="single" w:sz="4" w:space="4" w:color="FFFFFF"/>
              </w:pBdr>
              <w:jc w:val="center"/>
              <w:rPr>
                <w:rFonts w:ascii="Times New Roman" w:hAnsi="Times New Roman" w:cs="Times New Roman"/>
                <w:lang w:val="uk-UA"/>
              </w:rPr>
            </w:pPr>
            <w:r>
              <w:rPr>
                <w:rFonts w:ascii="Times New Roman" w:hAnsi="Times New Roman" w:cs="Times New Roman"/>
                <w:lang w:val="uk-UA"/>
              </w:rPr>
              <w:t>В</w:t>
            </w:r>
          </w:p>
        </w:tc>
      </w:tr>
      <w:tr w:rsidR="003736E7" w14:paraId="0D887EE9" w14:textId="77777777" w:rsidTr="004971B1">
        <w:tc>
          <w:tcPr>
            <w:tcW w:w="1873" w:type="dxa"/>
            <w:shd w:val="clear" w:color="auto" w:fill="9CC2E5" w:themeFill="accent1" w:themeFillTint="99"/>
          </w:tcPr>
          <w:p w14:paraId="201FBB08" w14:textId="77777777" w:rsidR="003736E7" w:rsidRDefault="003736E7" w:rsidP="00AC6D39">
            <w:pPr>
              <w:pBdr>
                <w:top w:val="single" w:sz="4" w:space="1" w:color="FFFFFF"/>
                <w:left w:val="single" w:sz="4" w:space="4" w:color="FFFFFF"/>
                <w:bottom w:val="single" w:sz="4" w:space="1" w:color="FFFFFF"/>
                <w:right w:val="single" w:sz="4" w:space="4" w:color="FFFFFF"/>
              </w:pBdr>
              <w:rPr>
                <w:rFonts w:ascii="Times New Roman" w:hAnsi="Times New Roman" w:cs="Times New Roman"/>
                <w:lang w:val="uk-UA"/>
              </w:rPr>
            </w:pPr>
            <w:r>
              <w:rPr>
                <w:rFonts w:ascii="Times New Roman" w:hAnsi="Times New Roman" w:cs="Times New Roman"/>
                <w:lang w:val="uk-UA"/>
              </w:rPr>
              <w:t xml:space="preserve">Низька </w:t>
            </w:r>
          </w:p>
          <w:p w14:paraId="7C56EA5C" w14:textId="77777777" w:rsidR="003736E7" w:rsidRDefault="003736E7" w:rsidP="00AC6D39">
            <w:pPr>
              <w:pBdr>
                <w:top w:val="single" w:sz="4" w:space="1" w:color="FFFFFF"/>
                <w:left w:val="single" w:sz="4" w:space="4" w:color="FFFFFF"/>
                <w:bottom w:val="single" w:sz="4" w:space="1" w:color="FFFFFF"/>
                <w:right w:val="single" w:sz="4" w:space="4" w:color="FFFFFF"/>
              </w:pBdr>
              <w:rPr>
                <w:rFonts w:ascii="Times New Roman" w:hAnsi="Times New Roman" w:cs="Times New Roman"/>
                <w:lang w:val="uk-UA"/>
              </w:rPr>
            </w:pPr>
          </w:p>
          <w:p w14:paraId="2D69BE10" w14:textId="77777777" w:rsidR="003736E7" w:rsidRDefault="003736E7" w:rsidP="00AC6D39">
            <w:pPr>
              <w:pBdr>
                <w:top w:val="single" w:sz="4" w:space="1" w:color="FFFFFF"/>
                <w:left w:val="single" w:sz="4" w:space="4" w:color="FFFFFF"/>
                <w:bottom w:val="single" w:sz="4" w:space="1" w:color="FFFFFF"/>
                <w:right w:val="single" w:sz="4" w:space="4" w:color="FFFFFF"/>
              </w:pBdr>
              <w:rPr>
                <w:rFonts w:ascii="Times New Roman" w:hAnsi="Times New Roman" w:cs="Times New Roman"/>
                <w:lang w:val="uk-UA"/>
              </w:rPr>
            </w:pPr>
          </w:p>
          <w:p w14:paraId="4CAD425B" w14:textId="77777777" w:rsidR="003736E7" w:rsidRDefault="003736E7" w:rsidP="00AC6D39">
            <w:pPr>
              <w:pBdr>
                <w:top w:val="single" w:sz="4" w:space="1" w:color="FFFFFF"/>
                <w:left w:val="single" w:sz="4" w:space="4" w:color="FFFFFF"/>
                <w:bottom w:val="single" w:sz="4" w:space="1" w:color="FFFFFF"/>
                <w:right w:val="single" w:sz="4" w:space="4" w:color="FFFFFF"/>
              </w:pBdr>
              <w:rPr>
                <w:rFonts w:ascii="Times New Roman" w:hAnsi="Times New Roman" w:cs="Times New Roman"/>
                <w:lang w:val="uk-UA"/>
              </w:rPr>
            </w:pPr>
          </w:p>
        </w:tc>
        <w:tc>
          <w:tcPr>
            <w:tcW w:w="7194" w:type="dxa"/>
            <w:shd w:val="clear" w:color="auto" w:fill="9CC2E5" w:themeFill="accent1" w:themeFillTint="99"/>
          </w:tcPr>
          <w:p w14:paraId="2DD76F08" w14:textId="591C2D90" w:rsidR="003736E7" w:rsidRDefault="003736E7" w:rsidP="00AC6D39">
            <w:pPr>
              <w:pBdr>
                <w:top w:val="single" w:sz="4" w:space="1" w:color="FFFFFF"/>
                <w:left w:val="single" w:sz="4" w:space="4" w:color="FFFFFF"/>
                <w:bottom w:val="single" w:sz="4" w:space="1" w:color="FFFFFF"/>
                <w:right w:val="single" w:sz="4" w:space="4" w:color="FFFFFF"/>
              </w:pBdr>
              <w:rPr>
                <w:rFonts w:ascii="Times New Roman" w:hAnsi="Times New Roman" w:cs="Times New Roman"/>
                <w:lang w:val="uk-UA"/>
              </w:rPr>
            </w:pPr>
            <w:r w:rsidRPr="002F7F36">
              <w:rPr>
                <w:rFonts w:ascii="Times New Roman" w:hAnsi="Times New Roman" w:cs="Times New Roman"/>
                <w:lang w:val="uk-UA"/>
              </w:rPr>
              <w:t xml:space="preserve">Подальші дослідження, ймовірно, матимуть суттєвий вплив на </w:t>
            </w:r>
            <w:r>
              <w:rPr>
                <w:rFonts w:ascii="Times New Roman" w:hAnsi="Times New Roman" w:cs="Times New Roman"/>
                <w:lang w:val="uk-UA"/>
              </w:rPr>
              <w:t>впевненість щодо оцінки впливу і, ймовірно, змінять попередню</w:t>
            </w:r>
            <w:r w:rsidRPr="002F7F36">
              <w:rPr>
                <w:rFonts w:ascii="Times New Roman" w:hAnsi="Times New Roman" w:cs="Times New Roman"/>
                <w:lang w:val="uk-UA"/>
              </w:rPr>
              <w:t xml:space="preserve"> оцінку. Будь</w:t>
            </w:r>
            <w:r w:rsidR="00FC6D8A">
              <w:rPr>
                <w:rFonts w:ascii="Times New Roman" w:hAnsi="Times New Roman" w:cs="Times New Roman"/>
                <w:lang w:val="uk-UA"/>
              </w:rPr>
              <w:t>–</w:t>
            </w:r>
            <w:r w:rsidRPr="002F7F36">
              <w:rPr>
                <w:rFonts w:ascii="Times New Roman" w:hAnsi="Times New Roman" w:cs="Times New Roman"/>
                <w:lang w:val="uk-UA"/>
              </w:rPr>
              <w:t>яка зміна оцінки невизначена</w:t>
            </w:r>
          </w:p>
        </w:tc>
        <w:tc>
          <w:tcPr>
            <w:tcW w:w="851" w:type="dxa"/>
            <w:shd w:val="clear" w:color="auto" w:fill="9CC2E5" w:themeFill="accent1" w:themeFillTint="99"/>
          </w:tcPr>
          <w:p w14:paraId="3CCB54CE" w14:textId="77777777" w:rsidR="003736E7" w:rsidRDefault="003736E7" w:rsidP="00AC6D39">
            <w:pPr>
              <w:pBdr>
                <w:top w:val="single" w:sz="4" w:space="1" w:color="FFFFFF"/>
                <w:left w:val="single" w:sz="4" w:space="4" w:color="FFFFFF"/>
                <w:bottom w:val="single" w:sz="4" w:space="1" w:color="FFFFFF"/>
                <w:right w:val="single" w:sz="4" w:space="4" w:color="FFFFFF"/>
              </w:pBdr>
              <w:jc w:val="center"/>
              <w:rPr>
                <w:rFonts w:ascii="Times New Roman" w:hAnsi="Times New Roman" w:cs="Times New Roman"/>
                <w:lang w:val="uk-UA"/>
              </w:rPr>
            </w:pPr>
            <w:r>
              <w:rPr>
                <w:rFonts w:ascii="Times New Roman" w:hAnsi="Times New Roman" w:cs="Times New Roman"/>
                <w:lang w:val="uk-UA"/>
              </w:rPr>
              <w:t>С</w:t>
            </w:r>
          </w:p>
          <w:p w14:paraId="5F8146F0" w14:textId="77777777" w:rsidR="003736E7" w:rsidRDefault="003736E7" w:rsidP="00AC6D39">
            <w:pPr>
              <w:pBdr>
                <w:top w:val="single" w:sz="4" w:space="1" w:color="FFFFFF"/>
                <w:left w:val="single" w:sz="4" w:space="4" w:color="FFFFFF"/>
                <w:bottom w:val="single" w:sz="4" w:space="1" w:color="FFFFFF"/>
                <w:right w:val="single" w:sz="4" w:space="4" w:color="FFFFFF"/>
              </w:pBdr>
              <w:jc w:val="center"/>
              <w:rPr>
                <w:rFonts w:ascii="Times New Roman" w:hAnsi="Times New Roman" w:cs="Times New Roman"/>
                <w:lang w:val="uk-UA"/>
              </w:rPr>
            </w:pPr>
          </w:p>
          <w:p w14:paraId="7D8B58CC" w14:textId="77777777" w:rsidR="003736E7" w:rsidRDefault="003736E7" w:rsidP="00AC6D39">
            <w:pPr>
              <w:pBdr>
                <w:top w:val="single" w:sz="4" w:space="1" w:color="FFFFFF"/>
                <w:left w:val="single" w:sz="4" w:space="4" w:color="FFFFFF"/>
                <w:bottom w:val="single" w:sz="4" w:space="1" w:color="FFFFFF"/>
                <w:right w:val="single" w:sz="4" w:space="4" w:color="FFFFFF"/>
              </w:pBdr>
              <w:jc w:val="center"/>
              <w:rPr>
                <w:rFonts w:ascii="Times New Roman" w:hAnsi="Times New Roman" w:cs="Times New Roman"/>
                <w:lang w:val="uk-UA"/>
              </w:rPr>
            </w:pPr>
          </w:p>
          <w:p w14:paraId="65DA94BA" w14:textId="77777777" w:rsidR="003736E7" w:rsidRDefault="003736E7" w:rsidP="00AC6D39">
            <w:pPr>
              <w:pBdr>
                <w:top w:val="single" w:sz="4" w:space="1" w:color="FFFFFF"/>
                <w:left w:val="single" w:sz="4" w:space="4" w:color="FFFFFF"/>
                <w:bottom w:val="single" w:sz="4" w:space="1" w:color="FFFFFF"/>
                <w:right w:val="single" w:sz="4" w:space="4" w:color="FFFFFF"/>
              </w:pBdr>
              <w:jc w:val="center"/>
              <w:rPr>
                <w:rFonts w:ascii="Times New Roman" w:hAnsi="Times New Roman" w:cs="Times New Roman"/>
                <w:lang w:val="uk-UA"/>
              </w:rPr>
            </w:pPr>
          </w:p>
        </w:tc>
      </w:tr>
      <w:tr w:rsidR="003736E7" w14:paraId="5568C3CD" w14:textId="77777777" w:rsidTr="004971B1">
        <w:tc>
          <w:tcPr>
            <w:tcW w:w="1873" w:type="dxa"/>
          </w:tcPr>
          <w:p w14:paraId="4879743B" w14:textId="77777777" w:rsidR="003736E7" w:rsidRDefault="003736E7" w:rsidP="00AC6D39">
            <w:pPr>
              <w:pBdr>
                <w:top w:val="single" w:sz="4" w:space="1" w:color="FFFFFF"/>
                <w:left w:val="single" w:sz="4" w:space="4" w:color="FFFFFF"/>
                <w:bottom w:val="single" w:sz="4" w:space="1" w:color="FFFFFF"/>
                <w:right w:val="single" w:sz="4" w:space="4" w:color="FFFFFF"/>
              </w:pBdr>
              <w:rPr>
                <w:rFonts w:ascii="Times New Roman" w:hAnsi="Times New Roman" w:cs="Times New Roman"/>
                <w:lang w:val="uk-UA"/>
              </w:rPr>
            </w:pPr>
            <w:r>
              <w:rPr>
                <w:rFonts w:ascii="Times New Roman" w:hAnsi="Times New Roman" w:cs="Times New Roman"/>
                <w:lang w:val="uk-UA"/>
              </w:rPr>
              <w:t>Рекомендації</w:t>
            </w:r>
          </w:p>
        </w:tc>
        <w:tc>
          <w:tcPr>
            <w:tcW w:w="7194" w:type="dxa"/>
          </w:tcPr>
          <w:p w14:paraId="766CCF20" w14:textId="77777777" w:rsidR="003736E7" w:rsidRDefault="003736E7" w:rsidP="00AC6D39">
            <w:pPr>
              <w:pBdr>
                <w:top w:val="single" w:sz="4" w:space="1" w:color="FFFFFF"/>
                <w:left w:val="single" w:sz="4" w:space="4" w:color="FFFFFF"/>
                <w:bottom w:val="single" w:sz="4" w:space="1" w:color="FFFFFF"/>
                <w:right w:val="single" w:sz="4" w:space="4" w:color="FFFFFF"/>
              </w:pBdr>
              <w:rPr>
                <w:rFonts w:ascii="Times New Roman" w:hAnsi="Times New Roman" w:cs="Times New Roman"/>
                <w:lang w:val="uk-UA"/>
              </w:rPr>
            </w:pPr>
          </w:p>
        </w:tc>
        <w:tc>
          <w:tcPr>
            <w:tcW w:w="851" w:type="dxa"/>
          </w:tcPr>
          <w:p w14:paraId="4752FAB5" w14:textId="77777777" w:rsidR="003736E7" w:rsidRDefault="003736E7" w:rsidP="00AC6D39">
            <w:pPr>
              <w:pBdr>
                <w:top w:val="single" w:sz="4" w:space="1" w:color="FFFFFF"/>
                <w:left w:val="single" w:sz="4" w:space="4" w:color="FFFFFF"/>
                <w:bottom w:val="single" w:sz="4" w:space="1" w:color="FFFFFF"/>
                <w:right w:val="single" w:sz="4" w:space="4" w:color="FFFFFF"/>
              </w:pBdr>
              <w:jc w:val="center"/>
              <w:rPr>
                <w:rFonts w:ascii="Times New Roman" w:hAnsi="Times New Roman" w:cs="Times New Roman"/>
                <w:lang w:val="uk-UA"/>
              </w:rPr>
            </w:pPr>
          </w:p>
        </w:tc>
      </w:tr>
      <w:tr w:rsidR="003736E7" w14:paraId="5E27C3FD" w14:textId="77777777" w:rsidTr="004971B1">
        <w:tc>
          <w:tcPr>
            <w:tcW w:w="1873" w:type="dxa"/>
            <w:shd w:val="clear" w:color="auto" w:fill="9CC2E5" w:themeFill="accent1" w:themeFillTint="99"/>
          </w:tcPr>
          <w:p w14:paraId="2F2C6558" w14:textId="77777777" w:rsidR="003736E7" w:rsidRDefault="003736E7" w:rsidP="00AC6D39">
            <w:pPr>
              <w:pBdr>
                <w:top w:val="single" w:sz="4" w:space="1" w:color="FFFFFF"/>
                <w:left w:val="single" w:sz="4" w:space="4" w:color="FFFFFF"/>
                <w:bottom w:val="single" w:sz="4" w:space="1" w:color="FFFFFF"/>
                <w:right w:val="single" w:sz="4" w:space="4" w:color="FFFFFF"/>
              </w:pBdr>
              <w:tabs>
                <w:tab w:val="left" w:pos="465"/>
              </w:tabs>
              <w:rPr>
                <w:rFonts w:ascii="Times New Roman" w:hAnsi="Times New Roman" w:cs="Times New Roman"/>
                <w:lang w:val="uk-UA"/>
              </w:rPr>
            </w:pPr>
            <w:r>
              <w:rPr>
                <w:rFonts w:ascii="Times New Roman" w:hAnsi="Times New Roman" w:cs="Times New Roman"/>
                <w:lang w:val="uk-UA"/>
              </w:rPr>
              <w:t>Сильна</w:t>
            </w:r>
            <w:r>
              <w:rPr>
                <w:rFonts w:ascii="Times New Roman" w:hAnsi="Times New Roman" w:cs="Times New Roman"/>
                <w:lang w:val="uk-UA"/>
              </w:rPr>
              <w:tab/>
            </w:r>
          </w:p>
          <w:p w14:paraId="55389A96" w14:textId="77777777" w:rsidR="003736E7" w:rsidRDefault="003736E7" w:rsidP="00AC6D39">
            <w:pPr>
              <w:pBdr>
                <w:top w:val="single" w:sz="4" w:space="1" w:color="FFFFFF"/>
                <w:left w:val="single" w:sz="4" w:space="4" w:color="FFFFFF"/>
                <w:bottom w:val="single" w:sz="4" w:space="1" w:color="FFFFFF"/>
                <w:right w:val="single" w:sz="4" w:space="4" w:color="FFFFFF"/>
              </w:pBdr>
              <w:tabs>
                <w:tab w:val="left" w:pos="465"/>
              </w:tabs>
              <w:rPr>
                <w:rFonts w:ascii="Times New Roman" w:hAnsi="Times New Roman" w:cs="Times New Roman"/>
                <w:lang w:val="uk-UA"/>
              </w:rPr>
            </w:pPr>
          </w:p>
          <w:p w14:paraId="778F607A" w14:textId="77777777" w:rsidR="003736E7" w:rsidRDefault="003736E7" w:rsidP="00AC6D39">
            <w:pPr>
              <w:pBdr>
                <w:top w:val="single" w:sz="4" w:space="1" w:color="FFFFFF"/>
                <w:left w:val="single" w:sz="4" w:space="4" w:color="FFFFFF"/>
                <w:bottom w:val="single" w:sz="4" w:space="1" w:color="FFFFFF"/>
                <w:right w:val="single" w:sz="4" w:space="4" w:color="FFFFFF"/>
              </w:pBdr>
              <w:tabs>
                <w:tab w:val="left" w:pos="465"/>
              </w:tabs>
              <w:rPr>
                <w:rFonts w:ascii="Times New Roman" w:hAnsi="Times New Roman" w:cs="Times New Roman"/>
                <w:lang w:val="uk-UA"/>
              </w:rPr>
            </w:pPr>
          </w:p>
        </w:tc>
        <w:tc>
          <w:tcPr>
            <w:tcW w:w="7194" w:type="dxa"/>
            <w:shd w:val="clear" w:color="auto" w:fill="9CC2E5" w:themeFill="accent1" w:themeFillTint="99"/>
          </w:tcPr>
          <w:p w14:paraId="52752F6A" w14:textId="77777777" w:rsidR="003736E7" w:rsidRDefault="003736E7" w:rsidP="00AC6D39">
            <w:pPr>
              <w:pBdr>
                <w:top w:val="single" w:sz="4" w:space="1" w:color="FFFFFF"/>
                <w:left w:val="single" w:sz="4" w:space="4" w:color="FFFFFF"/>
                <w:bottom w:val="single" w:sz="4" w:space="1" w:color="FFFFFF"/>
                <w:right w:val="single" w:sz="4" w:space="4" w:color="FFFFFF"/>
              </w:pBdr>
              <w:rPr>
                <w:rFonts w:ascii="Times New Roman" w:hAnsi="Times New Roman" w:cs="Times New Roman"/>
                <w:lang w:val="uk-UA"/>
              </w:rPr>
            </w:pPr>
            <w:r>
              <w:rPr>
                <w:rFonts w:ascii="Times New Roman" w:hAnsi="Times New Roman" w:cs="Times New Roman"/>
                <w:lang w:val="uk-UA"/>
              </w:rPr>
              <w:t>Фактори, що впливають на силу</w:t>
            </w:r>
            <w:r w:rsidRPr="002F7F36">
              <w:rPr>
                <w:rFonts w:ascii="Times New Roman" w:hAnsi="Times New Roman" w:cs="Times New Roman"/>
                <w:lang w:val="uk-UA"/>
              </w:rPr>
              <w:t xml:space="preserve"> рекомендації</w:t>
            </w:r>
            <w:r>
              <w:rPr>
                <w:rFonts w:ascii="Times New Roman" w:hAnsi="Times New Roman" w:cs="Times New Roman"/>
                <w:lang w:val="uk-UA"/>
              </w:rPr>
              <w:t>, включали якість доказів, припущення щодо важливих для пацієнта  результатів</w:t>
            </w:r>
            <w:r w:rsidRPr="002F7F36">
              <w:rPr>
                <w:rFonts w:ascii="Times New Roman" w:hAnsi="Times New Roman" w:cs="Times New Roman"/>
                <w:lang w:val="uk-UA"/>
              </w:rPr>
              <w:t xml:space="preserve"> та вартість</w:t>
            </w:r>
          </w:p>
        </w:tc>
        <w:tc>
          <w:tcPr>
            <w:tcW w:w="851" w:type="dxa"/>
            <w:shd w:val="clear" w:color="auto" w:fill="9CC2E5" w:themeFill="accent1" w:themeFillTint="99"/>
          </w:tcPr>
          <w:p w14:paraId="74A8E287" w14:textId="77777777" w:rsidR="003736E7" w:rsidRDefault="003736E7" w:rsidP="00AC6D39">
            <w:pPr>
              <w:pBdr>
                <w:top w:val="single" w:sz="4" w:space="1" w:color="FFFFFF"/>
                <w:left w:val="single" w:sz="4" w:space="4" w:color="FFFFFF"/>
                <w:bottom w:val="single" w:sz="4" w:space="1" w:color="FFFFFF"/>
                <w:right w:val="single" w:sz="4" w:space="4" w:color="FFFFFF"/>
              </w:pBdr>
              <w:jc w:val="center"/>
              <w:rPr>
                <w:rFonts w:ascii="Times New Roman" w:hAnsi="Times New Roman" w:cs="Times New Roman"/>
                <w:lang w:val="uk-UA"/>
              </w:rPr>
            </w:pPr>
            <w:r>
              <w:rPr>
                <w:rFonts w:ascii="Times New Roman" w:hAnsi="Times New Roman" w:cs="Times New Roman"/>
                <w:lang w:val="uk-UA"/>
              </w:rPr>
              <w:t>1</w:t>
            </w:r>
          </w:p>
          <w:p w14:paraId="0E0739E6" w14:textId="77777777" w:rsidR="003736E7" w:rsidRDefault="003736E7" w:rsidP="00AC6D39">
            <w:pPr>
              <w:pBdr>
                <w:top w:val="single" w:sz="4" w:space="1" w:color="FFFFFF"/>
                <w:left w:val="single" w:sz="4" w:space="4" w:color="FFFFFF"/>
                <w:bottom w:val="single" w:sz="4" w:space="1" w:color="FFFFFF"/>
                <w:right w:val="single" w:sz="4" w:space="4" w:color="FFFFFF"/>
              </w:pBdr>
              <w:jc w:val="center"/>
              <w:rPr>
                <w:rFonts w:ascii="Times New Roman" w:hAnsi="Times New Roman" w:cs="Times New Roman"/>
                <w:lang w:val="uk-UA"/>
              </w:rPr>
            </w:pPr>
          </w:p>
          <w:p w14:paraId="4644F2EA" w14:textId="77777777" w:rsidR="003736E7" w:rsidRDefault="003736E7" w:rsidP="00AC6D39">
            <w:pPr>
              <w:pBdr>
                <w:top w:val="single" w:sz="4" w:space="1" w:color="FFFFFF"/>
                <w:left w:val="single" w:sz="4" w:space="4" w:color="FFFFFF"/>
                <w:bottom w:val="single" w:sz="4" w:space="1" w:color="FFFFFF"/>
                <w:right w:val="single" w:sz="4" w:space="4" w:color="FFFFFF"/>
              </w:pBdr>
              <w:jc w:val="center"/>
              <w:rPr>
                <w:rFonts w:ascii="Times New Roman" w:hAnsi="Times New Roman" w:cs="Times New Roman"/>
                <w:lang w:val="uk-UA"/>
              </w:rPr>
            </w:pPr>
          </w:p>
        </w:tc>
      </w:tr>
      <w:tr w:rsidR="003736E7" w14:paraId="11BF18D6" w14:textId="77777777" w:rsidTr="004971B1">
        <w:tc>
          <w:tcPr>
            <w:tcW w:w="1873" w:type="dxa"/>
          </w:tcPr>
          <w:p w14:paraId="3696979A" w14:textId="77777777" w:rsidR="003736E7" w:rsidRDefault="003736E7" w:rsidP="00AC6D39">
            <w:pPr>
              <w:pBdr>
                <w:top w:val="single" w:sz="4" w:space="1" w:color="FFFFFF"/>
                <w:left w:val="single" w:sz="4" w:space="4" w:color="FFFFFF"/>
                <w:bottom w:val="single" w:sz="4" w:space="1" w:color="FFFFFF"/>
                <w:right w:val="single" w:sz="4" w:space="4" w:color="FFFFFF"/>
              </w:pBdr>
              <w:rPr>
                <w:rFonts w:ascii="Times New Roman" w:hAnsi="Times New Roman" w:cs="Times New Roman"/>
                <w:lang w:val="uk-UA"/>
              </w:rPr>
            </w:pPr>
            <w:r>
              <w:rPr>
                <w:rFonts w:ascii="Times New Roman" w:hAnsi="Times New Roman" w:cs="Times New Roman"/>
                <w:lang w:val="uk-UA"/>
              </w:rPr>
              <w:t>Слабка</w:t>
            </w:r>
          </w:p>
        </w:tc>
        <w:tc>
          <w:tcPr>
            <w:tcW w:w="7194" w:type="dxa"/>
          </w:tcPr>
          <w:p w14:paraId="4A42CEDA" w14:textId="77777777" w:rsidR="003736E7" w:rsidRDefault="003736E7" w:rsidP="00AC6D39">
            <w:pPr>
              <w:pBdr>
                <w:top w:val="single" w:sz="4" w:space="1" w:color="FFFFFF"/>
                <w:left w:val="single" w:sz="4" w:space="4" w:color="FFFFFF"/>
                <w:bottom w:val="single" w:sz="4" w:space="1" w:color="FFFFFF"/>
                <w:right w:val="single" w:sz="4" w:space="4" w:color="FFFFFF"/>
              </w:pBdr>
              <w:rPr>
                <w:rFonts w:ascii="Times New Roman" w:hAnsi="Times New Roman" w:cs="Times New Roman"/>
                <w:lang w:val="uk-UA"/>
              </w:rPr>
            </w:pPr>
            <w:r>
              <w:rPr>
                <w:rFonts w:ascii="Times New Roman" w:hAnsi="Times New Roman" w:cs="Times New Roman"/>
                <w:lang w:val="uk-UA"/>
              </w:rPr>
              <w:t>Різниця у питаннях вибору</w:t>
            </w:r>
            <w:r w:rsidRPr="002B13FA">
              <w:rPr>
                <w:rFonts w:ascii="Times New Roman" w:hAnsi="Times New Roman" w:cs="Times New Roman"/>
                <w:lang w:val="uk-UA"/>
              </w:rPr>
              <w:t xml:space="preserve"> та </w:t>
            </w:r>
            <w:r>
              <w:rPr>
                <w:rFonts w:ascii="Times New Roman" w:hAnsi="Times New Roman" w:cs="Times New Roman"/>
                <w:lang w:val="uk-UA"/>
              </w:rPr>
              <w:t xml:space="preserve">тому, чому пацієнти віддають </w:t>
            </w:r>
            <w:r w:rsidRPr="002B13FA">
              <w:rPr>
                <w:rFonts w:ascii="Times New Roman" w:hAnsi="Times New Roman" w:cs="Times New Roman"/>
                <w:lang w:val="uk-UA"/>
              </w:rPr>
              <w:t>переваг</w:t>
            </w:r>
            <w:r>
              <w:rPr>
                <w:rFonts w:ascii="Times New Roman" w:hAnsi="Times New Roman" w:cs="Times New Roman"/>
                <w:lang w:val="uk-UA"/>
              </w:rPr>
              <w:t xml:space="preserve">у </w:t>
            </w:r>
            <w:r w:rsidRPr="002F7F36">
              <w:rPr>
                <w:rFonts w:ascii="Times New Roman" w:hAnsi="Times New Roman" w:cs="Times New Roman"/>
                <w:lang w:val="uk-UA"/>
              </w:rPr>
              <w:t>або більш</w:t>
            </w:r>
            <w:r>
              <w:rPr>
                <w:rFonts w:ascii="Times New Roman" w:hAnsi="Times New Roman" w:cs="Times New Roman"/>
                <w:lang w:val="uk-UA"/>
              </w:rPr>
              <w:t xml:space="preserve">е невизначеності. Рекомендація </w:t>
            </w:r>
            <w:r w:rsidRPr="002F7F36">
              <w:rPr>
                <w:rFonts w:ascii="Times New Roman" w:hAnsi="Times New Roman" w:cs="Times New Roman"/>
                <w:lang w:val="uk-UA"/>
              </w:rPr>
              <w:t>ро</w:t>
            </w:r>
            <w:r>
              <w:rPr>
                <w:rFonts w:ascii="Times New Roman" w:hAnsi="Times New Roman" w:cs="Times New Roman"/>
                <w:lang w:val="uk-UA"/>
              </w:rPr>
              <w:t>зроб</w:t>
            </w:r>
            <w:r w:rsidRPr="002F7F36">
              <w:rPr>
                <w:rFonts w:ascii="Times New Roman" w:hAnsi="Times New Roman" w:cs="Times New Roman"/>
                <w:lang w:val="uk-UA"/>
              </w:rPr>
              <w:t>лена з меншою впевненіст</w:t>
            </w:r>
            <w:r>
              <w:rPr>
                <w:rFonts w:ascii="Times New Roman" w:hAnsi="Times New Roman" w:cs="Times New Roman"/>
                <w:lang w:val="uk-UA"/>
              </w:rPr>
              <w:t>ю, більш високою вартістю або більшим використанням</w:t>
            </w:r>
            <w:r w:rsidRPr="002F7F36">
              <w:rPr>
                <w:rFonts w:ascii="Times New Roman" w:hAnsi="Times New Roman" w:cs="Times New Roman"/>
                <w:lang w:val="uk-UA"/>
              </w:rPr>
              <w:t xml:space="preserve"> ресурсів</w:t>
            </w:r>
          </w:p>
        </w:tc>
        <w:tc>
          <w:tcPr>
            <w:tcW w:w="851" w:type="dxa"/>
          </w:tcPr>
          <w:p w14:paraId="00066E38" w14:textId="77777777" w:rsidR="003736E7" w:rsidRDefault="003736E7" w:rsidP="00AC6D39">
            <w:pPr>
              <w:pBdr>
                <w:top w:val="single" w:sz="4" w:space="1" w:color="FFFFFF"/>
                <w:left w:val="single" w:sz="4" w:space="4" w:color="FFFFFF"/>
                <w:bottom w:val="single" w:sz="4" w:space="1" w:color="FFFFFF"/>
                <w:right w:val="single" w:sz="4" w:space="4" w:color="FFFFFF"/>
              </w:pBdr>
              <w:jc w:val="center"/>
              <w:rPr>
                <w:rFonts w:ascii="Times New Roman" w:hAnsi="Times New Roman" w:cs="Times New Roman"/>
                <w:lang w:val="uk-UA"/>
              </w:rPr>
            </w:pPr>
            <w:r>
              <w:rPr>
                <w:rFonts w:ascii="Times New Roman" w:hAnsi="Times New Roman" w:cs="Times New Roman"/>
                <w:lang w:val="uk-UA"/>
              </w:rPr>
              <w:t>2</w:t>
            </w:r>
          </w:p>
        </w:tc>
      </w:tr>
    </w:tbl>
    <w:p w14:paraId="22DCE1A4" w14:textId="3E58ED37" w:rsidR="003736E7" w:rsidRDefault="003736E7" w:rsidP="00C87A95">
      <w:pPr>
        <w:outlineLvl w:val="0"/>
        <w:rPr>
          <w:rFonts w:ascii="Times New Roman" w:hAnsi="Times New Roman" w:cs="Times New Roman"/>
          <w:b/>
          <w:color w:val="0070C0"/>
          <w:lang w:val="uk-UA"/>
        </w:rPr>
      </w:pPr>
    </w:p>
    <w:p w14:paraId="74911ED5" w14:textId="7E58D8FF" w:rsidR="00C92E83" w:rsidRDefault="00C92E83" w:rsidP="00C87A95">
      <w:pPr>
        <w:outlineLvl w:val="0"/>
        <w:rPr>
          <w:rFonts w:ascii="Times New Roman" w:hAnsi="Times New Roman" w:cs="Times New Roman"/>
          <w:b/>
          <w:color w:val="0070C0"/>
          <w:lang w:val="uk-UA"/>
        </w:rPr>
      </w:pPr>
    </w:p>
    <w:p w14:paraId="3189A626" w14:textId="08B7CEDC" w:rsidR="00C92E83" w:rsidRDefault="00C92E83" w:rsidP="00C87A95">
      <w:pPr>
        <w:outlineLvl w:val="0"/>
        <w:rPr>
          <w:rFonts w:ascii="Times New Roman" w:hAnsi="Times New Roman" w:cs="Times New Roman"/>
          <w:b/>
          <w:color w:val="0070C0"/>
          <w:lang w:val="uk-UA"/>
        </w:rPr>
      </w:pPr>
    </w:p>
    <w:p w14:paraId="0E87733D" w14:textId="7D5CB02A" w:rsidR="00C92E83" w:rsidRDefault="00C92E83" w:rsidP="00C87A95">
      <w:pPr>
        <w:outlineLvl w:val="0"/>
        <w:rPr>
          <w:rFonts w:ascii="Times New Roman" w:hAnsi="Times New Roman" w:cs="Times New Roman"/>
          <w:b/>
          <w:color w:val="0070C0"/>
          <w:lang w:val="uk-UA"/>
        </w:rPr>
      </w:pPr>
    </w:p>
    <w:p w14:paraId="67DF469F" w14:textId="7BA53C44" w:rsidR="00C92E83" w:rsidRDefault="00C92E83" w:rsidP="00C87A95">
      <w:pPr>
        <w:outlineLvl w:val="0"/>
        <w:rPr>
          <w:rFonts w:ascii="Times New Roman" w:hAnsi="Times New Roman" w:cs="Times New Roman"/>
          <w:b/>
          <w:color w:val="0070C0"/>
          <w:lang w:val="uk-UA"/>
        </w:rPr>
      </w:pPr>
    </w:p>
    <w:p w14:paraId="0D05FC3C" w14:textId="39AA4345" w:rsidR="00C92E83" w:rsidRDefault="00C92E83" w:rsidP="00C87A95">
      <w:pPr>
        <w:outlineLvl w:val="0"/>
        <w:rPr>
          <w:rFonts w:ascii="Times New Roman" w:hAnsi="Times New Roman" w:cs="Times New Roman"/>
          <w:b/>
          <w:color w:val="0070C0"/>
          <w:lang w:val="uk-UA"/>
        </w:rPr>
      </w:pPr>
    </w:p>
    <w:p w14:paraId="53E36DC1" w14:textId="56F66E16" w:rsidR="00C92E83" w:rsidRDefault="00C92E83" w:rsidP="00C87A95">
      <w:pPr>
        <w:outlineLvl w:val="0"/>
        <w:rPr>
          <w:rFonts w:ascii="Times New Roman" w:hAnsi="Times New Roman" w:cs="Times New Roman"/>
          <w:b/>
          <w:color w:val="0070C0"/>
          <w:lang w:val="uk-UA"/>
        </w:rPr>
      </w:pPr>
    </w:p>
    <w:p w14:paraId="7723D67E" w14:textId="03DBBE80" w:rsidR="008547D5" w:rsidRPr="002A4A0E" w:rsidRDefault="008547D5" w:rsidP="00C87A95">
      <w:pPr>
        <w:outlineLvl w:val="0"/>
        <w:rPr>
          <w:rFonts w:ascii="Times New Roman" w:hAnsi="Times New Roman" w:cs="Times New Roman"/>
          <w:b/>
          <w:color w:val="0070C0"/>
          <w:lang w:val="uk-UA"/>
        </w:rPr>
      </w:pPr>
      <w:r w:rsidRPr="002A4A0E">
        <w:rPr>
          <w:rFonts w:ascii="Times New Roman" w:hAnsi="Times New Roman" w:cs="Times New Roman"/>
          <w:b/>
          <w:color w:val="0070C0"/>
          <w:lang w:val="uk-UA"/>
        </w:rPr>
        <w:lastRenderedPageBreak/>
        <w:t>Діагностика гострого та хронічного гепатиту С</w:t>
      </w:r>
    </w:p>
    <w:p w14:paraId="017D10E5" w14:textId="77777777" w:rsidR="008547D5" w:rsidRDefault="008547D5" w:rsidP="008547D5">
      <w:pPr>
        <w:rPr>
          <w:rFonts w:ascii="Times New Roman" w:hAnsi="Times New Roman" w:cs="Times New Roman"/>
          <w:lang w:val="uk-UA"/>
        </w:rPr>
      </w:pPr>
    </w:p>
    <w:p w14:paraId="43C84552" w14:textId="4116B383" w:rsidR="00B4522B" w:rsidRPr="00B4522B" w:rsidRDefault="002A4A0E" w:rsidP="003736E7">
      <w:pPr>
        <w:jc w:val="both"/>
        <w:rPr>
          <w:rFonts w:ascii="Times New Roman" w:hAnsi="Times New Roman" w:cs="Times New Roman"/>
          <w:lang w:val="uk-UA"/>
        </w:rPr>
      </w:pPr>
      <w:r>
        <w:rPr>
          <w:rFonts w:ascii="Times New Roman" w:hAnsi="Times New Roman" w:cs="Times New Roman"/>
          <w:lang w:val="uk-UA"/>
        </w:rPr>
        <w:t>Ан</w:t>
      </w:r>
      <w:r w:rsidR="008547D5" w:rsidRPr="008547D5">
        <w:rPr>
          <w:rFonts w:ascii="Times New Roman" w:hAnsi="Times New Roman" w:cs="Times New Roman"/>
          <w:lang w:val="uk-UA"/>
        </w:rPr>
        <w:t xml:space="preserve">титіла </w:t>
      </w:r>
      <w:r>
        <w:rPr>
          <w:rFonts w:ascii="Times New Roman" w:hAnsi="Times New Roman" w:cs="Times New Roman"/>
          <w:lang w:val="uk-UA"/>
        </w:rPr>
        <w:t xml:space="preserve">ВГС </w:t>
      </w:r>
      <w:r w:rsidR="008547D5" w:rsidRPr="008547D5">
        <w:rPr>
          <w:rFonts w:ascii="Times New Roman" w:hAnsi="Times New Roman" w:cs="Times New Roman"/>
          <w:lang w:val="uk-UA"/>
        </w:rPr>
        <w:t xml:space="preserve">виявляються в сироватці або плазмі </w:t>
      </w:r>
      <w:r w:rsidR="00707E43" w:rsidRPr="008547D5">
        <w:rPr>
          <w:rFonts w:ascii="Times New Roman" w:hAnsi="Times New Roman" w:cs="Times New Roman"/>
          <w:lang w:val="uk-UA"/>
        </w:rPr>
        <w:t xml:space="preserve">крові </w:t>
      </w:r>
      <w:r w:rsidR="008547D5" w:rsidRPr="008547D5">
        <w:rPr>
          <w:rFonts w:ascii="Times New Roman" w:hAnsi="Times New Roman" w:cs="Times New Roman"/>
          <w:lang w:val="uk-UA"/>
        </w:rPr>
        <w:t xml:space="preserve">за допомогою </w:t>
      </w:r>
      <w:r w:rsidR="00A223FF">
        <w:rPr>
          <w:rFonts w:ascii="Times New Roman" w:hAnsi="Times New Roman" w:cs="Times New Roman"/>
          <w:lang w:val="uk-UA"/>
        </w:rPr>
        <w:t xml:space="preserve">імунологічного </w:t>
      </w:r>
      <w:r w:rsidR="008547D5" w:rsidRPr="008547D5">
        <w:rPr>
          <w:rFonts w:ascii="Times New Roman" w:hAnsi="Times New Roman" w:cs="Times New Roman"/>
          <w:lang w:val="uk-UA"/>
        </w:rPr>
        <w:t xml:space="preserve">ферментного </w:t>
      </w:r>
      <w:r w:rsidR="008547D5" w:rsidRPr="00992632">
        <w:rPr>
          <w:rFonts w:ascii="Times New Roman" w:hAnsi="Times New Roman" w:cs="Times New Roman"/>
          <w:lang w:val="uk-UA"/>
        </w:rPr>
        <w:t>аналізу (</w:t>
      </w:r>
      <w:r w:rsidRPr="00992632">
        <w:rPr>
          <w:rFonts w:ascii="Times New Roman" w:hAnsi="Times New Roman" w:cs="Times New Roman"/>
          <w:lang w:val="uk-UA"/>
        </w:rPr>
        <w:t>далі</w:t>
      </w:r>
      <w:r w:rsidR="00992632" w:rsidRPr="00992632">
        <w:rPr>
          <w:rFonts w:ascii="Times New Roman" w:hAnsi="Times New Roman" w:cs="Times New Roman"/>
          <w:lang w:val="uk-UA"/>
        </w:rPr>
        <w:t xml:space="preserve"> –</w:t>
      </w:r>
      <w:r w:rsidRPr="00992632">
        <w:rPr>
          <w:rFonts w:ascii="Times New Roman" w:hAnsi="Times New Roman" w:cs="Times New Roman"/>
          <w:lang w:val="uk-UA"/>
        </w:rPr>
        <w:t xml:space="preserve"> </w:t>
      </w:r>
      <w:r w:rsidR="00992632" w:rsidRPr="00992632">
        <w:rPr>
          <w:rFonts w:ascii="Times New Roman" w:hAnsi="Times New Roman" w:cs="Times New Roman"/>
          <w:lang w:val="uk-UA"/>
        </w:rPr>
        <w:t>ІФА</w:t>
      </w:r>
      <w:r w:rsidR="008547D5" w:rsidRPr="00992632">
        <w:rPr>
          <w:rFonts w:ascii="Times New Roman" w:hAnsi="Times New Roman" w:cs="Times New Roman"/>
          <w:lang w:val="uk-UA"/>
        </w:rPr>
        <w:t xml:space="preserve">) у переважній більшості пацієнтів із </w:t>
      </w:r>
      <w:r w:rsidRPr="00992632">
        <w:rPr>
          <w:rFonts w:ascii="Times New Roman" w:hAnsi="Times New Roman" w:cs="Times New Roman"/>
          <w:lang w:val="uk-UA"/>
        </w:rPr>
        <w:t>інфекцією ВГС</w:t>
      </w:r>
      <w:r w:rsidR="008547D5" w:rsidRPr="00992632">
        <w:rPr>
          <w:rFonts w:ascii="Times New Roman" w:hAnsi="Times New Roman" w:cs="Times New Roman"/>
          <w:lang w:val="uk-UA"/>
        </w:rPr>
        <w:t xml:space="preserve">, однак результати </w:t>
      </w:r>
      <w:r w:rsidR="00992632">
        <w:rPr>
          <w:rFonts w:ascii="Times New Roman" w:hAnsi="Times New Roman" w:cs="Times New Roman"/>
          <w:lang w:val="uk-UA"/>
        </w:rPr>
        <w:t>ІФА</w:t>
      </w:r>
      <w:r w:rsidR="008547D5" w:rsidRPr="00992632">
        <w:rPr>
          <w:rFonts w:ascii="Times New Roman" w:hAnsi="Times New Roman" w:cs="Times New Roman"/>
          <w:lang w:val="uk-UA"/>
        </w:rPr>
        <w:t xml:space="preserve"> можуть бути негативними</w:t>
      </w:r>
      <w:r w:rsidR="008547D5" w:rsidRPr="008547D5">
        <w:rPr>
          <w:rFonts w:ascii="Times New Roman" w:hAnsi="Times New Roman" w:cs="Times New Roman"/>
          <w:lang w:val="uk-UA"/>
        </w:rPr>
        <w:t xml:space="preserve"> п</w:t>
      </w:r>
      <w:r w:rsidR="003736E7">
        <w:rPr>
          <w:rFonts w:ascii="Times New Roman" w:hAnsi="Times New Roman" w:cs="Times New Roman"/>
          <w:lang w:val="uk-UA"/>
        </w:rPr>
        <w:t xml:space="preserve">ри ранній гострій фазі </w:t>
      </w:r>
      <w:r w:rsidRPr="003736E7">
        <w:rPr>
          <w:rFonts w:ascii="Times New Roman" w:hAnsi="Times New Roman" w:cs="Times New Roman"/>
          <w:lang w:val="uk-UA"/>
        </w:rPr>
        <w:t>гепатиту С</w:t>
      </w:r>
      <w:r w:rsidR="003736E7">
        <w:rPr>
          <w:rFonts w:ascii="Times New Roman" w:hAnsi="Times New Roman" w:cs="Times New Roman"/>
          <w:lang w:val="uk-UA"/>
        </w:rPr>
        <w:t xml:space="preserve"> </w:t>
      </w:r>
      <w:r w:rsidR="00093BF0">
        <w:rPr>
          <w:rFonts w:ascii="Times New Roman" w:hAnsi="Times New Roman" w:cs="Times New Roman"/>
          <w:lang w:val="uk-UA"/>
        </w:rPr>
        <w:t>та серед пацієнтів</w:t>
      </w:r>
      <w:r w:rsidR="00093BF0" w:rsidRPr="00093BF0">
        <w:rPr>
          <w:rFonts w:ascii="Times New Roman" w:hAnsi="Times New Roman" w:cs="Times New Roman"/>
          <w:lang w:val="uk-UA"/>
        </w:rPr>
        <w:t>, які пройшли курс імуносупресивної терапії</w:t>
      </w:r>
      <w:r w:rsidR="00B4522B" w:rsidRPr="00B4522B">
        <w:rPr>
          <w:rFonts w:ascii="Times New Roman" w:hAnsi="Times New Roman" w:cs="Times New Roman"/>
          <w:lang w:val="uk-UA"/>
        </w:rPr>
        <w:t>. Після</w:t>
      </w:r>
      <w:r w:rsidR="00920A17">
        <w:rPr>
          <w:rFonts w:ascii="Times New Roman" w:hAnsi="Times New Roman" w:cs="Times New Roman"/>
          <w:lang w:val="uk-UA"/>
        </w:rPr>
        <w:t xml:space="preserve"> </w:t>
      </w:r>
      <w:r w:rsidR="00B4522B" w:rsidRPr="00B4522B">
        <w:rPr>
          <w:rFonts w:ascii="Times New Roman" w:hAnsi="Times New Roman" w:cs="Times New Roman"/>
          <w:lang w:val="uk-UA"/>
        </w:rPr>
        <w:t xml:space="preserve">спонтанного </w:t>
      </w:r>
      <w:r w:rsidR="00920A17">
        <w:rPr>
          <w:rFonts w:ascii="Times New Roman" w:hAnsi="Times New Roman" w:cs="Times New Roman"/>
          <w:lang w:val="uk-UA"/>
        </w:rPr>
        <w:t xml:space="preserve">кліренсу вірусу </w:t>
      </w:r>
      <w:r w:rsidR="00B4522B" w:rsidRPr="00B4522B">
        <w:rPr>
          <w:rFonts w:ascii="Times New Roman" w:hAnsi="Times New Roman" w:cs="Times New Roman"/>
          <w:lang w:val="uk-UA"/>
        </w:rPr>
        <w:t xml:space="preserve">або </w:t>
      </w:r>
      <w:r w:rsidR="00920A17">
        <w:rPr>
          <w:rFonts w:ascii="Times New Roman" w:hAnsi="Times New Roman" w:cs="Times New Roman"/>
          <w:lang w:val="uk-UA"/>
        </w:rPr>
        <w:t xml:space="preserve">кліренсу вірусу, який настав </w:t>
      </w:r>
      <w:r w:rsidR="00920A17" w:rsidRPr="00920A17">
        <w:rPr>
          <w:rFonts w:ascii="Times New Roman" w:hAnsi="Times New Roman" w:cs="Times New Roman"/>
          <w:lang w:val="uk-UA"/>
        </w:rPr>
        <w:t>після проходження лікування</w:t>
      </w:r>
      <w:r w:rsidR="00920A17">
        <w:rPr>
          <w:rFonts w:ascii="Times New Roman" w:hAnsi="Times New Roman" w:cs="Times New Roman"/>
          <w:lang w:val="uk-UA"/>
        </w:rPr>
        <w:t>, антитіл</w:t>
      </w:r>
      <w:r w:rsidR="00D84B1A">
        <w:rPr>
          <w:rFonts w:ascii="Times New Roman" w:hAnsi="Times New Roman" w:cs="Times New Roman"/>
          <w:lang w:val="uk-UA"/>
        </w:rPr>
        <w:t>а</w:t>
      </w:r>
      <w:r w:rsidR="00B4522B" w:rsidRPr="00B4522B">
        <w:rPr>
          <w:rFonts w:ascii="Times New Roman" w:hAnsi="Times New Roman" w:cs="Times New Roman"/>
          <w:lang w:val="uk-UA"/>
        </w:rPr>
        <w:t xml:space="preserve"> </w:t>
      </w:r>
      <w:r w:rsidR="00D84B1A">
        <w:rPr>
          <w:rFonts w:ascii="Times New Roman" w:hAnsi="Times New Roman" w:cs="Times New Roman"/>
          <w:lang w:val="uk-UA"/>
        </w:rPr>
        <w:t xml:space="preserve">до </w:t>
      </w:r>
      <w:r w:rsidR="00920A17" w:rsidRPr="00B4522B">
        <w:rPr>
          <w:rFonts w:ascii="Times New Roman" w:hAnsi="Times New Roman" w:cs="Times New Roman"/>
          <w:lang w:val="uk-UA"/>
        </w:rPr>
        <w:t xml:space="preserve">ВГС </w:t>
      </w:r>
      <w:r w:rsidR="00920A17">
        <w:rPr>
          <w:rFonts w:ascii="Times New Roman" w:hAnsi="Times New Roman" w:cs="Times New Roman"/>
          <w:lang w:val="uk-UA"/>
        </w:rPr>
        <w:t>все ще визнача</w:t>
      </w:r>
      <w:r w:rsidR="00D84B1A">
        <w:rPr>
          <w:rFonts w:ascii="Times New Roman" w:hAnsi="Times New Roman" w:cs="Times New Roman"/>
          <w:lang w:val="uk-UA"/>
        </w:rPr>
        <w:t>ються</w:t>
      </w:r>
      <w:r w:rsidR="00B4522B" w:rsidRPr="00B4522B">
        <w:rPr>
          <w:rFonts w:ascii="Times New Roman" w:hAnsi="Times New Roman" w:cs="Times New Roman"/>
          <w:lang w:val="uk-UA"/>
        </w:rPr>
        <w:t xml:space="preserve"> </w:t>
      </w:r>
      <w:r w:rsidR="00920A17">
        <w:rPr>
          <w:rFonts w:ascii="Times New Roman" w:hAnsi="Times New Roman" w:cs="Times New Roman"/>
          <w:lang w:val="uk-UA"/>
        </w:rPr>
        <w:t>при відсутності РНК ВГС, але може</w:t>
      </w:r>
      <w:r w:rsidR="00B4522B" w:rsidRPr="00B4522B">
        <w:rPr>
          <w:rFonts w:ascii="Times New Roman" w:hAnsi="Times New Roman" w:cs="Times New Roman"/>
          <w:lang w:val="uk-UA"/>
        </w:rPr>
        <w:t xml:space="preserve"> зн</w:t>
      </w:r>
      <w:r w:rsidR="00920A17">
        <w:rPr>
          <w:rFonts w:ascii="Times New Roman" w:hAnsi="Times New Roman" w:cs="Times New Roman"/>
          <w:lang w:val="uk-UA"/>
        </w:rPr>
        <w:t>ижуватися і остаточно зникнути у</w:t>
      </w:r>
      <w:r w:rsidR="00B4522B" w:rsidRPr="00B4522B">
        <w:rPr>
          <w:rFonts w:ascii="Times New Roman" w:hAnsi="Times New Roman" w:cs="Times New Roman"/>
          <w:lang w:val="uk-UA"/>
        </w:rPr>
        <w:t xml:space="preserve"> деяких осіб.</w:t>
      </w:r>
      <w:r w:rsidR="00B4522B" w:rsidRPr="00920A17">
        <w:rPr>
          <w:rFonts w:ascii="Times New Roman" w:hAnsi="Times New Roman" w:cs="Times New Roman"/>
          <w:b/>
          <w:color w:val="0070C0"/>
          <w:vertAlign w:val="superscript"/>
          <w:lang w:val="uk-UA"/>
        </w:rPr>
        <w:t>18</w:t>
      </w:r>
      <w:r w:rsidR="00FC6D8A">
        <w:rPr>
          <w:rFonts w:ascii="Times New Roman" w:hAnsi="Times New Roman" w:cs="Times New Roman"/>
          <w:b/>
          <w:color w:val="0070C0"/>
          <w:vertAlign w:val="superscript"/>
          <w:lang w:val="uk-UA"/>
        </w:rPr>
        <w:t>–</w:t>
      </w:r>
      <w:r w:rsidR="00B4522B" w:rsidRPr="00920A17">
        <w:rPr>
          <w:rFonts w:ascii="Times New Roman" w:hAnsi="Times New Roman" w:cs="Times New Roman"/>
          <w:b/>
          <w:color w:val="0070C0"/>
          <w:vertAlign w:val="superscript"/>
          <w:lang w:val="uk-UA"/>
        </w:rPr>
        <w:t>20</w:t>
      </w:r>
    </w:p>
    <w:p w14:paraId="061FC387" w14:textId="77777777" w:rsidR="00920A17" w:rsidRDefault="00920A17" w:rsidP="00F53078">
      <w:pPr>
        <w:pBdr>
          <w:top w:val="single" w:sz="4" w:space="1" w:color="FFFFFF"/>
          <w:left w:val="single" w:sz="4" w:space="4" w:color="FFFFFF"/>
          <w:bottom w:val="single" w:sz="4" w:space="1" w:color="FFFFFF"/>
          <w:right w:val="single" w:sz="4" w:space="4" w:color="FFFFFF"/>
        </w:pBdr>
        <w:jc w:val="both"/>
        <w:rPr>
          <w:rFonts w:ascii="Times New Roman" w:hAnsi="Times New Roman" w:cs="Times New Roman"/>
          <w:lang w:val="uk-UA"/>
        </w:rPr>
      </w:pPr>
    </w:p>
    <w:p w14:paraId="5ACD90F4" w14:textId="1ED8EBB2" w:rsidR="00D77795" w:rsidRDefault="00B4522B" w:rsidP="00F53078">
      <w:pPr>
        <w:pBdr>
          <w:top w:val="single" w:sz="4" w:space="1" w:color="FFFFFF"/>
          <w:left w:val="single" w:sz="4" w:space="4" w:color="FFFFFF"/>
          <w:bottom w:val="single" w:sz="4" w:space="1" w:color="FFFFFF"/>
          <w:right w:val="single" w:sz="4" w:space="4" w:color="FFFFFF"/>
        </w:pBdr>
        <w:jc w:val="both"/>
        <w:rPr>
          <w:rFonts w:ascii="Times New Roman" w:hAnsi="Times New Roman" w:cs="Times New Roman"/>
          <w:lang w:val="uk-UA"/>
        </w:rPr>
      </w:pPr>
      <w:r w:rsidRPr="00B4522B">
        <w:rPr>
          <w:rFonts w:ascii="Times New Roman" w:hAnsi="Times New Roman" w:cs="Times New Roman"/>
          <w:lang w:val="uk-UA"/>
        </w:rPr>
        <w:t>Діагноз гострої та хроніч</w:t>
      </w:r>
      <w:r w:rsidR="009D448A">
        <w:rPr>
          <w:rFonts w:ascii="Times New Roman" w:hAnsi="Times New Roman" w:cs="Times New Roman"/>
          <w:lang w:val="uk-UA"/>
        </w:rPr>
        <w:t>ної інфекції ВГС ґ</w:t>
      </w:r>
      <w:r>
        <w:rPr>
          <w:rFonts w:ascii="Times New Roman" w:hAnsi="Times New Roman" w:cs="Times New Roman"/>
          <w:lang w:val="uk-UA"/>
        </w:rPr>
        <w:t xml:space="preserve">рунтується на </w:t>
      </w:r>
      <w:r w:rsidR="00920A17">
        <w:rPr>
          <w:rFonts w:ascii="Times New Roman" w:hAnsi="Times New Roman" w:cs="Times New Roman"/>
          <w:lang w:val="uk-UA"/>
        </w:rPr>
        <w:t>виявленні</w:t>
      </w:r>
      <w:r w:rsidRPr="00B4522B">
        <w:rPr>
          <w:rFonts w:ascii="Times New Roman" w:hAnsi="Times New Roman" w:cs="Times New Roman"/>
          <w:lang w:val="uk-UA"/>
        </w:rPr>
        <w:t xml:space="preserve"> РНК ВГС</w:t>
      </w:r>
      <w:r w:rsidR="003061AA">
        <w:rPr>
          <w:rFonts w:ascii="Times New Roman" w:hAnsi="Times New Roman" w:cs="Times New Roman"/>
          <w:lang w:val="uk-UA"/>
        </w:rPr>
        <w:t xml:space="preserve"> у сироватці або плазмі </w:t>
      </w:r>
      <w:r w:rsidR="00707E43">
        <w:rPr>
          <w:rFonts w:ascii="Times New Roman" w:hAnsi="Times New Roman" w:cs="Times New Roman"/>
          <w:lang w:val="uk-UA"/>
        </w:rPr>
        <w:t xml:space="preserve">крові </w:t>
      </w:r>
      <w:r w:rsidR="003061AA">
        <w:rPr>
          <w:rFonts w:ascii="Times New Roman" w:hAnsi="Times New Roman" w:cs="Times New Roman"/>
          <w:lang w:val="uk-UA"/>
        </w:rPr>
        <w:t>чутливим</w:t>
      </w:r>
      <w:r w:rsidRPr="00B4522B">
        <w:rPr>
          <w:rFonts w:ascii="Times New Roman" w:hAnsi="Times New Roman" w:cs="Times New Roman"/>
          <w:lang w:val="uk-UA"/>
        </w:rPr>
        <w:t>,</w:t>
      </w:r>
      <w:r>
        <w:rPr>
          <w:rFonts w:ascii="Times New Roman" w:hAnsi="Times New Roman" w:cs="Times New Roman"/>
          <w:lang w:val="uk-UA"/>
        </w:rPr>
        <w:t xml:space="preserve"> </w:t>
      </w:r>
      <w:r w:rsidR="00A502D8">
        <w:rPr>
          <w:rFonts w:ascii="Times New Roman" w:hAnsi="Times New Roman" w:cs="Times New Roman"/>
          <w:lang w:val="uk-UA"/>
        </w:rPr>
        <w:t xml:space="preserve">якісним або якісним та кількісним </w:t>
      </w:r>
      <w:r w:rsidRPr="00B4522B">
        <w:rPr>
          <w:rFonts w:ascii="Times New Roman" w:hAnsi="Times New Roman" w:cs="Times New Roman"/>
          <w:lang w:val="uk-UA"/>
        </w:rPr>
        <w:t>моле</w:t>
      </w:r>
      <w:r w:rsidR="00A502D8">
        <w:rPr>
          <w:rFonts w:ascii="Times New Roman" w:hAnsi="Times New Roman" w:cs="Times New Roman"/>
          <w:lang w:val="uk-UA"/>
        </w:rPr>
        <w:t>кулярним</w:t>
      </w:r>
      <w:r w:rsidRPr="00B4522B">
        <w:rPr>
          <w:rFonts w:ascii="Times New Roman" w:hAnsi="Times New Roman" w:cs="Times New Roman"/>
          <w:lang w:val="uk-UA"/>
        </w:rPr>
        <w:t xml:space="preserve"> метод</w:t>
      </w:r>
      <w:r w:rsidR="00A502D8">
        <w:rPr>
          <w:rFonts w:ascii="Times New Roman" w:hAnsi="Times New Roman" w:cs="Times New Roman"/>
          <w:lang w:val="uk-UA"/>
        </w:rPr>
        <w:t>ом</w:t>
      </w:r>
      <w:r w:rsidRPr="00B4522B">
        <w:rPr>
          <w:rFonts w:ascii="Times New Roman" w:hAnsi="Times New Roman" w:cs="Times New Roman"/>
          <w:lang w:val="uk-UA"/>
        </w:rPr>
        <w:t xml:space="preserve">. </w:t>
      </w:r>
      <w:r w:rsidR="00A502D8">
        <w:rPr>
          <w:rFonts w:ascii="Times New Roman" w:hAnsi="Times New Roman" w:cs="Times New Roman"/>
          <w:lang w:val="uk-UA"/>
        </w:rPr>
        <w:t>Рекомендован</w:t>
      </w:r>
      <w:r w:rsidR="00A223FF">
        <w:rPr>
          <w:rFonts w:ascii="Times New Roman" w:hAnsi="Times New Roman" w:cs="Times New Roman"/>
          <w:lang w:val="uk-UA"/>
        </w:rPr>
        <w:t>і</w:t>
      </w:r>
      <w:r w:rsidR="00A502D8" w:rsidRPr="00B4522B">
        <w:rPr>
          <w:rFonts w:ascii="Times New Roman" w:hAnsi="Times New Roman" w:cs="Times New Roman"/>
          <w:lang w:val="uk-UA"/>
        </w:rPr>
        <w:t xml:space="preserve"> </w:t>
      </w:r>
      <w:r w:rsidR="00A223FF">
        <w:rPr>
          <w:rFonts w:ascii="Times New Roman" w:hAnsi="Times New Roman" w:cs="Times New Roman"/>
          <w:lang w:val="uk-UA"/>
        </w:rPr>
        <w:t>обстеження</w:t>
      </w:r>
      <w:r w:rsidRPr="00B4522B">
        <w:rPr>
          <w:rFonts w:ascii="Times New Roman" w:hAnsi="Times New Roman" w:cs="Times New Roman"/>
          <w:lang w:val="uk-UA"/>
        </w:rPr>
        <w:t xml:space="preserve"> з нижчою межею виявлення</w:t>
      </w:r>
      <w:r w:rsidR="00A502D8">
        <w:rPr>
          <w:rFonts w:ascii="Times New Roman" w:hAnsi="Times New Roman" w:cs="Times New Roman"/>
          <w:lang w:val="uk-UA"/>
        </w:rPr>
        <w:t xml:space="preserve"> ≤ 15 міжнародних одиниць (МО)/</w:t>
      </w:r>
      <w:r w:rsidRPr="00B4522B">
        <w:rPr>
          <w:rFonts w:ascii="Times New Roman" w:hAnsi="Times New Roman" w:cs="Times New Roman"/>
          <w:lang w:val="uk-UA"/>
        </w:rPr>
        <w:t>мл. Однак,</w:t>
      </w:r>
      <w:r>
        <w:rPr>
          <w:rFonts w:ascii="Times New Roman" w:hAnsi="Times New Roman" w:cs="Times New Roman"/>
          <w:lang w:val="uk-UA"/>
        </w:rPr>
        <w:t xml:space="preserve"> </w:t>
      </w:r>
      <w:r w:rsidRPr="00B4522B">
        <w:rPr>
          <w:rFonts w:ascii="Times New Roman" w:hAnsi="Times New Roman" w:cs="Times New Roman"/>
          <w:lang w:val="uk-UA"/>
        </w:rPr>
        <w:t>переважна більш</w:t>
      </w:r>
      <w:r w:rsidR="00A502D8">
        <w:rPr>
          <w:rFonts w:ascii="Times New Roman" w:hAnsi="Times New Roman" w:cs="Times New Roman"/>
          <w:lang w:val="uk-UA"/>
        </w:rPr>
        <w:t>ість пацієнтів із показанням до</w:t>
      </w:r>
      <w:r w:rsidRPr="00B4522B">
        <w:rPr>
          <w:rFonts w:ascii="Times New Roman" w:hAnsi="Times New Roman" w:cs="Times New Roman"/>
          <w:lang w:val="uk-UA"/>
        </w:rPr>
        <w:t xml:space="preserve"> </w:t>
      </w:r>
      <w:r w:rsidR="00A502D8" w:rsidRPr="00A502D8">
        <w:rPr>
          <w:rFonts w:ascii="Times New Roman" w:hAnsi="Times New Roman" w:cs="Times New Roman"/>
          <w:lang w:val="uk-UA"/>
        </w:rPr>
        <w:t xml:space="preserve">лікування ВГС </w:t>
      </w:r>
      <w:r w:rsidR="00A502D8">
        <w:rPr>
          <w:rFonts w:ascii="Times New Roman" w:hAnsi="Times New Roman" w:cs="Times New Roman"/>
          <w:lang w:val="uk-UA"/>
        </w:rPr>
        <w:t>мають рівень</w:t>
      </w:r>
      <w:r>
        <w:rPr>
          <w:rFonts w:ascii="Times New Roman" w:hAnsi="Times New Roman" w:cs="Times New Roman"/>
          <w:lang w:val="uk-UA"/>
        </w:rPr>
        <w:t xml:space="preserve"> РНК </w:t>
      </w:r>
      <w:r w:rsidR="00A502D8">
        <w:rPr>
          <w:rFonts w:ascii="Times New Roman" w:hAnsi="Times New Roman" w:cs="Times New Roman"/>
          <w:lang w:val="uk-UA"/>
        </w:rPr>
        <w:t>ВГС вище 50 000 МО/</w:t>
      </w:r>
      <w:r>
        <w:rPr>
          <w:rFonts w:ascii="Times New Roman" w:hAnsi="Times New Roman" w:cs="Times New Roman"/>
          <w:lang w:val="uk-UA"/>
        </w:rPr>
        <w:t>мл</w:t>
      </w:r>
      <w:r w:rsidR="00A502D8">
        <w:rPr>
          <w:rFonts w:ascii="Times New Roman" w:hAnsi="Times New Roman" w:cs="Times New Roman"/>
          <w:lang w:val="uk-UA"/>
        </w:rPr>
        <w:t>.</w:t>
      </w:r>
      <w:r w:rsidRPr="00A502D8">
        <w:rPr>
          <w:rFonts w:ascii="Times New Roman" w:hAnsi="Times New Roman" w:cs="Times New Roman"/>
          <w:b/>
          <w:color w:val="0070C0"/>
          <w:vertAlign w:val="superscript"/>
          <w:lang w:val="uk-UA"/>
        </w:rPr>
        <w:t>21</w:t>
      </w:r>
      <w:r>
        <w:rPr>
          <w:rFonts w:ascii="Times New Roman" w:hAnsi="Times New Roman" w:cs="Times New Roman"/>
          <w:lang w:val="uk-UA"/>
        </w:rPr>
        <w:t xml:space="preserve"> </w:t>
      </w:r>
      <w:r w:rsidR="004026D0">
        <w:rPr>
          <w:rFonts w:ascii="Times New Roman" w:hAnsi="Times New Roman" w:cs="Times New Roman"/>
          <w:lang w:val="uk-UA"/>
        </w:rPr>
        <w:t>Існує</w:t>
      </w:r>
      <w:r w:rsidRPr="00B4522B">
        <w:rPr>
          <w:rFonts w:ascii="Times New Roman" w:hAnsi="Times New Roman" w:cs="Times New Roman"/>
          <w:lang w:val="uk-UA"/>
        </w:rPr>
        <w:t xml:space="preserve"> потреба у </w:t>
      </w:r>
      <w:r w:rsidR="0084027B">
        <w:rPr>
          <w:rFonts w:ascii="Times New Roman" w:hAnsi="Times New Roman" w:cs="Times New Roman"/>
          <w:lang w:val="uk-UA"/>
        </w:rPr>
        <w:t xml:space="preserve">доступних </w:t>
      </w:r>
      <w:r w:rsidR="0084027B" w:rsidRPr="00B4522B">
        <w:rPr>
          <w:rFonts w:ascii="Times New Roman" w:hAnsi="Times New Roman" w:cs="Times New Roman"/>
          <w:lang w:val="uk-UA"/>
        </w:rPr>
        <w:t>(менше 5</w:t>
      </w:r>
      <w:r w:rsidR="00FC6D8A">
        <w:rPr>
          <w:rFonts w:ascii="Times New Roman" w:hAnsi="Times New Roman" w:cs="Times New Roman"/>
          <w:lang w:val="uk-UA"/>
        </w:rPr>
        <w:t>–</w:t>
      </w:r>
      <w:r w:rsidR="0084027B" w:rsidRPr="00B4522B">
        <w:rPr>
          <w:rFonts w:ascii="Times New Roman" w:hAnsi="Times New Roman" w:cs="Times New Roman"/>
          <w:lang w:val="uk-UA"/>
        </w:rPr>
        <w:t xml:space="preserve">10 доларів США) </w:t>
      </w:r>
      <w:r w:rsidRPr="00B4522B">
        <w:rPr>
          <w:rFonts w:ascii="Times New Roman" w:hAnsi="Times New Roman" w:cs="Times New Roman"/>
          <w:lang w:val="uk-UA"/>
        </w:rPr>
        <w:t xml:space="preserve">діагностичних </w:t>
      </w:r>
      <w:r w:rsidR="00A223FF">
        <w:rPr>
          <w:rFonts w:ascii="Times New Roman" w:hAnsi="Times New Roman" w:cs="Times New Roman"/>
          <w:lang w:val="uk-UA"/>
        </w:rPr>
        <w:t>системах</w:t>
      </w:r>
      <w:r w:rsidRPr="00B4522B">
        <w:rPr>
          <w:rFonts w:ascii="Times New Roman" w:hAnsi="Times New Roman" w:cs="Times New Roman"/>
          <w:lang w:val="uk-UA"/>
        </w:rPr>
        <w:t xml:space="preserve">, </w:t>
      </w:r>
      <w:r w:rsidR="0084027B">
        <w:rPr>
          <w:rFonts w:ascii="Times New Roman" w:hAnsi="Times New Roman" w:cs="Times New Roman"/>
          <w:lang w:val="uk-UA"/>
        </w:rPr>
        <w:t>адже їх можна застосовувати</w:t>
      </w:r>
      <w:r w:rsidRPr="00B4522B">
        <w:rPr>
          <w:rFonts w:ascii="Times New Roman" w:hAnsi="Times New Roman" w:cs="Times New Roman"/>
          <w:lang w:val="uk-UA"/>
        </w:rPr>
        <w:t xml:space="preserve"> д</w:t>
      </w:r>
      <w:r>
        <w:rPr>
          <w:rFonts w:ascii="Times New Roman" w:hAnsi="Times New Roman" w:cs="Times New Roman"/>
          <w:lang w:val="uk-UA"/>
        </w:rPr>
        <w:t xml:space="preserve">ля широкомасштабної діагностики </w:t>
      </w:r>
      <w:r w:rsidR="0084027B">
        <w:rPr>
          <w:rFonts w:ascii="Times New Roman" w:hAnsi="Times New Roman" w:cs="Times New Roman"/>
          <w:lang w:val="uk-UA"/>
        </w:rPr>
        <w:t>в регіонах</w:t>
      </w:r>
      <w:r w:rsidRPr="00B4522B">
        <w:rPr>
          <w:rFonts w:ascii="Times New Roman" w:hAnsi="Times New Roman" w:cs="Times New Roman"/>
          <w:lang w:val="uk-UA"/>
        </w:rPr>
        <w:t xml:space="preserve"> з низьким і середнім рівнем доходу,</w:t>
      </w:r>
      <w:r w:rsidR="0084027B">
        <w:rPr>
          <w:rFonts w:ascii="Times New Roman" w:hAnsi="Times New Roman" w:cs="Times New Roman"/>
          <w:lang w:val="uk-UA"/>
        </w:rPr>
        <w:t xml:space="preserve"> а також в певних умовах в країнах</w:t>
      </w:r>
      <w:r w:rsidRPr="00B4522B">
        <w:rPr>
          <w:rFonts w:ascii="Times New Roman" w:hAnsi="Times New Roman" w:cs="Times New Roman"/>
          <w:lang w:val="uk-UA"/>
        </w:rPr>
        <w:t xml:space="preserve"> з високим рів</w:t>
      </w:r>
      <w:r w:rsidR="0084027B">
        <w:rPr>
          <w:rFonts w:ascii="Times New Roman" w:hAnsi="Times New Roman" w:cs="Times New Roman"/>
          <w:lang w:val="uk-UA"/>
        </w:rPr>
        <w:t xml:space="preserve">нем доходу. Такі </w:t>
      </w:r>
      <w:r w:rsidR="00A223FF">
        <w:rPr>
          <w:rFonts w:ascii="Times New Roman" w:hAnsi="Times New Roman" w:cs="Times New Roman"/>
          <w:lang w:val="uk-UA"/>
        </w:rPr>
        <w:t>обстеження на виявлення</w:t>
      </w:r>
      <w:r w:rsidR="0084027B">
        <w:rPr>
          <w:rFonts w:ascii="Times New Roman" w:hAnsi="Times New Roman" w:cs="Times New Roman"/>
          <w:lang w:val="uk-UA"/>
        </w:rPr>
        <w:t xml:space="preserve"> РНК ВГС</w:t>
      </w:r>
      <w:r w:rsidRPr="00B4522B">
        <w:rPr>
          <w:rFonts w:ascii="Times New Roman" w:hAnsi="Times New Roman" w:cs="Times New Roman"/>
          <w:lang w:val="uk-UA"/>
        </w:rPr>
        <w:t xml:space="preserve"> повинні мати</w:t>
      </w:r>
      <w:r>
        <w:rPr>
          <w:rFonts w:ascii="Times New Roman" w:hAnsi="Times New Roman" w:cs="Times New Roman"/>
          <w:lang w:val="uk-UA"/>
        </w:rPr>
        <w:t xml:space="preserve"> </w:t>
      </w:r>
      <w:r w:rsidR="0084027B">
        <w:rPr>
          <w:rFonts w:ascii="Times New Roman" w:hAnsi="Times New Roman" w:cs="Times New Roman"/>
          <w:lang w:val="uk-UA"/>
        </w:rPr>
        <w:t>нижчу межу</w:t>
      </w:r>
      <w:r w:rsidRPr="00B4522B">
        <w:rPr>
          <w:rFonts w:ascii="Times New Roman" w:hAnsi="Times New Roman" w:cs="Times New Roman"/>
          <w:lang w:val="uk-UA"/>
        </w:rPr>
        <w:t xml:space="preserve"> виявлення ≤ 1000 МЕ / мл (3,0 Log</w:t>
      </w:r>
      <w:r w:rsidRPr="007E464C">
        <w:rPr>
          <w:rFonts w:ascii="Times New Roman" w:hAnsi="Times New Roman" w:cs="Times New Roman"/>
          <w:vertAlign w:val="subscript"/>
          <w:lang w:val="uk-UA"/>
        </w:rPr>
        <w:t>10</w:t>
      </w:r>
      <w:r w:rsidR="007E464C">
        <w:rPr>
          <w:rFonts w:ascii="Times New Roman" w:hAnsi="Times New Roman" w:cs="Times New Roman"/>
          <w:lang w:val="uk-UA"/>
        </w:rPr>
        <w:t xml:space="preserve"> МО/</w:t>
      </w:r>
      <w:r w:rsidRPr="00B4522B">
        <w:rPr>
          <w:rFonts w:ascii="Times New Roman" w:hAnsi="Times New Roman" w:cs="Times New Roman"/>
          <w:lang w:val="uk-UA"/>
        </w:rPr>
        <w:t>мл).</w:t>
      </w:r>
      <w:r w:rsidR="004026D0">
        <w:rPr>
          <w:rFonts w:ascii="Times New Roman" w:hAnsi="Times New Roman" w:cs="Times New Roman"/>
          <w:lang w:val="uk-UA"/>
        </w:rPr>
        <w:t>За таких умов</w:t>
      </w:r>
      <w:r w:rsidRPr="00B4522B">
        <w:rPr>
          <w:rFonts w:ascii="Times New Roman" w:hAnsi="Times New Roman" w:cs="Times New Roman"/>
          <w:lang w:val="uk-UA"/>
        </w:rPr>
        <w:t>,</w:t>
      </w:r>
      <w:r w:rsidR="007E464C">
        <w:rPr>
          <w:rFonts w:ascii="Times New Roman" w:hAnsi="Times New Roman" w:cs="Times New Roman"/>
          <w:lang w:val="uk-UA"/>
        </w:rPr>
        <w:t xml:space="preserve"> ризик отримання хибно</w:t>
      </w:r>
      <w:r w:rsidR="00FC6D8A">
        <w:rPr>
          <w:rFonts w:ascii="Times New Roman" w:hAnsi="Times New Roman" w:cs="Times New Roman"/>
          <w:lang w:val="uk-UA"/>
        </w:rPr>
        <w:t>–</w:t>
      </w:r>
      <w:r w:rsidRPr="00B4522B">
        <w:rPr>
          <w:rFonts w:ascii="Times New Roman" w:hAnsi="Times New Roman" w:cs="Times New Roman"/>
          <w:lang w:val="uk-UA"/>
        </w:rPr>
        <w:t>негативного результату</w:t>
      </w:r>
      <w:r w:rsidR="007E464C">
        <w:rPr>
          <w:rFonts w:ascii="Times New Roman" w:hAnsi="Times New Roman" w:cs="Times New Roman"/>
          <w:lang w:val="uk-UA"/>
        </w:rPr>
        <w:t xml:space="preserve"> є вкрай низьким</w:t>
      </w:r>
      <w:r w:rsidR="004026D0">
        <w:rPr>
          <w:rFonts w:ascii="Times New Roman" w:hAnsi="Times New Roman" w:cs="Times New Roman"/>
          <w:lang w:val="uk-UA"/>
        </w:rPr>
        <w:t>.</w:t>
      </w:r>
      <w:r w:rsidR="007E464C">
        <w:rPr>
          <w:rFonts w:ascii="Times New Roman" w:hAnsi="Times New Roman" w:cs="Times New Roman"/>
          <w:lang w:val="uk-UA"/>
        </w:rPr>
        <w:t xml:space="preserve"> </w:t>
      </w:r>
      <w:r w:rsidR="004026D0">
        <w:rPr>
          <w:rFonts w:ascii="Times New Roman" w:hAnsi="Times New Roman" w:cs="Times New Roman"/>
          <w:lang w:val="uk-UA"/>
        </w:rPr>
        <w:t xml:space="preserve"> В середовищі, де кількість інфікованих є незначною</w:t>
      </w:r>
      <w:r w:rsidR="00D84B1A">
        <w:rPr>
          <w:rFonts w:ascii="Times New Roman" w:hAnsi="Times New Roman" w:cs="Times New Roman"/>
          <w:lang w:val="uk-UA"/>
        </w:rPr>
        <w:t>,</w:t>
      </w:r>
      <w:r w:rsidR="004026D0">
        <w:rPr>
          <w:rFonts w:ascii="Times New Roman" w:hAnsi="Times New Roman" w:cs="Times New Roman"/>
          <w:lang w:val="uk-UA"/>
        </w:rPr>
        <w:t xml:space="preserve"> </w:t>
      </w:r>
      <w:r w:rsidR="007E464C">
        <w:rPr>
          <w:rFonts w:ascii="Times New Roman" w:hAnsi="Times New Roman" w:cs="Times New Roman"/>
          <w:lang w:val="uk-UA"/>
        </w:rPr>
        <w:t xml:space="preserve">застосування </w:t>
      </w:r>
      <w:r w:rsidR="004026D0">
        <w:rPr>
          <w:rFonts w:ascii="Times New Roman" w:hAnsi="Times New Roman" w:cs="Times New Roman"/>
          <w:lang w:val="uk-UA"/>
        </w:rPr>
        <w:t xml:space="preserve">зазначених методів </w:t>
      </w:r>
      <w:r w:rsidR="007E464C">
        <w:rPr>
          <w:rFonts w:ascii="Times New Roman" w:hAnsi="Times New Roman" w:cs="Times New Roman"/>
          <w:lang w:val="uk-UA"/>
        </w:rPr>
        <w:t xml:space="preserve">має значні  </w:t>
      </w:r>
      <w:r w:rsidRPr="00B4522B">
        <w:rPr>
          <w:rFonts w:ascii="Times New Roman" w:hAnsi="Times New Roman" w:cs="Times New Roman"/>
          <w:lang w:val="uk-UA"/>
        </w:rPr>
        <w:t xml:space="preserve">переваги </w:t>
      </w:r>
      <w:r w:rsidR="007E464C">
        <w:rPr>
          <w:rFonts w:ascii="Times New Roman" w:hAnsi="Times New Roman" w:cs="Times New Roman"/>
          <w:lang w:val="uk-UA"/>
        </w:rPr>
        <w:t>з точки зору збільшення доступу до діагностики</w:t>
      </w:r>
      <w:r>
        <w:rPr>
          <w:rFonts w:ascii="Times New Roman" w:hAnsi="Times New Roman" w:cs="Times New Roman"/>
          <w:lang w:val="uk-UA"/>
        </w:rPr>
        <w:t xml:space="preserve"> </w:t>
      </w:r>
      <w:r w:rsidR="007E464C">
        <w:rPr>
          <w:rFonts w:ascii="Times New Roman" w:hAnsi="Times New Roman" w:cs="Times New Roman"/>
          <w:lang w:val="uk-UA"/>
        </w:rPr>
        <w:t>більшої кількості</w:t>
      </w:r>
      <w:r w:rsidR="00B72794">
        <w:rPr>
          <w:rFonts w:ascii="Times New Roman" w:hAnsi="Times New Roman" w:cs="Times New Roman"/>
          <w:lang w:val="uk-UA"/>
        </w:rPr>
        <w:t xml:space="preserve"> населення. Дослідження </w:t>
      </w:r>
      <w:r w:rsidRPr="00B4522B">
        <w:rPr>
          <w:rFonts w:ascii="Times New Roman" w:hAnsi="Times New Roman" w:cs="Times New Roman"/>
          <w:lang w:val="uk-UA"/>
        </w:rPr>
        <w:t>пацієнтів з</w:t>
      </w:r>
      <w:r>
        <w:rPr>
          <w:rFonts w:ascii="Times New Roman" w:hAnsi="Times New Roman" w:cs="Times New Roman"/>
          <w:lang w:val="uk-UA"/>
        </w:rPr>
        <w:t xml:space="preserve"> </w:t>
      </w:r>
      <w:r w:rsidR="00B72794">
        <w:rPr>
          <w:rFonts w:ascii="Times New Roman" w:hAnsi="Times New Roman" w:cs="Times New Roman"/>
          <w:lang w:val="uk-UA"/>
        </w:rPr>
        <w:t>х</w:t>
      </w:r>
      <w:r w:rsidRPr="00B4522B">
        <w:rPr>
          <w:rFonts w:ascii="Times New Roman" w:hAnsi="Times New Roman" w:cs="Times New Roman"/>
          <w:lang w:val="uk-UA"/>
        </w:rPr>
        <w:t>ронічний гепатит</w:t>
      </w:r>
      <w:r w:rsidR="00B72794">
        <w:rPr>
          <w:rFonts w:ascii="Times New Roman" w:hAnsi="Times New Roman" w:cs="Times New Roman"/>
          <w:lang w:val="uk-UA"/>
        </w:rPr>
        <w:t>ом</w:t>
      </w:r>
      <w:r w:rsidR="00D77795">
        <w:rPr>
          <w:rFonts w:ascii="Times New Roman" w:hAnsi="Times New Roman" w:cs="Times New Roman"/>
          <w:lang w:val="uk-UA"/>
        </w:rPr>
        <w:t xml:space="preserve"> С</w:t>
      </w:r>
      <w:r w:rsidRPr="00B4522B">
        <w:rPr>
          <w:rFonts w:ascii="Times New Roman" w:hAnsi="Times New Roman" w:cs="Times New Roman"/>
          <w:lang w:val="uk-UA"/>
        </w:rPr>
        <w:t xml:space="preserve"> </w:t>
      </w:r>
      <w:r w:rsidR="00D77795">
        <w:rPr>
          <w:rFonts w:ascii="Times New Roman" w:hAnsi="Times New Roman" w:cs="Times New Roman"/>
          <w:lang w:val="uk-UA"/>
        </w:rPr>
        <w:t>(генотип</w:t>
      </w:r>
      <w:r w:rsidR="00B72794" w:rsidRPr="00B4522B">
        <w:rPr>
          <w:rFonts w:ascii="Times New Roman" w:hAnsi="Times New Roman" w:cs="Times New Roman"/>
          <w:lang w:val="uk-UA"/>
        </w:rPr>
        <w:t xml:space="preserve"> 1</w:t>
      </w:r>
      <w:r w:rsidR="00D77795">
        <w:rPr>
          <w:rFonts w:ascii="Times New Roman" w:hAnsi="Times New Roman" w:cs="Times New Roman"/>
          <w:lang w:val="uk-UA"/>
        </w:rPr>
        <w:t>)</w:t>
      </w:r>
      <w:r w:rsidR="00B72794" w:rsidRPr="00B4522B">
        <w:rPr>
          <w:rFonts w:ascii="Times New Roman" w:hAnsi="Times New Roman" w:cs="Times New Roman"/>
          <w:lang w:val="uk-UA"/>
        </w:rPr>
        <w:t xml:space="preserve"> </w:t>
      </w:r>
      <w:r w:rsidR="00D77795">
        <w:rPr>
          <w:rFonts w:ascii="Times New Roman" w:hAnsi="Times New Roman" w:cs="Times New Roman"/>
          <w:lang w:val="uk-UA"/>
        </w:rPr>
        <w:t>виявил</w:t>
      </w:r>
      <w:r w:rsidRPr="00B4522B">
        <w:rPr>
          <w:rFonts w:ascii="Times New Roman" w:hAnsi="Times New Roman" w:cs="Times New Roman"/>
          <w:lang w:val="uk-UA"/>
        </w:rPr>
        <w:t xml:space="preserve">о лише 4 з 2472 </w:t>
      </w:r>
      <w:r w:rsidR="00D77795">
        <w:rPr>
          <w:rFonts w:ascii="Times New Roman" w:hAnsi="Times New Roman" w:cs="Times New Roman"/>
          <w:lang w:val="uk-UA"/>
        </w:rPr>
        <w:t xml:space="preserve">пацієнтів </w:t>
      </w:r>
      <w:r w:rsidRPr="00B4522B">
        <w:rPr>
          <w:rFonts w:ascii="Times New Roman" w:hAnsi="Times New Roman" w:cs="Times New Roman"/>
          <w:lang w:val="uk-UA"/>
        </w:rPr>
        <w:t>(0,16%) з рівне</w:t>
      </w:r>
      <w:r w:rsidR="00D77795">
        <w:rPr>
          <w:rFonts w:ascii="Times New Roman" w:hAnsi="Times New Roman" w:cs="Times New Roman"/>
          <w:lang w:val="uk-UA"/>
        </w:rPr>
        <w:t>м РНК ВГС нижче 1000 МО</w:t>
      </w:r>
      <w:r>
        <w:rPr>
          <w:rFonts w:ascii="Times New Roman" w:hAnsi="Times New Roman" w:cs="Times New Roman"/>
          <w:lang w:val="uk-UA"/>
        </w:rPr>
        <w:t>/ мл.</w:t>
      </w:r>
      <w:r w:rsidRPr="00D77795">
        <w:rPr>
          <w:rFonts w:ascii="Times New Roman" w:hAnsi="Times New Roman" w:cs="Times New Roman"/>
          <w:b/>
          <w:vertAlign w:val="superscript"/>
          <w:lang w:val="uk-UA"/>
        </w:rPr>
        <w:t>22</w:t>
      </w:r>
      <w:r>
        <w:rPr>
          <w:rFonts w:ascii="Times New Roman" w:hAnsi="Times New Roman" w:cs="Times New Roman"/>
          <w:lang w:val="uk-UA"/>
        </w:rPr>
        <w:t xml:space="preserve"> </w:t>
      </w:r>
    </w:p>
    <w:p w14:paraId="50B5B028" w14:textId="77777777" w:rsidR="00D77795" w:rsidRDefault="00D77795" w:rsidP="00F53078">
      <w:pPr>
        <w:pBdr>
          <w:top w:val="single" w:sz="4" w:space="1" w:color="FFFFFF"/>
          <w:left w:val="single" w:sz="4" w:space="4" w:color="FFFFFF"/>
          <w:bottom w:val="single" w:sz="4" w:space="1" w:color="FFFFFF"/>
          <w:right w:val="single" w:sz="4" w:space="4" w:color="FFFFFF"/>
        </w:pBdr>
        <w:jc w:val="both"/>
        <w:rPr>
          <w:rFonts w:ascii="Times New Roman" w:hAnsi="Times New Roman" w:cs="Times New Roman"/>
          <w:lang w:val="uk-UA"/>
        </w:rPr>
      </w:pPr>
    </w:p>
    <w:p w14:paraId="4B38D998" w14:textId="0016B74F" w:rsidR="002B13FA" w:rsidRDefault="00707E43" w:rsidP="00F53078">
      <w:pPr>
        <w:pBdr>
          <w:top w:val="single" w:sz="4" w:space="1" w:color="FFFFFF"/>
          <w:left w:val="single" w:sz="4" w:space="4" w:color="FFFFFF"/>
          <w:bottom w:val="single" w:sz="4" w:space="1" w:color="FFFFFF"/>
          <w:right w:val="single" w:sz="4" w:space="4" w:color="FFFFFF"/>
        </w:pBdr>
        <w:jc w:val="both"/>
        <w:rPr>
          <w:rFonts w:ascii="Times New Roman" w:hAnsi="Times New Roman" w:cs="Times New Roman"/>
          <w:lang w:val="uk-UA"/>
        </w:rPr>
      </w:pPr>
      <w:r>
        <w:rPr>
          <w:rFonts w:ascii="Times New Roman" w:hAnsi="Times New Roman" w:cs="Times New Roman"/>
          <w:lang w:val="en-US"/>
        </w:rPr>
        <w:t>Core</w:t>
      </w:r>
      <w:r w:rsidRPr="00690065">
        <w:rPr>
          <w:rFonts w:ascii="Times New Roman" w:hAnsi="Times New Roman" w:cs="Times New Roman"/>
          <w:lang w:val="uk-UA"/>
        </w:rPr>
        <w:t xml:space="preserve"> </w:t>
      </w:r>
      <w:r>
        <w:rPr>
          <w:rFonts w:ascii="Times New Roman" w:hAnsi="Times New Roman" w:cs="Times New Roman"/>
          <w:lang w:val="en-US"/>
        </w:rPr>
        <w:t>Ag</w:t>
      </w:r>
      <w:r w:rsidRPr="00690065">
        <w:rPr>
          <w:rFonts w:ascii="Times New Roman" w:hAnsi="Times New Roman" w:cs="Times New Roman"/>
          <w:lang w:val="uk-UA"/>
        </w:rPr>
        <w:t xml:space="preserve"> </w:t>
      </w:r>
      <w:r>
        <w:rPr>
          <w:rFonts w:ascii="Times New Roman" w:hAnsi="Times New Roman" w:cs="Times New Roman"/>
          <w:lang w:val="uk-UA"/>
        </w:rPr>
        <w:t>ВГС</w:t>
      </w:r>
      <w:r w:rsidRPr="00BA5C0A">
        <w:rPr>
          <w:rFonts w:ascii="Times New Roman" w:hAnsi="Times New Roman" w:cs="Times New Roman"/>
          <w:lang w:val="uk-UA"/>
        </w:rPr>
        <w:t xml:space="preserve"> </w:t>
      </w:r>
      <w:r w:rsidR="00B4522B" w:rsidRPr="00B4522B">
        <w:rPr>
          <w:rFonts w:ascii="Times New Roman" w:hAnsi="Times New Roman" w:cs="Times New Roman"/>
          <w:lang w:val="uk-UA"/>
        </w:rPr>
        <w:t xml:space="preserve">у сироватці або плазмі </w:t>
      </w:r>
      <w:r w:rsidRPr="00B4522B">
        <w:rPr>
          <w:rFonts w:ascii="Times New Roman" w:hAnsi="Times New Roman" w:cs="Times New Roman"/>
          <w:lang w:val="uk-UA"/>
        </w:rPr>
        <w:t>крові</w:t>
      </w:r>
      <w:r>
        <w:rPr>
          <w:rFonts w:ascii="Times New Roman" w:hAnsi="Times New Roman" w:cs="Times New Roman"/>
          <w:lang w:val="uk-UA"/>
        </w:rPr>
        <w:t xml:space="preserve"> </w:t>
      </w:r>
      <w:r w:rsidR="009D448A">
        <w:rPr>
          <w:rFonts w:ascii="Times New Roman" w:hAnsi="Times New Roman" w:cs="Times New Roman"/>
          <w:lang w:val="uk-UA"/>
        </w:rPr>
        <w:t xml:space="preserve">є маркером реплікації ВГС і для діагностики </w:t>
      </w:r>
      <w:r w:rsidR="009D448A" w:rsidRPr="00B4522B">
        <w:rPr>
          <w:rFonts w:ascii="Times New Roman" w:hAnsi="Times New Roman" w:cs="Times New Roman"/>
          <w:lang w:val="uk-UA"/>
        </w:rPr>
        <w:t>гострої або хронічної інфекції ВГС</w:t>
      </w:r>
      <w:r w:rsidR="009D448A">
        <w:rPr>
          <w:rFonts w:ascii="Times New Roman" w:hAnsi="Times New Roman" w:cs="Times New Roman"/>
          <w:lang w:val="uk-UA"/>
        </w:rPr>
        <w:t xml:space="preserve"> можна використовувати метод в</w:t>
      </w:r>
      <w:r w:rsidR="009D448A" w:rsidRPr="00B4522B">
        <w:rPr>
          <w:rFonts w:ascii="Times New Roman" w:hAnsi="Times New Roman" w:cs="Times New Roman"/>
          <w:lang w:val="uk-UA"/>
        </w:rPr>
        <w:t xml:space="preserve">иявлення </w:t>
      </w:r>
      <w:r w:rsidR="009D448A">
        <w:rPr>
          <w:rFonts w:ascii="Times New Roman" w:hAnsi="Times New Roman" w:cs="Times New Roman"/>
          <w:lang w:val="uk-UA"/>
        </w:rPr>
        <w:t>ядерного</w:t>
      </w:r>
      <w:r w:rsidR="009D448A" w:rsidRPr="00D77795">
        <w:rPr>
          <w:rFonts w:ascii="Times New Roman" w:hAnsi="Times New Roman" w:cs="Times New Roman"/>
          <w:lang w:val="uk-UA"/>
        </w:rPr>
        <w:t xml:space="preserve"> антиген</w:t>
      </w:r>
      <w:r w:rsidR="009D448A">
        <w:rPr>
          <w:rFonts w:ascii="Times New Roman" w:hAnsi="Times New Roman" w:cs="Times New Roman"/>
          <w:lang w:val="uk-UA"/>
        </w:rPr>
        <w:t>у</w:t>
      </w:r>
      <w:r w:rsidR="009D448A" w:rsidRPr="00D77795">
        <w:rPr>
          <w:rFonts w:ascii="Times New Roman" w:hAnsi="Times New Roman" w:cs="Times New Roman"/>
          <w:lang w:val="uk-UA"/>
        </w:rPr>
        <w:t xml:space="preserve"> </w:t>
      </w:r>
      <w:r w:rsidR="009D448A" w:rsidRPr="00B4522B">
        <w:rPr>
          <w:rFonts w:ascii="Times New Roman" w:hAnsi="Times New Roman" w:cs="Times New Roman"/>
          <w:lang w:val="uk-UA"/>
        </w:rPr>
        <w:t>замість РНК ВГС</w:t>
      </w:r>
      <w:r w:rsidR="00B4522B" w:rsidRPr="00B4522B">
        <w:rPr>
          <w:rFonts w:ascii="Times New Roman" w:hAnsi="Times New Roman" w:cs="Times New Roman"/>
          <w:lang w:val="uk-UA"/>
        </w:rPr>
        <w:t xml:space="preserve">. </w:t>
      </w:r>
      <w:r w:rsidR="00A223FF">
        <w:rPr>
          <w:rFonts w:ascii="Times New Roman" w:hAnsi="Times New Roman" w:cs="Times New Roman"/>
          <w:lang w:val="uk-UA"/>
        </w:rPr>
        <w:t>Обстеження</w:t>
      </w:r>
      <w:r w:rsidR="00B4522B" w:rsidRPr="00B4522B">
        <w:rPr>
          <w:rFonts w:ascii="Times New Roman" w:hAnsi="Times New Roman" w:cs="Times New Roman"/>
          <w:lang w:val="uk-UA"/>
        </w:rPr>
        <w:t xml:space="preserve"> </w:t>
      </w:r>
      <w:r w:rsidR="009D448A">
        <w:rPr>
          <w:rFonts w:ascii="Times New Roman" w:hAnsi="Times New Roman" w:cs="Times New Roman"/>
          <w:lang w:val="uk-UA"/>
        </w:rPr>
        <w:t>на в</w:t>
      </w:r>
      <w:r w:rsidR="009D448A" w:rsidRPr="00B4522B">
        <w:rPr>
          <w:rFonts w:ascii="Times New Roman" w:hAnsi="Times New Roman" w:cs="Times New Roman"/>
          <w:lang w:val="uk-UA"/>
        </w:rPr>
        <w:t xml:space="preserve">иявлення </w:t>
      </w:r>
      <w:r w:rsidR="009D448A">
        <w:rPr>
          <w:rFonts w:ascii="Times New Roman" w:hAnsi="Times New Roman" w:cs="Times New Roman"/>
          <w:lang w:val="uk-UA"/>
        </w:rPr>
        <w:t>ядерного</w:t>
      </w:r>
      <w:r w:rsidR="009D448A" w:rsidRPr="00D77795">
        <w:rPr>
          <w:rFonts w:ascii="Times New Roman" w:hAnsi="Times New Roman" w:cs="Times New Roman"/>
          <w:lang w:val="uk-UA"/>
        </w:rPr>
        <w:t xml:space="preserve"> антиген</w:t>
      </w:r>
      <w:r w:rsidR="009D448A">
        <w:rPr>
          <w:rFonts w:ascii="Times New Roman" w:hAnsi="Times New Roman" w:cs="Times New Roman"/>
          <w:lang w:val="uk-UA"/>
        </w:rPr>
        <w:t>у</w:t>
      </w:r>
      <w:r w:rsidR="009D448A" w:rsidRPr="00B4522B">
        <w:rPr>
          <w:rFonts w:ascii="Times New Roman" w:hAnsi="Times New Roman" w:cs="Times New Roman"/>
          <w:lang w:val="uk-UA"/>
        </w:rPr>
        <w:t xml:space="preserve"> </w:t>
      </w:r>
      <w:r w:rsidR="00B4522B" w:rsidRPr="00B4522B">
        <w:rPr>
          <w:rFonts w:ascii="Times New Roman" w:hAnsi="Times New Roman" w:cs="Times New Roman"/>
          <w:lang w:val="uk-UA"/>
        </w:rPr>
        <w:t xml:space="preserve">менш чутливі, ніж </w:t>
      </w:r>
      <w:r w:rsidR="00A223FF">
        <w:rPr>
          <w:rFonts w:ascii="Times New Roman" w:hAnsi="Times New Roman" w:cs="Times New Roman"/>
          <w:lang w:val="uk-UA"/>
        </w:rPr>
        <w:t>обстеження на виявлення</w:t>
      </w:r>
      <w:r w:rsidR="00B4522B" w:rsidRPr="00B4522B">
        <w:rPr>
          <w:rFonts w:ascii="Times New Roman" w:hAnsi="Times New Roman" w:cs="Times New Roman"/>
          <w:lang w:val="uk-UA"/>
        </w:rPr>
        <w:t xml:space="preserve"> РНК ВГС (нижня межа виявлення еквівал</w:t>
      </w:r>
      <w:r w:rsidR="009D448A">
        <w:rPr>
          <w:rFonts w:ascii="Times New Roman" w:hAnsi="Times New Roman" w:cs="Times New Roman"/>
          <w:lang w:val="uk-UA"/>
        </w:rPr>
        <w:t>ентна приблизно 500</w:t>
      </w:r>
      <w:r w:rsidR="00FC6D8A">
        <w:rPr>
          <w:rFonts w:ascii="Times New Roman" w:hAnsi="Times New Roman" w:cs="Times New Roman"/>
          <w:lang w:val="uk-UA"/>
        </w:rPr>
        <w:t>–</w:t>
      </w:r>
      <w:r w:rsidR="009D448A">
        <w:rPr>
          <w:rFonts w:ascii="Times New Roman" w:hAnsi="Times New Roman" w:cs="Times New Roman"/>
          <w:lang w:val="uk-UA"/>
        </w:rPr>
        <w:t xml:space="preserve">3000 РНК ВГС МО/мл в залежності від генотипу </w:t>
      </w:r>
      <w:r w:rsidR="009D448A" w:rsidRPr="009D448A">
        <w:rPr>
          <w:rFonts w:ascii="Times New Roman" w:hAnsi="Times New Roman" w:cs="Times New Roman"/>
          <w:b/>
          <w:color w:val="0070C0"/>
          <w:vertAlign w:val="superscript"/>
          <w:lang w:val="uk-UA"/>
        </w:rPr>
        <w:t>23</w:t>
      </w:r>
      <w:r w:rsidR="00FC6D8A">
        <w:rPr>
          <w:rFonts w:ascii="Times New Roman" w:hAnsi="Times New Roman" w:cs="Times New Roman"/>
          <w:b/>
          <w:color w:val="0070C0"/>
          <w:vertAlign w:val="superscript"/>
          <w:lang w:val="uk-UA"/>
        </w:rPr>
        <w:t>–</w:t>
      </w:r>
      <w:r w:rsidR="00B4522B" w:rsidRPr="009D448A">
        <w:rPr>
          <w:rFonts w:ascii="Times New Roman" w:hAnsi="Times New Roman" w:cs="Times New Roman"/>
          <w:b/>
          <w:color w:val="0070C0"/>
          <w:vertAlign w:val="superscript"/>
          <w:lang w:val="uk-UA"/>
        </w:rPr>
        <w:t>25</w:t>
      </w:r>
      <w:r w:rsidR="00B4522B" w:rsidRPr="00B4522B">
        <w:rPr>
          <w:rFonts w:ascii="Times New Roman" w:hAnsi="Times New Roman" w:cs="Times New Roman"/>
          <w:lang w:val="uk-UA"/>
        </w:rPr>
        <w:t xml:space="preserve">). У результаті, </w:t>
      </w:r>
      <w:r w:rsidR="009D448A">
        <w:rPr>
          <w:rFonts w:ascii="Times New Roman" w:hAnsi="Times New Roman" w:cs="Times New Roman"/>
          <w:lang w:val="uk-UA"/>
        </w:rPr>
        <w:t>я</w:t>
      </w:r>
      <w:r w:rsidR="009D448A" w:rsidRPr="00D77795">
        <w:rPr>
          <w:rFonts w:ascii="Times New Roman" w:hAnsi="Times New Roman" w:cs="Times New Roman"/>
          <w:lang w:val="uk-UA"/>
        </w:rPr>
        <w:t xml:space="preserve">дерний антиген </w:t>
      </w:r>
      <w:r w:rsidR="009D448A" w:rsidRPr="00B4522B">
        <w:rPr>
          <w:rFonts w:ascii="Times New Roman" w:hAnsi="Times New Roman" w:cs="Times New Roman"/>
          <w:lang w:val="uk-UA"/>
        </w:rPr>
        <w:t>В</w:t>
      </w:r>
      <w:r w:rsidR="009D448A">
        <w:rPr>
          <w:rFonts w:ascii="Times New Roman" w:hAnsi="Times New Roman" w:cs="Times New Roman"/>
          <w:lang w:val="uk-UA"/>
        </w:rPr>
        <w:t>ГС</w:t>
      </w:r>
      <w:r w:rsidR="00DC3BDB">
        <w:rPr>
          <w:rFonts w:ascii="Times New Roman" w:hAnsi="Times New Roman" w:cs="Times New Roman"/>
          <w:lang w:val="uk-UA"/>
        </w:rPr>
        <w:t xml:space="preserve"> (далі – </w:t>
      </w:r>
      <w:r w:rsidR="00DC3BDB">
        <w:rPr>
          <w:rFonts w:ascii="Times New Roman" w:hAnsi="Times New Roman" w:cs="Times New Roman"/>
          <w:lang w:val="it-IT"/>
        </w:rPr>
        <w:t xml:space="preserve">core Ag </w:t>
      </w:r>
      <w:r w:rsidR="00DC3BDB">
        <w:rPr>
          <w:rFonts w:ascii="Times New Roman" w:hAnsi="Times New Roman" w:cs="Times New Roman"/>
          <w:lang w:val="uk-UA"/>
        </w:rPr>
        <w:t>ВГС)</w:t>
      </w:r>
      <w:r w:rsidR="009D448A" w:rsidRPr="00B4522B">
        <w:rPr>
          <w:rFonts w:ascii="Times New Roman" w:hAnsi="Times New Roman" w:cs="Times New Roman"/>
          <w:lang w:val="uk-UA"/>
        </w:rPr>
        <w:t xml:space="preserve"> </w:t>
      </w:r>
      <w:r w:rsidR="00B4522B" w:rsidRPr="00B4522B">
        <w:rPr>
          <w:rFonts w:ascii="Times New Roman" w:hAnsi="Times New Roman" w:cs="Times New Roman"/>
          <w:lang w:val="uk-UA"/>
        </w:rPr>
        <w:t xml:space="preserve">виявляється в сироватці або плазмі </w:t>
      </w:r>
      <w:r w:rsidRPr="00B4522B">
        <w:rPr>
          <w:rFonts w:ascii="Times New Roman" w:hAnsi="Times New Roman" w:cs="Times New Roman"/>
          <w:lang w:val="uk-UA"/>
        </w:rPr>
        <w:t xml:space="preserve">крові </w:t>
      </w:r>
      <w:r w:rsidR="00B4522B" w:rsidRPr="00B4522B">
        <w:rPr>
          <w:rFonts w:ascii="Times New Roman" w:hAnsi="Times New Roman" w:cs="Times New Roman"/>
          <w:lang w:val="uk-UA"/>
        </w:rPr>
        <w:t xml:space="preserve">через кілька днів після РНК ВГС у пацієнтів з </w:t>
      </w:r>
      <w:r w:rsidR="009D448A">
        <w:rPr>
          <w:rFonts w:ascii="Times New Roman" w:hAnsi="Times New Roman" w:cs="Times New Roman"/>
          <w:lang w:val="uk-UA"/>
        </w:rPr>
        <w:t>гострим гепатитом С. У рідких</w:t>
      </w:r>
      <w:r w:rsidR="00B4522B" w:rsidRPr="00B4522B">
        <w:rPr>
          <w:rFonts w:ascii="Times New Roman" w:hAnsi="Times New Roman" w:cs="Times New Roman"/>
          <w:lang w:val="uk-UA"/>
        </w:rPr>
        <w:t xml:space="preserve"> випадках </w:t>
      </w:r>
      <w:r w:rsidR="00DC3BDB">
        <w:rPr>
          <w:rFonts w:ascii="Times New Roman" w:hAnsi="Times New Roman" w:cs="Times New Roman"/>
          <w:lang w:val="it-IT"/>
        </w:rPr>
        <w:t xml:space="preserve">core Ag </w:t>
      </w:r>
      <w:r w:rsidR="00DC3BDB">
        <w:rPr>
          <w:rFonts w:ascii="Times New Roman" w:hAnsi="Times New Roman" w:cs="Times New Roman"/>
          <w:lang w:val="uk-UA"/>
        </w:rPr>
        <w:t xml:space="preserve">ВГС </w:t>
      </w:r>
      <w:r w:rsidR="00DF0D47">
        <w:rPr>
          <w:rFonts w:ascii="Times New Roman" w:hAnsi="Times New Roman" w:cs="Times New Roman"/>
          <w:lang w:val="uk-UA"/>
        </w:rPr>
        <w:t>не</w:t>
      </w:r>
      <w:r w:rsidR="00552706">
        <w:rPr>
          <w:rFonts w:ascii="Times New Roman" w:hAnsi="Times New Roman" w:cs="Times New Roman"/>
          <w:lang w:val="uk-UA"/>
        </w:rPr>
        <w:t xml:space="preserve"> визнача</w:t>
      </w:r>
      <w:r w:rsidR="00DF0D47">
        <w:rPr>
          <w:rFonts w:ascii="Times New Roman" w:hAnsi="Times New Roman" w:cs="Times New Roman"/>
          <w:lang w:val="uk-UA"/>
        </w:rPr>
        <w:t>ється</w:t>
      </w:r>
      <w:r w:rsidR="00552706">
        <w:rPr>
          <w:rFonts w:ascii="Times New Roman" w:hAnsi="Times New Roman" w:cs="Times New Roman"/>
          <w:lang w:val="uk-UA"/>
        </w:rPr>
        <w:t xml:space="preserve"> за наявності</w:t>
      </w:r>
      <w:r w:rsidR="00B4522B" w:rsidRPr="00B4522B">
        <w:rPr>
          <w:rFonts w:ascii="Times New Roman" w:hAnsi="Times New Roman" w:cs="Times New Roman"/>
          <w:lang w:val="uk-UA"/>
        </w:rPr>
        <w:t xml:space="preserve"> </w:t>
      </w:r>
      <w:r w:rsidR="00B4522B" w:rsidRPr="00C8295E">
        <w:rPr>
          <w:rFonts w:ascii="Times New Roman" w:hAnsi="Times New Roman" w:cs="Times New Roman"/>
          <w:lang w:val="uk-UA"/>
        </w:rPr>
        <w:t>РНК ВГС</w:t>
      </w:r>
      <w:r w:rsidR="00B4522B" w:rsidRPr="00C8295E">
        <w:rPr>
          <w:rFonts w:ascii="Times New Roman" w:hAnsi="Times New Roman" w:cs="Times New Roman"/>
          <w:b/>
          <w:color w:val="0070C0"/>
          <w:vertAlign w:val="superscript"/>
          <w:lang w:val="uk-UA"/>
        </w:rPr>
        <w:t>26</w:t>
      </w:r>
      <w:r w:rsidR="00B4522B" w:rsidRPr="00C8295E">
        <w:rPr>
          <w:rFonts w:ascii="Times New Roman" w:hAnsi="Times New Roman" w:cs="Times New Roman"/>
          <w:lang w:val="uk-UA"/>
        </w:rPr>
        <w:t>.</w:t>
      </w:r>
    </w:p>
    <w:p w14:paraId="7D70F86F" w14:textId="77777777" w:rsidR="00C42C95" w:rsidRDefault="00C42C95" w:rsidP="00F53078">
      <w:pPr>
        <w:pBdr>
          <w:top w:val="single" w:sz="4" w:space="1" w:color="FFFFFF"/>
          <w:left w:val="single" w:sz="4" w:space="4" w:color="FFFFFF"/>
          <w:bottom w:val="single" w:sz="4" w:space="1" w:color="FFFFFF"/>
          <w:right w:val="single" w:sz="4" w:space="4" w:color="FFFFFF"/>
        </w:pBdr>
        <w:jc w:val="both"/>
        <w:rPr>
          <w:rFonts w:ascii="Times New Roman" w:hAnsi="Times New Roman" w:cs="Times New Roman"/>
          <w:lang w:val="uk-UA"/>
        </w:rPr>
      </w:pPr>
    </w:p>
    <w:p w14:paraId="6F40FAE5" w14:textId="5149C745" w:rsidR="00D5420D" w:rsidRPr="00D5420D" w:rsidRDefault="00C42C95" w:rsidP="00F53078">
      <w:pPr>
        <w:pBdr>
          <w:top w:val="single" w:sz="4" w:space="1" w:color="FFFFFF"/>
          <w:left w:val="single" w:sz="4" w:space="4" w:color="FFFFFF"/>
          <w:bottom w:val="single" w:sz="4" w:space="1" w:color="FFFFFF"/>
          <w:right w:val="single" w:sz="4" w:space="4" w:color="FFFFFF"/>
        </w:pBdr>
        <w:jc w:val="both"/>
        <w:rPr>
          <w:rFonts w:ascii="Times New Roman" w:hAnsi="Times New Roman" w:cs="Times New Roman"/>
          <w:lang w:val="uk-UA"/>
        </w:rPr>
      </w:pPr>
      <w:r w:rsidRPr="00C42C95">
        <w:rPr>
          <w:rFonts w:ascii="Times New Roman" w:hAnsi="Times New Roman" w:cs="Times New Roman"/>
          <w:lang w:val="uk-UA"/>
        </w:rPr>
        <w:t>Діагноз гострог</w:t>
      </w:r>
      <w:r w:rsidR="005E4B94">
        <w:rPr>
          <w:rFonts w:ascii="Times New Roman" w:hAnsi="Times New Roman" w:cs="Times New Roman"/>
          <w:lang w:val="uk-UA"/>
        </w:rPr>
        <w:t>о гепатиту С може бути поставлений з впевненістю</w:t>
      </w:r>
      <w:r w:rsidRPr="00C42C95">
        <w:rPr>
          <w:rFonts w:ascii="Times New Roman" w:hAnsi="Times New Roman" w:cs="Times New Roman"/>
          <w:lang w:val="uk-UA"/>
        </w:rPr>
        <w:t xml:space="preserve">, якщо </w:t>
      </w:r>
      <w:r w:rsidR="005E4B94">
        <w:rPr>
          <w:rFonts w:ascii="Times New Roman" w:hAnsi="Times New Roman" w:cs="Times New Roman"/>
          <w:lang w:val="uk-UA"/>
        </w:rPr>
        <w:t>нещодавно була</w:t>
      </w:r>
      <w:r w:rsidR="005E4B94" w:rsidRPr="00C42C95">
        <w:rPr>
          <w:rFonts w:ascii="Times New Roman" w:hAnsi="Times New Roman" w:cs="Times New Roman"/>
          <w:lang w:val="uk-UA"/>
        </w:rPr>
        <w:t xml:space="preserve"> задокументована </w:t>
      </w:r>
      <w:r w:rsidR="005E4B94">
        <w:rPr>
          <w:rFonts w:ascii="Times New Roman" w:hAnsi="Times New Roman" w:cs="Times New Roman"/>
          <w:lang w:val="uk-UA"/>
        </w:rPr>
        <w:t>сероконверсія до антитіл ВГС</w:t>
      </w:r>
      <w:r w:rsidRPr="00C42C95">
        <w:rPr>
          <w:rFonts w:ascii="Times New Roman" w:hAnsi="Times New Roman" w:cs="Times New Roman"/>
          <w:lang w:val="uk-UA"/>
        </w:rPr>
        <w:t>, оскільки не існує серологічного маркера, я</w:t>
      </w:r>
      <w:r w:rsidR="00E950E1">
        <w:rPr>
          <w:rFonts w:ascii="Times New Roman" w:hAnsi="Times New Roman" w:cs="Times New Roman"/>
          <w:lang w:val="uk-UA"/>
        </w:rPr>
        <w:t>кий встановлює, що інфекція ВГС вперше діагностована у гострій</w:t>
      </w:r>
      <w:r w:rsidRPr="00C42C95">
        <w:rPr>
          <w:rFonts w:ascii="Times New Roman" w:hAnsi="Times New Roman" w:cs="Times New Roman"/>
          <w:lang w:val="uk-UA"/>
        </w:rPr>
        <w:t xml:space="preserve"> </w:t>
      </w:r>
      <w:r w:rsidR="00E950E1">
        <w:rPr>
          <w:rFonts w:ascii="Times New Roman" w:hAnsi="Times New Roman" w:cs="Times New Roman"/>
          <w:lang w:val="uk-UA"/>
        </w:rPr>
        <w:t xml:space="preserve"> </w:t>
      </w:r>
      <w:r w:rsidRPr="00C42C95">
        <w:rPr>
          <w:rFonts w:ascii="Times New Roman" w:hAnsi="Times New Roman" w:cs="Times New Roman"/>
          <w:lang w:val="uk-UA"/>
        </w:rPr>
        <w:t>фа</w:t>
      </w:r>
      <w:r w:rsidR="00E950E1">
        <w:rPr>
          <w:rFonts w:ascii="Times New Roman" w:hAnsi="Times New Roman" w:cs="Times New Roman"/>
          <w:lang w:val="uk-UA"/>
        </w:rPr>
        <w:t>зі</w:t>
      </w:r>
      <w:r w:rsidRPr="00C42C95">
        <w:rPr>
          <w:rFonts w:ascii="Times New Roman" w:hAnsi="Times New Roman" w:cs="Times New Roman"/>
          <w:lang w:val="uk-UA"/>
        </w:rPr>
        <w:t>. Не всі</w:t>
      </w:r>
      <w:r w:rsidR="00E950E1">
        <w:rPr>
          <w:rFonts w:ascii="Times New Roman" w:hAnsi="Times New Roman" w:cs="Times New Roman"/>
          <w:lang w:val="uk-UA"/>
        </w:rPr>
        <w:t xml:space="preserve"> пацієнтів</w:t>
      </w:r>
      <w:r w:rsidRPr="00C42C95">
        <w:rPr>
          <w:rFonts w:ascii="Times New Roman" w:hAnsi="Times New Roman" w:cs="Times New Roman"/>
          <w:lang w:val="uk-UA"/>
        </w:rPr>
        <w:t xml:space="preserve"> з гострим </w:t>
      </w:r>
      <w:r w:rsidR="00E950E1">
        <w:rPr>
          <w:rFonts w:ascii="Times New Roman" w:hAnsi="Times New Roman" w:cs="Times New Roman"/>
          <w:lang w:val="uk-UA"/>
        </w:rPr>
        <w:t>гепатитом С будуть мати позитивний результат на виявлення</w:t>
      </w:r>
      <w:r w:rsidRPr="00C42C95">
        <w:rPr>
          <w:rFonts w:ascii="Times New Roman" w:hAnsi="Times New Roman" w:cs="Times New Roman"/>
          <w:lang w:val="uk-UA"/>
        </w:rPr>
        <w:t xml:space="preserve"> анти</w:t>
      </w:r>
      <w:r w:rsidR="00E950E1">
        <w:rPr>
          <w:rFonts w:ascii="Times New Roman" w:hAnsi="Times New Roman" w:cs="Times New Roman"/>
          <w:lang w:val="uk-UA"/>
        </w:rPr>
        <w:t xml:space="preserve">тіл </w:t>
      </w:r>
      <w:r w:rsidR="00A223FF">
        <w:rPr>
          <w:rFonts w:ascii="Times New Roman" w:hAnsi="Times New Roman" w:cs="Times New Roman"/>
          <w:lang w:val="uk-UA"/>
        </w:rPr>
        <w:t xml:space="preserve">до </w:t>
      </w:r>
      <w:r w:rsidR="00E950E1">
        <w:rPr>
          <w:rFonts w:ascii="Times New Roman" w:hAnsi="Times New Roman" w:cs="Times New Roman"/>
          <w:lang w:val="uk-UA"/>
        </w:rPr>
        <w:t>ВГС</w:t>
      </w:r>
      <w:r w:rsidRPr="00C42C95">
        <w:rPr>
          <w:rFonts w:ascii="Times New Roman" w:hAnsi="Times New Roman" w:cs="Times New Roman"/>
          <w:lang w:val="uk-UA"/>
        </w:rPr>
        <w:t xml:space="preserve">. У цих випадках гострий гепатит С можна підозрювати, якщо клінічні ознаки та симптоми є </w:t>
      </w:r>
      <w:r w:rsidR="00A223FF">
        <w:rPr>
          <w:rFonts w:ascii="Times New Roman" w:hAnsi="Times New Roman" w:cs="Times New Roman"/>
          <w:lang w:val="uk-UA"/>
        </w:rPr>
        <w:t>схожими</w:t>
      </w:r>
      <w:r w:rsidRPr="00C42C95">
        <w:rPr>
          <w:rFonts w:ascii="Times New Roman" w:hAnsi="Times New Roman" w:cs="Times New Roman"/>
          <w:lang w:val="uk-UA"/>
        </w:rPr>
        <w:t xml:space="preserve"> з гострим гепатитом (рівень аланін</w:t>
      </w:r>
      <w:r w:rsidR="00FC6D8A">
        <w:rPr>
          <w:rFonts w:ascii="Times New Roman" w:hAnsi="Times New Roman" w:cs="Times New Roman"/>
          <w:lang w:val="uk-UA"/>
        </w:rPr>
        <w:t>–</w:t>
      </w:r>
      <w:r w:rsidRPr="00C42C95">
        <w:rPr>
          <w:rFonts w:ascii="Times New Roman" w:hAnsi="Times New Roman" w:cs="Times New Roman"/>
          <w:lang w:val="uk-UA"/>
        </w:rPr>
        <w:t>амінотрансферази</w:t>
      </w:r>
      <w:r w:rsidR="00DC3BDB">
        <w:rPr>
          <w:rFonts w:ascii="Times New Roman" w:hAnsi="Times New Roman" w:cs="Times New Roman"/>
          <w:lang w:val="uk-UA"/>
        </w:rPr>
        <w:t xml:space="preserve"> (</w:t>
      </w:r>
      <w:r w:rsidR="00E950E1">
        <w:rPr>
          <w:rFonts w:ascii="Times New Roman" w:hAnsi="Times New Roman" w:cs="Times New Roman"/>
          <w:lang w:val="en-US"/>
        </w:rPr>
        <w:t>A</w:t>
      </w:r>
      <w:r w:rsidR="00A223FF">
        <w:rPr>
          <w:rFonts w:ascii="Times New Roman" w:hAnsi="Times New Roman" w:cs="Times New Roman"/>
          <w:lang w:val="uk-UA"/>
        </w:rPr>
        <w:t>Л</w:t>
      </w:r>
      <w:r w:rsidR="00E950E1">
        <w:rPr>
          <w:rFonts w:ascii="Times New Roman" w:hAnsi="Times New Roman" w:cs="Times New Roman"/>
          <w:lang w:val="en-US"/>
        </w:rPr>
        <w:t>T</w:t>
      </w:r>
      <w:r w:rsidR="00DC3BDB">
        <w:rPr>
          <w:rFonts w:ascii="Times New Roman" w:hAnsi="Times New Roman" w:cs="Times New Roman"/>
          <w:lang w:val="uk-UA"/>
        </w:rPr>
        <w:t>)</w:t>
      </w:r>
      <w:r w:rsidR="00E950E1">
        <w:rPr>
          <w:rFonts w:ascii="Times New Roman" w:hAnsi="Times New Roman" w:cs="Times New Roman"/>
          <w:lang w:val="uk-UA"/>
        </w:rPr>
        <w:t xml:space="preserve">&gt; 10 разів перевершує норму </w:t>
      </w:r>
      <w:r w:rsidR="00A223FF">
        <w:rPr>
          <w:rFonts w:ascii="Times New Roman" w:hAnsi="Times New Roman" w:cs="Times New Roman"/>
          <w:lang w:val="uk-UA"/>
        </w:rPr>
        <w:t>та</w:t>
      </w:r>
      <w:r w:rsidR="00E950E1">
        <w:rPr>
          <w:rFonts w:ascii="Times New Roman" w:hAnsi="Times New Roman" w:cs="Times New Roman"/>
          <w:lang w:val="uk-UA"/>
        </w:rPr>
        <w:t xml:space="preserve">/або </w:t>
      </w:r>
      <w:r w:rsidR="00A223FF">
        <w:rPr>
          <w:rFonts w:ascii="Times New Roman" w:hAnsi="Times New Roman" w:cs="Times New Roman"/>
          <w:lang w:val="uk-UA"/>
        </w:rPr>
        <w:t xml:space="preserve">наявна </w:t>
      </w:r>
      <w:r w:rsidR="00E950E1">
        <w:rPr>
          <w:rFonts w:ascii="Times New Roman" w:hAnsi="Times New Roman" w:cs="Times New Roman"/>
          <w:lang w:val="uk-UA"/>
        </w:rPr>
        <w:t>жовт</w:t>
      </w:r>
      <w:r w:rsidR="00A223FF">
        <w:rPr>
          <w:rFonts w:ascii="Times New Roman" w:hAnsi="Times New Roman" w:cs="Times New Roman"/>
          <w:lang w:val="uk-UA"/>
        </w:rPr>
        <w:t>яниця</w:t>
      </w:r>
      <w:r w:rsidRPr="00C42C95">
        <w:rPr>
          <w:rFonts w:ascii="Times New Roman" w:hAnsi="Times New Roman" w:cs="Times New Roman"/>
          <w:lang w:val="uk-UA"/>
        </w:rPr>
        <w:t xml:space="preserve">) за відсутності анамнезу хронічного захворювання печінки або інших причин </w:t>
      </w:r>
      <w:r w:rsidR="00E950E1">
        <w:rPr>
          <w:rFonts w:ascii="Times New Roman" w:hAnsi="Times New Roman" w:cs="Times New Roman"/>
          <w:lang w:val="uk-UA"/>
        </w:rPr>
        <w:t>розвитку гострого гепатиту та/</w:t>
      </w:r>
      <w:r w:rsidRPr="00C42C95">
        <w:rPr>
          <w:rFonts w:ascii="Times New Roman" w:hAnsi="Times New Roman" w:cs="Times New Roman"/>
          <w:lang w:val="uk-UA"/>
        </w:rPr>
        <w:t xml:space="preserve">або, якщо </w:t>
      </w:r>
      <w:r w:rsidR="00E950E1">
        <w:rPr>
          <w:rFonts w:ascii="Times New Roman" w:hAnsi="Times New Roman" w:cs="Times New Roman"/>
          <w:lang w:val="uk-UA"/>
        </w:rPr>
        <w:t>відомо про нещодавній контакт з джерелом інфекції</w:t>
      </w:r>
      <w:r w:rsidR="00E5503B">
        <w:rPr>
          <w:rFonts w:ascii="Times New Roman" w:hAnsi="Times New Roman" w:cs="Times New Roman"/>
          <w:lang w:val="uk-UA"/>
        </w:rPr>
        <w:t>/або шлях передачі інфекції</w:t>
      </w:r>
      <w:r w:rsidRPr="00C42C95">
        <w:rPr>
          <w:rFonts w:ascii="Times New Roman" w:hAnsi="Times New Roman" w:cs="Times New Roman"/>
          <w:lang w:val="uk-UA"/>
        </w:rPr>
        <w:t>. У всіх випадк</w:t>
      </w:r>
      <w:r w:rsidR="00E5503B">
        <w:rPr>
          <w:rFonts w:ascii="Times New Roman" w:hAnsi="Times New Roman" w:cs="Times New Roman"/>
          <w:lang w:val="uk-UA"/>
        </w:rPr>
        <w:t xml:space="preserve">ах РНК ВГС (або </w:t>
      </w:r>
      <w:r w:rsidR="00DC3BDB">
        <w:rPr>
          <w:rFonts w:ascii="Times New Roman" w:hAnsi="Times New Roman" w:cs="Times New Roman"/>
          <w:lang w:val="it-IT"/>
        </w:rPr>
        <w:t xml:space="preserve">core Ag </w:t>
      </w:r>
      <w:r w:rsidR="00DC3BDB">
        <w:rPr>
          <w:rFonts w:ascii="Times New Roman" w:hAnsi="Times New Roman" w:cs="Times New Roman"/>
          <w:lang w:val="uk-UA"/>
        </w:rPr>
        <w:t>ВГС</w:t>
      </w:r>
      <w:r w:rsidRPr="00C42C95">
        <w:rPr>
          <w:rFonts w:ascii="Times New Roman" w:hAnsi="Times New Roman" w:cs="Times New Roman"/>
          <w:lang w:val="uk-UA"/>
        </w:rPr>
        <w:t xml:space="preserve">) може </w:t>
      </w:r>
      <w:r w:rsidR="00E5503B">
        <w:rPr>
          <w:rFonts w:ascii="Times New Roman" w:hAnsi="Times New Roman" w:cs="Times New Roman"/>
          <w:lang w:val="uk-UA"/>
        </w:rPr>
        <w:t>бути виявленим</w:t>
      </w:r>
      <w:r w:rsidRPr="00C42C95">
        <w:rPr>
          <w:rFonts w:ascii="Times New Roman" w:hAnsi="Times New Roman" w:cs="Times New Roman"/>
          <w:lang w:val="uk-UA"/>
        </w:rPr>
        <w:t xml:space="preserve"> протягом гострої ф</w:t>
      </w:r>
      <w:r w:rsidR="00E5503B">
        <w:rPr>
          <w:rFonts w:ascii="Times New Roman" w:hAnsi="Times New Roman" w:cs="Times New Roman"/>
          <w:lang w:val="uk-UA"/>
        </w:rPr>
        <w:t>ази, хоча їх рівні можуть дуже</w:t>
      </w:r>
      <w:r w:rsidRPr="00C42C95">
        <w:rPr>
          <w:rFonts w:ascii="Times New Roman" w:hAnsi="Times New Roman" w:cs="Times New Roman"/>
          <w:lang w:val="uk-UA"/>
        </w:rPr>
        <w:t xml:space="preserve"> варіюват</w:t>
      </w:r>
      <w:r w:rsidR="00E5503B">
        <w:rPr>
          <w:rFonts w:ascii="Times New Roman" w:hAnsi="Times New Roman" w:cs="Times New Roman"/>
          <w:lang w:val="uk-UA"/>
        </w:rPr>
        <w:t xml:space="preserve">и, і можуть бути проміжки часу </w:t>
      </w:r>
      <w:r w:rsidRPr="00C42C95">
        <w:rPr>
          <w:rFonts w:ascii="Times New Roman" w:hAnsi="Times New Roman" w:cs="Times New Roman"/>
          <w:lang w:val="uk-UA"/>
        </w:rPr>
        <w:t>(до декількох тижнів)</w:t>
      </w:r>
      <w:r w:rsidR="00E5503B">
        <w:rPr>
          <w:rFonts w:ascii="Times New Roman" w:hAnsi="Times New Roman" w:cs="Times New Roman"/>
          <w:lang w:val="uk-UA"/>
        </w:rPr>
        <w:t xml:space="preserve">, коли </w:t>
      </w:r>
      <w:r w:rsidR="00D5420D">
        <w:rPr>
          <w:rFonts w:ascii="Times New Roman" w:hAnsi="Times New Roman" w:cs="Times New Roman"/>
          <w:lang w:val="uk-UA"/>
        </w:rPr>
        <w:t xml:space="preserve"> </w:t>
      </w:r>
      <w:r w:rsidR="00E5503B" w:rsidRPr="00D5420D">
        <w:rPr>
          <w:rFonts w:ascii="Times New Roman" w:hAnsi="Times New Roman" w:cs="Times New Roman"/>
          <w:lang w:val="uk-UA"/>
        </w:rPr>
        <w:t xml:space="preserve">РНК ВГС (або </w:t>
      </w:r>
      <w:r w:rsidR="00DC3BDB">
        <w:rPr>
          <w:rFonts w:ascii="Times New Roman" w:hAnsi="Times New Roman" w:cs="Times New Roman"/>
          <w:lang w:val="it-IT"/>
        </w:rPr>
        <w:t xml:space="preserve">core Ag </w:t>
      </w:r>
      <w:r w:rsidR="00DC3BDB">
        <w:rPr>
          <w:rFonts w:ascii="Times New Roman" w:hAnsi="Times New Roman" w:cs="Times New Roman"/>
          <w:lang w:val="uk-UA"/>
        </w:rPr>
        <w:t>ВГС</w:t>
      </w:r>
      <w:r w:rsidR="00E5503B">
        <w:rPr>
          <w:rFonts w:ascii="Times New Roman" w:hAnsi="Times New Roman" w:cs="Times New Roman"/>
          <w:lang w:val="uk-UA"/>
        </w:rPr>
        <w:t>) є невизначальним.</w:t>
      </w:r>
      <w:r w:rsidR="00D5420D" w:rsidRPr="00D5420D">
        <w:rPr>
          <w:rFonts w:ascii="Times New Roman" w:hAnsi="Times New Roman" w:cs="Times New Roman"/>
          <w:lang w:val="uk-UA"/>
        </w:rPr>
        <w:t xml:space="preserve"> Таки</w:t>
      </w:r>
      <w:r w:rsidR="00E5503B">
        <w:rPr>
          <w:rFonts w:ascii="Times New Roman" w:hAnsi="Times New Roman" w:cs="Times New Roman"/>
          <w:lang w:val="uk-UA"/>
        </w:rPr>
        <w:t>м чином, РНК</w:t>
      </w:r>
      <w:r w:rsidR="00FC6D8A">
        <w:rPr>
          <w:rFonts w:ascii="Times New Roman" w:hAnsi="Times New Roman" w:cs="Times New Roman"/>
          <w:lang w:val="uk-UA"/>
        </w:rPr>
        <w:t>–</w:t>
      </w:r>
      <w:r w:rsidR="00E5503B">
        <w:rPr>
          <w:rFonts w:ascii="Times New Roman" w:hAnsi="Times New Roman" w:cs="Times New Roman"/>
          <w:lang w:val="uk-UA"/>
        </w:rPr>
        <w:t>негативні пацієнти</w:t>
      </w:r>
      <w:r w:rsidR="00D5420D" w:rsidRPr="00D5420D">
        <w:rPr>
          <w:rFonts w:ascii="Times New Roman" w:hAnsi="Times New Roman" w:cs="Times New Roman"/>
          <w:lang w:val="uk-UA"/>
        </w:rPr>
        <w:t xml:space="preserve"> </w:t>
      </w:r>
      <w:r w:rsidR="00E5503B">
        <w:rPr>
          <w:rFonts w:ascii="Times New Roman" w:hAnsi="Times New Roman" w:cs="Times New Roman"/>
          <w:lang w:val="uk-UA"/>
        </w:rPr>
        <w:t>повинні бути повторно протестовані</w:t>
      </w:r>
      <w:r w:rsidR="00D5420D" w:rsidRPr="00D5420D">
        <w:rPr>
          <w:rFonts w:ascii="Times New Roman" w:hAnsi="Times New Roman" w:cs="Times New Roman"/>
          <w:lang w:val="uk-UA"/>
        </w:rPr>
        <w:t xml:space="preserve"> через 12 та 24 тижні після негативного результату для підтвердження остаточного кліренсу.</w:t>
      </w:r>
    </w:p>
    <w:p w14:paraId="39878B79" w14:textId="77777777" w:rsidR="00E5503B" w:rsidRDefault="00E5503B" w:rsidP="00F53078">
      <w:pPr>
        <w:pBdr>
          <w:top w:val="single" w:sz="4" w:space="1" w:color="FFFFFF"/>
          <w:left w:val="single" w:sz="4" w:space="4" w:color="FFFFFF"/>
          <w:bottom w:val="single" w:sz="4" w:space="1" w:color="FFFFFF"/>
          <w:right w:val="single" w:sz="4" w:space="4" w:color="FFFFFF"/>
        </w:pBdr>
        <w:jc w:val="both"/>
        <w:rPr>
          <w:rFonts w:ascii="Times New Roman" w:hAnsi="Times New Roman" w:cs="Times New Roman"/>
          <w:lang w:val="uk-UA"/>
        </w:rPr>
      </w:pPr>
    </w:p>
    <w:p w14:paraId="2AE60340" w14:textId="6BF18FD1" w:rsidR="00D5420D" w:rsidRPr="00D5420D" w:rsidRDefault="00D5420D" w:rsidP="00F53078">
      <w:pPr>
        <w:pBdr>
          <w:top w:val="single" w:sz="4" w:space="1" w:color="FFFFFF"/>
          <w:left w:val="single" w:sz="4" w:space="4" w:color="FFFFFF"/>
          <w:bottom w:val="single" w:sz="4" w:space="1" w:color="FFFFFF"/>
          <w:right w:val="single" w:sz="4" w:space="4" w:color="FFFFFF"/>
        </w:pBdr>
        <w:jc w:val="both"/>
        <w:rPr>
          <w:rFonts w:ascii="Times New Roman" w:hAnsi="Times New Roman" w:cs="Times New Roman"/>
          <w:lang w:val="uk-UA"/>
        </w:rPr>
      </w:pPr>
      <w:r w:rsidRPr="00D5420D">
        <w:rPr>
          <w:rFonts w:ascii="Times New Roman" w:hAnsi="Times New Roman" w:cs="Times New Roman"/>
          <w:lang w:val="uk-UA"/>
        </w:rPr>
        <w:t xml:space="preserve">Реінфекція </w:t>
      </w:r>
      <w:r w:rsidR="00E5503B">
        <w:rPr>
          <w:rFonts w:ascii="Times New Roman" w:hAnsi="Times New Roman" w:cs="Times New Roman"/>
          <w:lang w:val="uk-UA"/>
        </w:rPr>
        <w:t>ВГС</w:t>
      </w:r>
      <w:r w:rsidRPr="00D5420D">
        <w:rPr>
          <w:rFonts w:ascii="Times New Roman" w:hAnsi="Times New Roman" w:cs="Times New Roman"/>
          <w:lang w:val="uk-UA"/>
        </w:rPr>
        <w:t xml:space="preserve"> може настати після спонтанного </w:t>
      </w:r>
      <w:r w:rsidR="00E5503B">
        <w:rPr>
          <w:rFonts w:ascii="Times New Roman" w:hAnsi="Times New Roman" w:cs="Times New Roman"/>
          <w:lang w:val="uk-UA"/>
        </w:rPr>
        <w:t xml:space="preserve">кліренсу </w:t>
      </w:r>
      <w:r w:rsidRPr="00D5420D">
        <w:rPr>
          <w:rFonts w:ascii="Times New Roman" w:hAnsi="Times New Roman" w:cs="Times New Roman"/>
          <w:lang w:val="uk-UA"/>
        </w:rPr>
        <w:t xml:space="preserve">або </w:t>
      </w:r>
      <w:r w:rsidR="00BD4381">
        <w:rPr>
          <w:rFonts w:ascii="Times New Roman" w:hAnsi="Times New Roman" w:cs="Times New Roman"/>
          <w:lang w:val="uk-UA"/>
        </w:rPr>
        <w:t>кліренсу внаслідок лікування</w:t>
      </w:r>
      <w:r w:rsidRPr="00D5420D">
        <w:rPr>
          <w:rFonts w:ascii="Times New Roman" w:hAnsi="Times New Roman" w:cs="Times New Roman"/>
          <w:lang w:val="uk-UA"/>
        </w:rPr>
        <w:t xml:space="preserve">, </w:t>
      </w:r>
      <w:r w:rsidR="00BD4381">
        <w:rPr>
          <w:rFonts w:ascii="Times New Roman" w:hAnsi="Times New Roman" w:cs="Times New Roman"/>
          <w:lang w:val="uk-UA"/>
        </w:rPr>
        <w:t xml:space="preserve">особливо, </w:t>
      </w:r>
      <w:r w:rsidRPr="00D5420D">
        <w:rPr>
          <w:rFonts w:ascii="Times New Roman" w:hAnsi="Times New Roman" w:cs="Times New Roman"/>
          <w:lang w:val="uk-UA"/>
        </w:rPr>
        <w:t>якщо пацієнти з високим рівнем ризику інфіку</w:t>
      </w:r>
      <w:r w:rsidR="00BD4381">
        <w:rPr>
          <w:rFonts w:ascii="Times New Roman" w:hAnsi="Times New Roman" w:cs="Times New Roman"/>
          <w:lang w:val="uk-UA"/>
        </w:rPr>
        <w:t xml:space="preserve">вання повторно піддаються </w:t>
      </w:r>
      <w:r w:rsidR="00A223FF">
        <w:rPr>
          <w:rFonts w:ascii="Times New Roman" w:hAnsi="Times New Roman" w:cs="Times New Roman"/>
          <w:lang w:val="uk-UA"/>
        </w:rPr>
        <w:t>ризику</w:t>
      </w:r>
      <w:r w:rsidRPr="00D5420D">
        <w:rPr>
          <w:rFonts w:ascii="Times New Roman" w:hAnsi="Times New Roman" w:cs="Times New Roman"/>
          <w:lang w:val="uk-UA"/>
        </w:rPr>
        <w:t xml:space="preserve">. Реінфекція визначається повторним виявленням РНК </w:t>
      </w:r>
      <w:r w:rsidR="00BD4381">
        <w:rPr>
          <w:rFonts w:ascii="Times New Roman" w:hAnsi="Times New Roman" w:cs="Times New Roman"/>
          <w:lang w:val="uk-UA"/>
        </w:rPr>
        <w:t xml:space="preserve">ВГС </w:t>
      </w:r>
      <w:r w:rsidRPr="00D5420D">
        <w:rPr>
          <w:rFonts w:ascii="Times New Roman" w:hAnsi="Times New Roman" w:cs="Times New Roman"/>
          <w:lang w:val="uk-UA"/>
        </w:rPr>
        <w:t xml:space="preserve">(або </w:t>
      </w:r>
      <w:r w:rsidR="00BD4381">
        <w:rPr>
          <w:rFonts w:ascii="Times New Roman" w:hAnsi="Times New Roman" w:cs="Times New Roman"/>
          <w:lang w:val="uk-UA"/>
        </w:rPr>
        <w:t>ядерн</w:t>
      </w:r>
      <w:r w:rsidR="003F7D72">
        <w:rPr>
          <w:rFonts w:ascii="Times New Roman" w:hAnsi="Times New Roman" w:cs="Times New Roman"/>
          <w:lang w:val="uk-UA"/>
        </w:rPr>
        <w:t>ого</w:t>
      </w:r>
      <w:r w:rsidR="00BD4381" w:rsidRPr="00D5420D">
        <w:rPr>
          <w:rFonts w:ascii="Times New Roman" w:hAnsi="Times New Roman" w:cs="Times New Roman"/>
          <w:lang w:val="uk-UA"/>
        </w:rPr>
        <w:t xml:space="preserve"> антиген</w:t>
      </w:r>
      <w:r w:rsidR="003F7D72">
        <w:rPr>
          <w:rFonts w:ascii="Times New Roman" w:hAnsi="Times New Roman" w:cs="Times New Roman"/>
          <w:lang w:val="uk-UA"/>
        </w:rPr>
        <w:t>у</w:t>
      </w:r>
      <w:r w:rsidR="00BD4381" w:rsidRPr="00D5420D">
        <w:rPr>
          <w:rFonts w:ascii="Times New Roman" w:hAnsi="Times New Roman" w:cs="Times New Roman"/>
          <w:lang w:val="uk-UA"/>
        </w:rPr>
        <w:t xml:space="preserve"> </w:t>
      </w:r>
      <w:r w:rsidR="00BD4381">
        <w:rPr>
          <w:rFonts w:ascii="Times New Roman" w:hAnsi="Times New Roman" w:cs="Times New Roman"/>
          <w:lang w:val="uk-UA"/>
        </w:rPr>
        <w:t>ВГС) після СВВ</w:t>
      </w:r>
      <w:r w:rsidRPr="00D5420D">
        <w:rPr>
          <w:rFonts w:ascii="Times New Roman" w:hAnsi="Times New Roman" w:cs="Times New Roman"/>
          <w:lang w:val="uk-UA"/>
        </w:rPr>
        <w:t xml:space="preserve"> та демонстрації того, що ін</w:t>
      </w:r>
      <w:r w:rsidR="00BD4381">
        <w:rPr>
          <w:rFonts w:ascii="Times New Roman" w:hAnsi="Times New Roman" w:cs="Times New Roman"/>
          <w:lang w:val="uk-UA"/>
        </w:rPr>
        <w:t>фекція обумовлена іншим штамом</w:t>
      </w:r>
      <w:r w:rsidRPr="00D5420D">
        <w:rPr>
          <w:rFonts w:ascii="Times New Roman" w:hAnsi="Times New Roman" w:cs="Times New Roman"/>
          <w:lang w:val="uk-UA"/>
        </w:rPr>
        <w:t xml:space="preserve"> ВГС</w:t>
      </w:r>
      <w:r w:rsidR="00BD4381">
        <w:rPr>
          <w:rFonts w:ascii="Times New Roman" w:hAnsi="Times New Roman" w:cs="Times New Roman"/>
          <w:lang w:val="uk-UA"/>
        </w:rPr>
        <w:t xml:space="preserve"> (інший генотип або </w:t>
      </w:r>
      <w:r w:rsidRPr="00D5420D">
        <w:rPr>
          <w:rFonts w:ascii="Times New Roman" w:hAnsi="Times New Roman" w:cs="Times New Roman"/>
          <w:lang w:val="uk-UA"/>
        </w:rPr>
        <w:t>пов'язаний штам</w:t>
      </w:r>
      <w:r w:rsidR="00BD4381">
        <w:rPr>
          <w:rFonts w:ascii="Times New Roman" w:hAnsi="Times New Roman" w:cs="Times New Roman"/>
          <w:lang w:val="uk-UA"/>
        </w:rPr>
        <w:t>ом</w:t>
      </w:r>
      <w:r w:rsidRPr="00D5420D">
        <w:rPr>
          <w:rFonts w:ascii="Times New Roman" w:hAnsi="Times New Roman" w:cs="Times New Roman"/>
          <w:lang w:val="uk-UA"/>
        </w:rPr>
        <w:t xml:space="preserve"> за </w:t>
      </w:r>
      <w:r w:rsidR="00BD4381">
        <w:rPr>
          <w:rFonts w:ascii="Times New Roman" w:hAnsi="Times New Roman" w:cs="Times New Roman"/>
          <w:lang w:val="uk-UA"/>
        </w:rPr>
        <w:t>результатом філогенетичного аналізу, у випадку такого ж</w:t>
      </w:r>
      <w:r w:rsidRPr="00D5420D">
        <w:rPr>
          <w:rFonts w:ascii="Times New Roman" w:hAnsi="Times New Roman" w:cs="Times New Roman"/>
          <w:lang w:val="uk-UA"/>
        </w:rPr>
        <w:t xml:space="preserve"> генотип</w:t>
      </w:r>
      <w:r w:rsidR="00BD4381">
        <w:rPr>
          <w:rFonts w:ascii="Times New Roman" w:hAnsi="Times New Roman" w:cs="Times New Roman"/>
          <w:lang w:val="uk-UA"/>
        </w:rPr>
        <w:t xml:space="preserve">у). </w:t>
      </w:r>
      <w:r w:rsidR="00BD4381">
        <w:rPr>
          <w:rFonts w:ascii="Times New Roman" w:hAnsi="Times New Roman" w:cs="Times New Roman"/>
          <w:lang w:val="uk-UA"/>
        </w:rPr>
        <w:lastRenderedPageBreak/>
        <w:t>Реінфекцію</w:t>
      </w:r>
      <w:r w:rsidRPr="00D5420D">
        <w:rPr>
          <w:rFonts w:ascii="Times New Roman" w:hAnsi="Times New Roman" w:cs="Times New Roman"/>
          <w:lang w:val="uk-UA"/>
        </w:rPr>
        <w:t xml:space="preserve"> </w:t>
      </w:r>
      <w:r w:rsidR="00BD4381">
        <w:rPr>
          <w:rFonts w:ascii="Times New Roman" w:hAnsi="Times New Roman" w:cs="Times New Roman"/>
          <w:lang w:val="uk-UA"/>
        </w:rPr>
        <w:t>треба підозрювати</w:t>
      </w:r>
      <w:r w:rsidRPr="00D5420D">
        <w:rPr>
          <w:rFonts w:ascii="Times New Roman" w:hAnsi="Times New Roman" w:cs="Times New Roman"/>
          <w:lang w:val="uk-UA"/>
        </w:rPr>
        <w:t xml:space="preserve"> у випадках </w:t>
      </w:r>
      <w:r w:rsidR="00BD4381">
        <w:rPr>
          <w:rFonts w:ascii="Times New Roman" w:hAnsi="Times New Roman" w:cs="Times New Roman"/>
          <w:lang w:val="uk-UA"/>
        </w:rPr>
        <w:t xml:space="preserve">рецидиву інфекції ВГС після СВВ12 або </w:t>
      </w:r>
      <w:r w:rsidR="00FC6D8A">
        <w:rPr>
          <w:rFonts w:ascii="Times New Roman" w:hAnsi="Times New Roman" w:cs="Times New Roman"/>
          <w:lang w:val="uk-UA"/>
        </w:rPr>
        <w:t>–</w:t>
      </w:r>
      <w:r w:rsidR="00BD4381">
        <w:rPr>
          <w:rFonts w:ascii="Times New Roman" w:hAnsi="Times New Roman" w:cs="Times New Roman"/>
          <w:lang w:val="uk-UA"/>
        </w:rPr>
        <w:t>СВВ</w:t>
      </w:r>
      <w:r w:rsidRPr="00D5420D">
        <w:rPr>
          <w:rFonts w:ascii="Times New Roman" w:hAnsi="Times New Roman" w:cs="Times New Roman"/>
          <w:lang w:val="uk-UA"/>
        </w:rPr>
        <w:t>24, якщо ризикована поведінка продовжується.</w:t>
      </w:r>
    </w:p>
    <w:p w14:paraId="09BF0B0D" w14:textId="77777777" w:rsidR="00BD4381" w:rsidRDefault="00BD4381" w:rsidP="00F53078">
      <w:pPr>
        <w:pBdr>
          <w:top w:val="single" w:sz="4" w:space="1" w:color="FFFFFF"/>
          <w:left w:val="single" w:sz="4" w:space="4" w:color="FFFFFF"/>
          <w:bottom w:val="single" w:sz="4" w:space="1" w:color="FFFFFF"/>
          <w:right w:val="single" w:sz="4" w:space="4" w:color="FFFFFF"/>
        </w:pBdr>
        <w:jc w:val="both"/>
        <w:rPr>
          <w:rFonts w:ascii="Times New Roman" w:hAnsi="Times New Roman" w:cs="Times New Roman"/>
          <w:lang w:val="uk-UA"/>
        </w:rPr>
      </w:pPr>
    </w:p>
    <w:p w14:paraId="71F7C2C4" w14:textId="66753C6E" w:rsidR="00C42C95" w:rsidRDefault="00D5420D" w:rsidP="00F53078">
      <w:pPr>
        <w:pBdr>
          <w:top w:val="single" w:sz="4" w:space="1" w:color="FFFFFF"/>
          <w:left w:val="single" w:sz="4" w:space="4" w:color="FFFFFF"/>
          <w:bottom w:val="single" w:sz="4" w:space="1" w:color="FFFFFF"/>
          <w:right w:val="single" w:sz="4" w:space="4" w:color="FFFFFF"/>
        </w:pBdr>
        <w:jc w:val="both"/>
        <w:rPr>
          <w:rFonts w:ascii="Times New Roman" w:hAnsi="Times New Roman" w:cs="Times New Roman"/>
          <w:lang w:val="uk-UA"/>
        </w:rPr>
      </w:pPr>
      <w:r w:rsidRPr="00D5420D">
        <w:rPr>
          <w:rFonts w:ascii="Times New Roman" w:hAnsi="Times New Roman" w:cs="Times New Roman"/>
          <w:lang w:val="uk-UA"/>
        </w:rPr>
        <w:t>Діагноз хронічного гепатиту С ба</w:t>
      </w:r>
      <w:r w:rsidR="00BD4381">
        <w:rPr>
          <w:rFonts w:ascii="Times New Roman" w:hAnsi="Times New Roman" w:cs="Times New Roman"/>
          <w:lang w:val="uk-UA"/>
        </w:rPr>
        <w:t>зується на виявленні як анти</w:t>
      </w:r>
      <w:r w:rsidR="00FC6D8A">
        <w:rPr>
          <w:rFonts w:ascii="Times New Roman" w:hAnsi="Times New Roman" w:cs="Times New Roman"/>
          <w:lang w:val="uk-UA"/>
        </w:rPr>
        <w:t>–</w:t>
      </w:r>
      <w:r w:rsidR="00BD4381">
        <w:rPr>
          <w:rFonts w:ascii="Times New Roman" w:hAnsi="Times New Roman" w:cs="Times New Roman"/>
          <w:lang w:val="uk-UA"/>
        </w:rPr>
        <w:t>ВГС</w:t>
      </w:r>
      <w:r w:rsidRPr="00D5420D">
        <w:rPr>
          <w:rFonts w:ascii="Times New Roman" w:hAnsi="Times New Roman" w:cs="Times New Roman"/>
          <w:lang w:val="uk-UA"/>
        </w:rPr>
        <w:t xml:space="preserve"> антитіл, так і РНК ВГС (або </w:t>
      </w:r>
      <w:r w:rsidR="00BD4381">
        <w:rPr>
          <w:rFonts w:ascii="Times New Roman" w:hAnsi="Times New Roman" w:cs="Times New Roman"/>
          <w:lang w:val="uk-UA"/>
        </w:rPr>
        <w:t>ядерного</w:t>
      </w:r>
      <w:r w:rsidRPr="00D5420D">
        <w:rPr>
          <w:rFonts w:ascii="Times New Roman" w:hAnsi="Times New Roman" w:cs="Times New Roman"/>
          <w:lang w:val="uk-UA"/>
        </w:rPr>
        <w:t xml:space="preserve"> антигену В</w:t>
      </w:r>
      <w:r w:rsidR="00BD4381">
        <w:rPr>
          <w:rFonts w:ascii="Times New Roman" w:hAnsi="Times New Roman" w:cs="Times New Roman"/>
          <w:lang w:val="uk-UA"/>
        </w:rPr>
        <w:t>ГС). Спонтанний вірусний кліренс</w:t>
      </w:r>
      <w:r w:rsidRPr="00D5420D">
        <w:rPr>
          <w:rFonts w:ascii="Times New Roman" w:hAnsi="Times New Roman" w:cs="Times New Roman"/>
          <w:lang w:val="uk-UA"/>
        </w:rPr>
        <w:t xml:space="preserve"> рідко виникає через 4 </w:t>
      </w:r>
      <w:r w:rsidR="00FC6D8A">
        <w:rPr>
          <w:rFonts w:ascii="Times New Roman" w:hAnsi="Times New Roman" w:cs="Times New Roman"/>
          <w:lang w:val="uk-UA"/>
        </w:rPr>
        <w:t>–</w:t>
      </w:r>
      <w:r w:rsidR="00BD4381">
        <w:rPr>
          <w:rFonts w:ascii="Times New Roman" w:hAnsi="Times New Roman" w:cs="Times New Roman"/>
          <w:lang w:val="uk-UA"/>
        </w:rPr>
        <w:t xml:space="preserve"> 6 місяців після набутої</w:t>
      </w:r>
      <w:r w:rsidRPr="00D5420D">
        <w:rPr>
          <w:rFonts w:ascii="Times New Roman" w:hAnsi="Times New Roman" w:cs="Times New Roman"/>
          <w:lang w:val="uk-UA"/>
        </w:rPr>
        <w:t xml:space="preserve"> інфекції</w:t>
      </w:r>
      <w:r w:rsidRPr="00BD4381">
        <w:rPr>
          <w:rFonts w:ascii="Times New Roman" w:hAnsi="Times New Roman" w:cs="Times New Roman"/>
          <w:b/>
          <w:color w:val="0070C0"/>
          <w:vertAlign w:val="superscript"/>
          <w:lang w:val="uk-UA"/>
        </w:rPr>
        <w:t>27</w:t>
      </w:r>
      <w:r w:rsidR="00BD4381">
        <w:rPr>
          <w:rFonts w:ascii="Times New Roman" w:hAnsi="Times New Roman" w:cs="Times New Roman"/>
          <w:lang w:val="uk-UA"/>
        </w:rPr>
        <w:t>, тому діагноз “хронічний гепатит</w:t>
      </w:r>
      <w:r w:rsidRPr="00D5420D">
        <w:rPr>
          <w:rFonts w:ascii="Times New Roman" w:hAnsi="Times New Roman" w:cs="Times New Roman"/>
          <w:lang w:val="uk-UA"/>
        </w:rPr>
        <w:t xml:space="preserve"> С</w:t>
      </w:r>
      <w:r w:rsidR="00BD4381">
        <w:rPr>
          <w:rFonts w:ascii="Times New Roman" w:hAnsi="Times New Roman" w:cs="Times New Roman"/>
          <w:lang w:val="uk-UA"/>
        </w:rPr>
        <w:t>” можна поставити</w:t>
      </w:r>
      <w:r w:rsidRPr="00D5420D">
        <w:rPr>
          <w:rFonts w:ascii="Times New Roman" w:hAnsi="Times New Roman" w:cs="Times New Roman"/>
          <w:lang w:val="uk-UA"/>
        </w:rPr>
        <w:t xml:space="preserve"> після цього періоду часу.</w:t>
      </w:r>
    </w:p>
    <w:p w14:paraId="188AE012" w14:textId="77777777" w:rsidR="001D5741" w:rsidRDefault="001D5741" w:rsidP="00D5420D">
      <w:pPr>
        <w:pBdr>
          <w:top w:val="single" w:sz="4" w:space="1" w:color="FFFFFF"/>
          <w:left w:val="single" w:sz="4" w:space="4" w:color="FFFFFF"/>
          <w:bottom w:val="single" w:sz="4" w:space="1" w:color="FFFFFF"/>
          <w:right w:val="single" w:sz="4" w:space="4" w:color="FFFFFF"/>
        </w:pBdr>
        <w:rPr>
          <w:rFonts w:ascii="Times New Roman" w:hAnsi="Times New Roman" w:cs="Times New Roman"/>
          <w:lang w:val="uk-UA"/>
        </w:rPr>
      </w:pPr>
    </w:p>
    <w:tbl>
      <w:tblPr>
        <w:tblStyle w:val="a6"/>
        <w:tblW w:w="10065" w:type="dxa"/>
        <w:tblLook w:val="04A0" w:firstRow="1" w:lastRow="0" w:firstColumn="1" w:lastColumn="0" w:noHBand="0" w:noVBand="1"/>
      </w:tblPr>
      <w:tblGrid>
        <w:gridCol w:w="10065"/>
      </w:tblGrid>
      <w:tr w:rsidR="001D5741" w:rsidRPr="00652F9A" w14:paraId="210041D4" w14:textId="77777777" w:rsidTr="003F7D72">
        <w:trPr>
          <w:trHeight w:val="5809"/>
        </w:trPr>
        <w:tc>
          <w:tcPr>
            <w:tcW w:w="10065" w:type="dxa"/>
            <w:tcBorders>
              <w:top w:val="nil"/>
              <w:left w:val="nil"/>
              <w:bottom w:val="nil"/>
              <w:right w:val="nil"/>
            </w:tcBorders>
            <w:shd w:val="clear" w:color="auto" w:fill="DEEAF6" w:themeFill="accent1" w:themeFillTint="33"/>
          </w:tcPr>
          <w:p w14:paraId="27ED5C27" w14:textId="3BC341E8" w:rsidR="001D5741" w:rsidRPr="001D5741" w:rsidRDefault="001D5741" w:rsidP="001D5741">
            <w:pPr>
              <w:tabs>
                <w:tab w:val="left" w:pos="1259"/>
              </w:tabs>
              <w:rPr>
                <w:rFonts w:ascii="Times New Roman" w:hAnsi="Times New Roman" w:cs="Times New Roman"/>
                <w:b/>
                <w:lang w:val="uk-UA"/>
              </w:rPr>
            </w:pPr>
            <w:r w:rsidRPr="001D5741">
              <w:rPr>
                <w:rFonts w:ascii="Times New Roman" w:hAnsi="Times New Roman" w:cs="Times New Roman"/>
                <w:b/>
                <w:lang w:val="uk-UA"/>
              </w:rPr>
              <w:t xml:space="preserve">        Рекомендації</w:t>
            </w:r>
          </w:p>
          <w:p w14:paraId="773AB241" w14:textId="77777777" w:rsidR="001D5741" w:rsidRPr="001D5741" w:rsidRDefault="001D5741" w:rsidP="001D5741">
            <w:pPr>
              <w:tabs>
                <w:tab w:val="left" w:pos="1259"/>
              </w:tabs>
              <w:rPr>
                <w:rFonts w:ascii="Times New Roman" w:hAnsi="Times New Roman" w:cs="Times New Roman"/>
                <w:lang w:val="uk-UA"/>
              </w:rPr>
            </w:pPr>
          </w:p>
          <w:p w14:paraId="57F50DD2" w14:textId="3CCA44E6" w:rsidR="001D5741" w:rsidRPr="001D5741" w:rsidRDefault="001D5741" w:rsidP="00207A25">
            <w:pPr>
              <w:pStyle w:val="a9"/>
              <w:numPr>
                <w:ilvl w:val="0"/>
                <w:numId w:val="1"/>
              </w:numPr>
              <w:tabs>
                <w:tab w:val="left" w:pos="1259"/>
              </w:tabs>
              <w:jc w:val="both"/>
              <w:rPr>
                <w:rFonts w:ascii="Times New Roman" w:hAnsi="Times New Roman" w:cs="Times New Roman"/>
                <w:lang w:val="uk-UA"/>
              </w:rPr>
            </w:pPr>
            <w:r w:rsidRPr="001D5741">
              <w:rPr>
                <w:rFonts w:ascii="Times New Roman" w:hAnsi="Times New Roman" w:cs="Times New Roman"/>
                <w:lang w:val="uk-UA"/>
              </w:rPr>
              <w:t>Всі пацієнти з підозрою на ВГС</w:t>
            </w:r>
            <w:r w:rsidR="00FC6D8A">
              <w:rPr>
                <w:rFonts w:ascii="Times New Roman" w:hAnsi="Times New Roman" w:cs="Times New Roman"/>
                <w:lang w:val="uk-UA"/>
              </w:rPr>
              <w:t>–</w:t>
            </w:r>
            <w:r w:rsidRPr="001D5741">
              <w:rPr>
                <w:rFonts w:ascii="Times New Roman" w:hAnsi="Times New Roman" w:cs="Times New Roman"/>
                <w:lang w:val="uk-UA"/>
              </w:rPr>
              <w:t>інфекцію повинн</w:t>
            </w:r>
            <w:r w:rsidR="00BD4381">
              <w:rPr>
                <w:rFonts w:ascii="Times New Roman" w:hAnsi="Times New Roman" w:cs="Times New Roman"/>
                <w:lang w:val="uk-UA"/>
              </w:rPr>
              <w:t xml:space="preserve">і пройти тестування на </w:t>
            </w:r>
            <w:r w:rsidR="00B46CF1">
              <w:rPr>
                <w:rFonts w:ascii="Times New Roman" w:hAnsi="Times New Roman" w:cs="Times New Roman"/>
                <w:lang w:val="uk-UA"/>
              </w:rPr>
              <w:t xml:space="preserve">визначення </w:t>
            </w:r>
            <w:r w:rsidR="00BD4381">
              <w:rPr>
                <w:rFonts w:ascii="Times New Roman" w:hAnsi="Times New Roman" w:cs="Times New Roman"/>
                <w:lang w:val="uk-UA"/>
              </w:rPr>
              <w:t>анти</w:t>
            </w:r>
            <w:r w:rsidR="00D84B1A">
              <w:rPr>
                <w:rFonts w:ascii="Times New Roman" w:hAnsi="Times New Roman" w:cs="Times New Roman"/>
                <w:lang w:val="uk-UA"/>
              </w:rPr>
              <w:t>тіл до В</w:t>
            </w:r>
            <w:r w:rsidR="00BD4381">
              <w:rPr>
                <w:rFonts w:ascii="Times New Roman" w:hAnsi="Times New Roman" w:cs="Times New Roman"/>
                <w:lang w:val="uk-UA"/>
              </w:rPr>
              <w:t xml:space="preserve">ГС </w:t>
            </w:r>
            <w:r w:rsidRPr="001D5741">
              <w:rPr>
                <w:rFonts w:ascii="Times New Roman" w:hAnsi="Times New Roman" w:cs="Times New Roman"/>
                <w:lang w:val="uk-UA"/>
              </w:rPr>
              <w:t>в сироватці або плазмі</w:t>
            </w:r>
            <w:r w:rsidR="00D84B1A" w:rsidRPr="001D5741">
              <w:rPr>
                <w:rFonts w:ascii="Times New Roman" w:hAnsi="Times New Roman" w:cs="Times New Roman"/>
                <w:lang w:val="uk-UA"/>
              </w:rPr>
              <w:t xml:space="preserve"> крові</w:t>
            </w:r>
            <w:r w:rsidRPr="001D5741">
              <w:rPr>
                <w:rFonts w:ascii="Times New Roman" w:hAnsi="Times New Roman" w:cs="Times New Roman"/>
                <w:lang w:val="uk-UA"/>
              </w:rPr>
              <w:t xml:space="preserve">, як </w:t>
            </w:r>
            <w:r w:rsidR="00BD4381">
              <w:rPr>
                <w:rFonts w:ascii="Times New Roman" w:hAnsi="Times New Roman" w:cs="Times New Roman"/>
                <w:lang w:val="uk-UA"/>
              </w:rPr>
              <w:t>першого діагностичного</w:t>
            </w:r>
            <w:r w:rsidRPr="001D5741">
              <w:rPr>
                <w:rFonts w:ascii="Times New Roman" w:hAnsi="Times New Roman" w:cs="Times New Roman"/>
                <w:lang w:val="uk-UA"/>
              </w:rPr>
              <w:t xml:space="preserve"> тест</w:t>
            </w:r>
            <w:r w:rsidR="00BD4381">
              <w:rPr>
                <w:rFonts w:ascii="Times New Roman" w:hAnsi="Times New Roman" w:cs="Times New Roman"/>
                <w:lang w:val="uk-UA"/>
              </w:rPr>
              <w:t>у</w:t>
            </w:r>
            <w:r w:rsidR="003644FF">
              <w:rPr>
                <w:rFonts w:ascii="Times New Roman" w:hAnsi="Times New Roman" w:cs="Times New Roman"/>
                <w:lang w:val="uk-UA"/>
              </w:rPr>
              <w:t xml:space="preserve"> першого ряду </w:t>
            </w:r>
            <w:r w:rsidRPr="003644FF">
              <w:rPr>
                <w:rFonts w:ascii="Times New Roman" w:hAnsi="Times New Roman" w:cs="Times New Roman"/>
                <w:b/>
                <w:lang w:val="uk-UA"/>
              </w:rPr>
              <w:t>(A1).</w:t>
            </w:r>
          </w:p>
          <w:p w14:paraId="6F202055" w14:textId="3CAA5521" w:rsidR="001D5741" w:rsidRPr="001D5741" w:rsidRDefault="003644FF" w:rsidP="00207A25">
            <w:pPr>
              <w:pStyle w:val="a9"/>
              <w:numPr>
                <w:ilvl w:val="0"/>
                <w:numId w:val="1"/>
              </w:numPr>
              <w:tabs>
                <w:tab w:val="left" w:pos="1259"/>
              </w:tabs>
              <w:jc w:val="both"/>
              <w:rPr>
                <w:rFonts w:ascii="Times New Roman" w:hAnsi="Times New Roman" w:cs="Times New Roman"/>
                <w:lang w:val="uk-UA"/>
              </w:rPr>
            </w:pPr>
            <w:r>
              <w:rPr>
                <w:rFonts w:ascii="Times New Roman" w:hAnsi="Times New Roman" w:cs="Times New Roman"/>
                <w:lang w:val="uk-UA"/>
              </w:rPr>
              <w:t>У випадку підоз</w:t>
            </w:r>
            <w:r w:rsidR="00B46CF1">
              <w:rPr>
                <w:rFonts w:ascii="Times New Roman" w:hAnsi="Times New Roman" w:cs="Times New Roman"/>
                <w:lang w:val="uk-UA"/>
              </w:rPr>
              <w:t>ри на</w:t>
            </w:r>
            <w:r w:rsidR="001D5741" w:rsidRPr="001D5741">
              <w:rPr>
                <w:rFonts w:ascii="Times New Roman" w:hAnsi="Times New Roman" w:cs="Times New Roman"/>
                <w:lang w:val="uk-UA"/>
              </w:rPr>
              <w:t xml:space="preserve"> гос</w:t>
            </w:r>
            <w:r>
              <w:rPr>
                <w:rFonts w:ascii="Times New Roman" w:hAnsi="Times New Roman" w:cs="Times New Roman"/>
                <w:lang w:val="uk-UA"/>
              </w:rPr>
              <w:t>тр</w:t>
            </w:r>
            <w:r w:rsidR="00B46CF1">
              <w:rPr>
                <w:rFonts w:ascii="Times New Roman" w:hAnsi="Times New Roman" w:cs="Times New Roman"/>
                <w:lang w:val="uk-UA"/>
              </w:rPr>
              <w:t>ий</w:t>
            </w:r>
            <w:r>
              <w:rPr>
                <w:rFonts w:ascii="Times New Roman" w:hAnsi="Times New Roman" w:cs="Times New Roman"/>
                <w:lang w:val="uk-UA"/>
              </w:rPr>
              <w:t xml:space="preserve"> гепатит С у пацієнтів </w:t>
            </w:r>
            <w:r w:rsidR="001D5741" w:rsidRPr="001D5741">
              <w:rPr>
                <w:rFonts w:ascii="Times New Roman" w:hAnsi="Times New Roman" w:cs="Times New Roman"/>
                <w:lang w:val="uk-UA"/>
              </w:rPr>
              <w:t>з порушеною імунологічною реак</w:t>
            </w:r>
            <w:r w:rsidR="00B46CF1">
              <w:rPr>
                <w:rFonts w:ascii="Times New Roman" w:hAnsi="Times New Roman" w:cs="Times New Roman"/>
                <w:lang w:val="uk-UA"/>
              </w:rPr>
              <w:t>цією</w:t>
            </w:r>
            <w:r w:rsidR="001D5741" w:rsidRPr="001D5741">
              <w:rPr>
                <w:rFonts w:ascii="Times New Roman" w:hAnsi="Times New Roman" w:cs="Times New Roman"/>
                <w:lang w:val="uk-UA"/>
              </w:rPr>
              <w:t xml:space="preserve"> та у пацієнтів </w:t>
            </w:r>
            <w:r w:rsidR="00A223FF">
              <w:rPr>
                <w:rFonts w:ascii="Times New Roman" w:hAnsi="Times New Roman" w:cs="Times New Roman"/>
                <w:lang w:val="uk-UA"/>
              </w:rPr>
              <w:t>на</w:t>
            </w:r>
            <w:r w:rsidR="001D5741" w:rsidRPr="001D5741">
              <w:rPr>
                <w:rFonts w:ascii="Times New Roman" w:hAnsi="Times New Roman" w:cs="Times New Roman"/>
                <w:lang w:val="uk-UA"/>
              </w:rPr>
              <w:t xml:space="preserve"> гемодіаліз</w:t>
            </w:r>
            <w:r w:rsidR="00A223FF">
              <w:rPr>
                <w:rFonts w:ascii="Times New Roman" w:hAnsi="Times New Roman" w:cs="Times New Roman"/>
                <w:lang w:val="uk-UA"/>
              </w:rPr>
              <w:t>і</w:t>
            </w:r>
            <w:r w:rsidR="001D5741" w:rsidRPr="001D5741">
              <w:rPr>
                <w:rFonts w:ascii="Times New Roman" w:hAnsi="Times New Roman" w:cs="Times New Roman"/>
                <w:lang w:val="uk-UA"/>
              </w:rPr>
              <w:t xml:space="preserve"> </w:t>
            </w:r>
            <w:r w:rsidR="00D84B1A">
              <w:rPr>
                <w:rFonts w:ascii="Times New Roman" w:hAnsi="Times New Roman" w:cs="Times New Roman"/>
                <w:lang w:val="uk-UA"/>
              </w:rPr>
              <w:t xml:space="preserve">треба </w:t>
            </w:r>
            <w:r w:rsidR="001D5741" w:rsidRPr="001D5741">
              <w:rPr>
                <w:rFonts w:ascii="Times New Roman" w:hAnsi="Times New Roman" w:cs="Times New Roman"/>
                <w:lang w:val="uk-UA"/>
              </w:rPr>
              <w:t xml:space="preserve">провести аналіз </w:t>
            </w:r>
            <w:r w:rsidR="008A7F6B">
              <w:rPr>
                <w:rFonts w:ascii="Times New Roman" w:hAnsi="Times New Roman" w:cs="Times New Roman"/>
                <w:lang w:val="uk-UA"/>
              </w:rPr>
              <w:t xml:space="preserve">на визначення </w:t>
            </w:r>
            <w:r w:rsidR="001D5741" w:rsidRPr="001D5741">
              <w:rPr>
                <w:rFonts w:ascii="Times New Roman" w:hAnsi="Times New Roman" w:cs="Times New Roman"/>
                <w:lang w:val="uk-UA"/>
              </w:rPr>
              <w:t>РНК ВГС в сироватці або плазмі</w:t>
            </w:r>
            <w:r w:rsidR="00707E43" w:rsidRPr="001D5741">
              <w:rPr>
                <w:rFonts w:ascii="Times New Roman" w:hAnsi="Times New Roman" w:cs="Times New Roman"/>
                <w:lang w:val="uk-UA"/>
              </w:rPr>
              <w:t xml:space="preserve"> крові</w:t>
            </w:r>
            <w:r w:rsidR="001D5741" w:rsidRPr="001D5741">
              <w:rPr>
                <w:rFonts w:ascii="Times New Roman" w:hAnsi="Times New Roman" w:cs="Times New Roman"/>
                <w:lang w:val="uk-UA"/>
              </w:rPr>
              <w:t xml:space="preserve">, що є частиною первинної оцінки </w:t>
            </w:r>
            <w:r w:rsidR="001D5741" w:rsidRPr="003644FF">
              <w:rPr>
                <w:rFonts w:ascii="Times New Roman" w:hAnsi="Times New Roman" w:cs="Times New Roman"/>
                <w:b/>
                <w:lang w:val="uk-UA"/>
              </w:rPr>
              <w:t>(А1).</w:t>
            </w:r>
          </w:p>
          <w:p w14:paraId="3E853E10" w14:textId="39CAFCE9" w:rsidR="001D5741" w:rsidRPr="001D5741" w:rsidRDefault="003644FF" w:rsidP="00207A25">
            <w:pPr>
              <w:pStyle w:val="a9"/>
              <w:numPr>
                <w:ilvl w:val="0"/>
                <w:numId w:val="1"/>
              </w:numPr>
              <w:tabs>
                <w:tab w:val="left" w:pos="1259"/>
              </w:tabs>
              <w:jc w:val="both"/>
              <w:rPr>
                <w:rFonts w:ascii="Times New Roman" w:hAnsi="Times New Roman" w:cs="Times New Roman"/>
                <w:lang w:val="uk-UA"/>
              </w:rPr>
            </w:pPr>
            <w:r>
              <w:rPr>
                <w:rFonts w:ascii="Times New Roman" w:hAnsi="Times New Roman" w:cs="Times New Roman"/>
                <w:lang w:val="uk-UA"/>
              </w:rPr>
              <w:t>Якщо анти</w:t>
            </w:r>
            <w:r w:rsidR="00FC6D8A">
              <w:rPr>
                <w:rFonts w:ascii="Times New Roman" w:hAnsi="Times New Roman" w:cs="Times New Roman"/>
                <w:lang w:val="uk-UA"/>
              </w:rPr>
              <w:t>–</w:t>
            </w:r>
            <w:r>
              <w:rPr>
                <w:rFonts w:ascii="Times New Roman" w:hAnsi="Times New Roman" w:cs="Times New Roman"/>
                <w:lang w:val="uk-UA"/>
              </w:rPr>
              <w:t xml:space="preserve">ВГС </w:t>
            </w:r>
            <w:r w:rsidR="001D5741" w:rsidRPr="001D5741">
              <w:rPr>
                <w:rFonts w:ascii="Times New Roman" w:hAnsi="Times New Roman" w:cs="Times New Roman"/>
                <w:lang w:val="uk-UA"/>
              </w:rPr>
              <w:t>антитіл</w:t>
            </w:r>
            <w:r>
              <w:rPr>
                <w:rFonts w:ascii="Times New Roman" w:hAnsi="Times New Roman" w:cs="Times New Roman"/>
                <w:lang w:val="uk-UA"/>
              </w:rPr>
              <w:t>а</w:t>
            </w:r>
            <w:r w:rsidR="001D5741" w:rsidRPr="001D5741">
              <w:rPr>
                <w:rFonts w:ascii="Times New Roman" w:hAnsi="Times New Roman" w:cs="Times New Roman"/>
                <w:lang w:val="uk-UA"/>
              </w:rPr>
              <w:t xml:space="preserve"> виявляються, РНК ВГС слід визначати за допомогою чутливо</w:t>
            </w:r>
            <w:r>
              <w:rPr>
                <w:rFonts w:ascii="Times New Roman" w:hAnsi="Times New Roman" w:cs="Times New Roman"/>
                <w:lang w:val="uk-UA"/>
              </w:rPr>
              <w:t>го молекулярного методу з нижньою</w:t>
            </w:r>
            <w:r w:rsidR="001D5741" w:rsidRPr="001D5741">
              <w:rPr>
                <w:rFonts w:ascii="Times New Roman" w:hAnsi="Times New Roman" w:cs="Times New Roman"/>
                <w:lang w:val="uk-UA"/>
              </w:rPr>
              <w:t xml:space="preserve"> меж</w:t>
            </w:r>
            <w:r>
              <w:rPr>
                <w:rFonts w:ascii="Times New Roman" w:hAnsi="Times New Roman" w:cs="Times New Roman"/>
                <w:lang w:val="uk-UA"/>
              </w:rPr>
              <w:t>ею виявлення ≤ 15 МО/</w:t>
            </w:r>
            <w:r w:rsidR="001D5741" w:rsidRPr="001D5741">
              <w:rPr>
                <w:rFonts w:ascii="Times New Roman" w:hAnsi="Times New Roman" w:cs="Times New Roman"/>
                <w:lang w:val="uk-UA"/>
              </w:rPr>
              <w:t xml:space="preserve">мл </w:t>
            </w:r>
            <w:r w:rsidR="001D5741" w:rsidRPr="003644FF">
              <w:rPr>
                <w:rFonts w:ascii="Times New Roman" w:hAnsi="Times New Roman" w:cs="Times New Roman"/>
                <w:b/>
                <w:lang w:val="uk-UA"/>
              </w:rPr>
              <w:t>(А1).</w:t>
            </w:r>
          </w:p>
          <w:p w14:paraId="18AAB5EB" w14:textId="12225F9A" w:rsidR="001D5741" w:rsidRPr="001D5741" w:rsidRDefault="001D5741" w:rsidP="00207A25">
            <w:pPr>
              <w:pStyle w:val="a9"/>
              <w:numPr>
                <w:ilvl w:val="0"/>
                <w:numId w:val="1"/>
              </w:numPr>
              <w:tabs>
                <w:tab w:val="left" w:pos="1259"/>
              </w:tabs>
              <w:jc w:val="both"/>
              <w:rPr>
                <w:rFonts w:ascii="Times New Roman" w:hAnsi="Times New Roman" w:cs="Times New Roman"/>
                <w:lang w:val="uk-UA"/>
              </w:rPr>
            </w:pPr>
            <w:r w:rsidRPr="001D5741">
              <w:rPr>
                <w:rFonts w:ascii="Times New Roman" w:hAnsi="Times New Roman" w:cs="Times New Roman"/>
                <w:lang w:val="uk-UA"/>
              </w:rPr>
              <w:t>У країнах з низьким і середнім рівн</w:t>
            </w:r>
            <w:r w:rsidR="003644FF">
              <w:rPr>
                <w:rFonts w:ascii="Times New Roman" w:hAnsi="Times New Roman" w:cs="Times New Roman"/>
                <w:lang w:val="uk-UA"/>
              </w:rPr>
              <w:t xml:space="preserve">ем доходу та в окремих регіонах </w:t>
            </w:r>
            <w:r w:rsidRPr="001D5741">
              <w:rPr>
                <w:rFonts w:ascii="Times New Roman" w:hAnsi="Times New Roman" w:cs="Times New Roman"/>
                <w:lang w:val="uk-UA"/>
              </w:rPr>
              <w:t>у країнах з високим рівнем доходу може бути вик</w:t>
            </w:r>
            <w:r w:rsidR="003644FF">
              <w:rPr>
                <w:rFonts w:ascii="Times New Roman" w:hAnsi="Times New Roman" w:cs="Times New Roman"/>
                <w:lang w:val="uk-UA"/>
              </w:rPr>
              <w:t xml:space="preserve">ористаний якісний аналіз РНК ВГС з нижньою межею виявлення ≤ 1000 МО/мл (3,0 </w:t>
            </w:r>
            <w:r w:rsidR="003644FF">
              <w:rPr>
                <w:rFonts w:ascii="Times New Roman" w:hAnsi="Times New Roman" w:cs="Times New Roman"/>
                <w:lang w:val="en-US"/>
              </w:rPr>
              <w:t>Log</w:t>
            </w:r>
            <w:r w:rsidR="003644FF" w:rsidRPr="003644FF">
              <w:rPr>
                <w:rFonts w:ascii="Times New Roman" w:hAnsi="Times New Roman" w:cs="Times New Roman"/>
                <w:b/>
                <w:vertAlign w:val="subscript"/>
                <w:lang w:val="uk-UA"/>
              </w:rPr>
              <w:t>10</w:t>
            </w:r>
            <w:r w:rsidR="003644FF">
              <w:rPr>
                <w:rFonts w:ascii="Times New Roman" w:hAnsi="Times New Roman" w:cs="Times New Roman"/>
                <w:lang w:val="uk-UA"/>
              </w:rPr>
              <w:t xml:space="preserve"> МО/</w:t>
            </w:r>
            <w:r w:rsidRPr="001D5741">
              <w:rPr>
                <w:rFonts w:ascii="Times New Roman" w:hAnsi="Times New Roman" w:cs="Times New Roman"/>
                <w:lang w:val="uk-UA"/>
              </w:rPr>
              <w:t xml:space="preserve">мл) для </w:t>
            </w:r>
            <w:r w:rsidR="003644FF">
              <w:rPr>
                <w:rFonts w:ascii="Times New Roman" w:hAnsi="Times New Roman" w:cs="Times New Roman"/>
                <w:lang w:val="uk-UA"/>
              </w:rPr>
              <w:t xml:space="preserve">забезпечення можливості широкого </w:t>
            </w:r>
            <w:r w:rsidRPr="001D5741">
              <w:rPr>
                <w:rFonts w:ascii="Times New Roman" w:hAnsi="Times New Roman" w:cs="Times New Roman"/>
                <w:lang w:val="uk-UA"/>
              </w:rPr>
              <w:t>доступ</w:t>
            </w:r>
            <w:r w:rsidR="003644FF">
              <w:rPr>
                <w:rFonts w:ascii="Times New Roman" w:hAnsi="Times New Roman" w:cs="Times New Roman"/>
                <w:lang w:val="uk-UA"/>
              </w:rPr>
              <w:t xml:space="preserve">у до діагностики та лікування </w:t>
            </w:r>
            <w:r w:rsidRPr="001D5741">
              <w:rPr>
                <w:rFonts w:ascii="Times New Roman" w:hAnsi="Times New Roman" w:cs="Times New Roman"/>
                <w:lang w:val="uk-UA"/>
              </w:rPr>
              <w:t xml:space="preserve">ВГС </w:t>
            </w:r>
            <w:r w:rsidRPr="003644FF">
              <w:rPr>
                <w:rFonts w:ascii="Times New Roman" w:hAnsi="Times New Roman" w:cs="Times New Roman"/>
                <w:b/>
                <w:lang w:val="uk-UA"/>
              </w:rPr>
              <w:t>(B2).</w:t>
            </w:r>
          </w:p>
          <w:p w14:paraId="6811C47F" w14:textId="6A6C3D88" w:rsidR="001D5741" w:rsidRPr="003F7D72" w:rsidRDefault="003644FF" w:rsidP="00207A25">
            <w:pPr>
              <w:pStyle w:val="a9"/>
              <w:numPr>
                <w:ilvl w:val="0"/>
                <w:numId w:val="1"/>
              </w:numPr>
              <w:tabs>
                <w:tab w:val="left" w:pos="1259"/>
              </w:tabs>
              <w:jc w:val="both"/>
              <w:rPr>
                <w:rFonts w:ascii="Times New Roman" w:hAnsi="Times New Roman" w:cs="Times New Roman"/>
                <w:lang w:val="uk-UA"/>
              </w:rPr>
            </w:pPr>
            <w:r>
              <w:rPr>
                <w:rFonts w:ascii="Times New Roman" w:hAnsi="Times New Roman" w:cs="Times New Roman"/>
                <w:lang w:val="uk-UA"/>
              </w:rPr>
              <w:t xml:space="preserve">Пацієнти з </w:t>
            </w:r>
            <w:r w:rsidR="008A7F6B">
              <w:rPr>
                <w:rFonts w:ascii="Times New Roman" w:hAnsi="Times New Roman" w:cs="Times New Roman"/>
                <w:lang w:val="uk-UA"/>
              </w:rPr>
              <w:t xml:space="preserve">позитивним результатом на антитіла та негативним результатом на  </w:t>
            </w:r>
            <w:r w:rsidR="001D5741" w:rsidRPr="001D5741">
              <w:rPr>
                <w:rFonts w:ascii="Times New Roman" w:hAnsi="Times New Roman" w:cs="Times New Roman"/>
                <w:lang w:val="uk-UA"/>
              </w:rPr>
              <w:t>РНК</w:t>
            </w:r>
            <w:r w:rsidR="008A7F6B">
              <w:rPr>
                <w:rFonts w:ascii="Times New Roman" w:hAnsi="Times New Roman" w:cs="Times New Roman"/>
                <w:lang w:val="uk-UA"/>
              </w:rPr>
              <w:t xml:space="preserve"> </w:t>
            </w:r>
            <w:r w:rsidR="001D5741" w:rsidRPr="001D5741">
              <w:rPr>
                <w:rFonts w:ascii="Times New Roman" w:hAnsi="Times New Roman" w:cs="Times New Roman"/>
                <w:lang w:val="uk-UA"/>
              </w:rPr>
              <w:t xml:space="preserve"> ВГС, повинні</w:t>
            </w:r>
            <w:r w:rsidR="002D1857">
              <w:rPr>
                <w:rFonts w:ascii="Times New Roman" w:hAnsi="Times New Roman" w:cs="Times New Roman"/>
                <w:lang w:val="uk-UA"/>
              </w:rPr>
              <w:t xml:space="preserve"> бути повторно протестовані на </w:t>
            </w:r>
            <w:r w:rsidR="001D5741" w:rsidRPr="001D5741">
              <w:rPr>
                <w:rFonts w:ascii="Times New Roman" w:hAnsi="Times New Roman" w:cs="Times New Roman"/>
                <w:lang w:val="uk-UA"/>
              </w:rPr>
              <w:t xml:space="preserve">РНК </w:t>
            </w:r>
            <w:r w:rsidR="002D1857">
              <w:rPr>
                <w:rFonts w:ascii="Times New Roman" w:hAnsi="Times New Roman" w:cs="Times New Roman"/>
                <w:lang w:val="uk-UA"/>
              </w:rPr>
              <w:t xml:space="preserve">ВГС </w:t>
            </w:r>
            <w:r w:rsidR="008A7F6B">
              <w:rPr>
                <w:rFonts w:ascii="Times New Roman" w:hAnsi="Times New Roman" w:cs="Times New Roman"/>
                <w:lang w:val="uk-UA"/>
              </w:rPr>
              <w:t>через</w:t>
            </w:r>
            <w:r w:rsidR="002D1857">
              <w:rPr>
                <w:rFonts w:ascii="Times New Roman" w:hAnsi="Times New Roman" w:cs="Times New Roman"/>
                <w:lang w:val="uk-UA"/>
              </w:rPr>
              <w:t xml:space="preserve"> </w:t>
            </w:r>
            <w:r w:rsidR="001D5741" w:rsidRPr="001D5741">
              <w:rPr>
                <w:rFonts w:ascii="Times New Roman" w:hAnsi="Times New Roman" w:cs="Times New Roman"/>
                <w:lang w:val="uk-UA"/>
              </w:rPr>
              <w:t xml:space="preserve">12 </w:t>
            </w:r>
            <w:r w:rsidR="008A7F6B">
              <w:rPr>
                <w:rFonts w:ascii="Times New Roman" w:hAnsi="Times New Roman" w:cs="Times New Roman"/>
                <w:lang w:val="uk-UA"/>
              </w:rPr>
              <w:t xml:space="preserve">та </w:t>
            </w:r>
            <w:r w:rsidR="001D5741" w:rsidRPr="001D5741">
              <w:rPr>
                <w:rFonts w:ascii="Times New Roman" w:hAnsi="Times New Roman" w:cs="Times New Roman"/>
                <w:lang w:val="uk-UA"/>
              </w:rPr>
              <w:t xml:space="preserve">24 тижні для підтвердження </w:t>
            </w:r>
            <w:r w:rsidR="001D5741" w:rsidRPr="003F7D72">
              <w:rPr>
                <w:rFonts w:ascii="Times New Roman" w:hAnsi="Times New Roman" w:cs="Times New Roman"/>
                <w:lang w:val="uk-UA"/>
              </w:rPr>
              <w:t xml:space="preserve">кліренсу </w:t>
            </w:r>
            <w:r w:rsidR="001D5741" w:rsidRPr="003F7D72">
              <w:rPr>
                <w:rFonts w:ascii="Times New Roman" w:hAnsi="Times New Roman" w:cs="Times New Roman"/>
                <w:b/>
                <w:lang w:val="uk-UA"/>
              </w:rPr>
              <w:t>(А1).</w:t>
            </w:r>
          </w:p>
          <w:p w14:paraId="21D5651F" w14:textId="4B6F88DD" w:rsidR="001D5741" w:rsidRPr="008A7F6B" w:rsidRDefault="008A7F6B" w:rsidP="00207A25">
            <w:pPr>
              <w:pStyle w:val="a9"/>
              <w:numPr>
                <w:ilvl w:val="0"/>
                <w:numId w:val="1"/>
              </w:numPr>
              <w:tabs>
                <w:tab w:val="left" w:pos="1259"/>
              </w:tabs>
              <w:jc w:val="both"/>
              <w:rPr>
                <w:rFonts w:ascii="Times New Roman" w:hAnsi="Times New Roman" w:cs="Times New Roman"/>
                <w:b/>
                <w:lang w:val="uk-UA"/>
              </w:rPr>
            </w:pPr>
            <w:r>
              <w:rPr>
                <w:rFonts w:ascii="Times New Roman" w:hAnsi="Times New Roman" w:cs="Times New Roman"/>
                <w:lang w:val="uk-UA"/>
              </w:rPr>
              <w:t xml:space="preserve">Визначення </w:t>
            </w:r>
            <w:r w:rsidR="001D5741" w:rsidRPr="001D5741">
              <w:rPr>
                <w:rFonts w:ascii="Times New Roman" w:hAnsi="Times New Roman" w:cs="Times New Roman"/>
                <w:lang w:val="uk-UA"/>
              </w:rPr>
              <w:t xml:space="preserve">антигену вірусу гепатиту </w:t>
            </w:r>
            <w:r>
              <w:rPr>
                <w:rFonts w:ascii="Times New Roman" w:hAnsi="Times New Roman" w:cs="Times New Roman"/>
                <w:lang w:val="uk-UA"/>
              </w:rPr>
              <w:t>С</w:t>
            </w:r>
            <w:r w:rsidR="001D5741" w:rsidRPr="001D5741">
              <w:rPr>
                <w:rFonts w:ascii="Times New Roman" w:hAnsi="Times New Roman" w:cs="Times New Roman"/>
                <w:lang w:val="uk-UA"/>
              </w:rPr>
              <w:t xml:space="preserve"> у сироватці або плазмі </w:t>
            </w:r>
            <w:r w:rsidR="00707E43">
              <w:rPr>
                <w:rFonts w:ascii="Times New Roman" w:hAnsi="Times New Roman" w:cs="Times New Roman"/>
                <w:lang w:val="uk-UA"/>
              </w:rPr>
              <w:t xml:space="preserve">крові </w:t>
            </w:r>
            <w:r>
              <w:rPr>
                <w:rFonts w:ascii="Times New Roman" w:hAnsi="Times New Roman" w:cs="Times New Roman"/>
                <w:lang w:val="uk-UA"/>
              </w:rPr>
              <w:t xml:space="preserve">як </w:t>
            </w:r>
            <w:r w:rsidR="001D5741" w:rsidRPr="001D5741">
              <w:rPr>
                <w:rFonts w:ascii="Times New Roman" w:hAnsi="Times New Roman" w:cs="Times New Roman"/>
                <w:lang w:val="uk-UA"/>
              </w:rPr>
              <w:t>маркер</w:t>
            </w:r>
            <w:r>
              <w:rPr>
                <w:rFonts w:ascii="Times New Roman" w:hAnsi="Times New Roman" w:cs="Times New Roman"/>
                <w:lang w:val="uk-UA"/>
              </w:rPr>
              <w:t>у</w:t>
            </w:r>
            <w:r w:rsidR="001D5741" w:rsidRPr="001D5741">
              <w:rPr>
                <w:rFonts w:ascii="Times New Roman" w:hAnsi="Times New Roman" w:cs="Times New Roman"/>
                <w:lang w:val="uk-UA"/>
              </w:rPr>
              <w:t xml:space="preserve"> реплікації ВГС, може використовуватися замість </w:t>
            </w:r>
            <w:r>
              <w:rPr>
                <w:rFonts w:ascii="Times New Roman" w:hAnsi="Times New Roman" w:cs="Times New Roman"/>
                <w:lang w:val="uk-UA"/>
              </w:rPr>
              <w:t xml:space="preserve">визначення </w:t>
            </w:r>
            <w:r w:rsidR="001D5741" w:rsidRPr="001D5741">
              <w:rPr>
                <w:rFonts w:ascii="Times New Roman" w:hAnsi="Times New Roman" w:cs="Times New Roman"/>
                <w:lang w:val="uk-UA"/>
              </w:rPr>
              <w:t xml:space="preserve">РНК ВГС для діагностики гострої або хронічної інфекції ВГС, коли </w:t>
            </w:r>
            <w:r>
              <w:rPr>
                <w:rFonts w:ascii="Times New Roman" w:hAnsi="Times New Roman" w:cs="Times New Roman"/>
                <w:lang w:val="uk-UA"/>
              </w:rPr>
              <w:t>обстеження на виявлення</w:t>
            </w:r>
            <w:r w:rsidR="001D5741" w:rsidRPr="001D5741">
              <w:rPr>
                <w:rFonts w:ascii="Times New Roman" w:hAnsi="Times New Roman" w:cs="Times New Roman"/>
                <w:lang w:val="uk-UA"/>
              </w:rPr>
              <w:t xml:space="preserve"> РНК ВГС не доступні </w:t>
            </w:r>
            <w:r w:rsidR="001D5741" w:rsidRPr="008A7F6B">
              <w:rPr>
                <w:rFonts w:ascii="Times New Roman" w:hAnsi="Times New Roman" w:cs="Times New Roman"/>
                <w:b/>
                <w:lang w:val="uk-UA"/>
              </w:rPr>
              <w:t>(А1).</w:t>
            </w:r>
          </w:p>
          <w:p w14:paraId="2EE7F62F" w14:textId="0CAC2AF6" w:rsidR="001D5741" w:rsidRPr="001D5741" w:rsidRDefault="001D5741" w:rsidP="001D5741">
            <w:pPr>
              <w:tabs>
                <w:tab w:val="left" w:pos="1259"/>
              </w:tabs>
              <w:rPr>
                <w:rFonts w:ascii="Times New Roman" w:hAnsi="Times New Roman" w:cs="Times New Roman"/>
                <w:lang w:val="uk-UA"/>
              </w:rPr>
            </w:pPr>
          </w:p>
        </w:tc>
      </w:tr>
    </w:tbl>
    <w:p w14:paraId="298098A9" w14:textId="77777777" w:rsidR="00F9216A" w:rsidRDefault="00F9216A" w:rsidP="00C87A95">
      <w:pPr>
        <w:outlineLvl w:val="0"/>
        <w:rPr>
          <w:rFonts w:ascii="Times New Roman" w:hAnsi="Times New Roman" w:cs="Times New Roman"/>
          <w:b/>
          <w:color w:val="2E74B5" w:themeColor="accent1" w:themeShade="BF"/>
          <w:lang w:val="uk-UA"/>
        </w:rPr>
      </w:pPr>
    </w:p>
    <w:p w14:paraId="25EDE015" w14:textId="7A06D6CB" w:rsidR="00637D2A" w:rsidRPr="006A11CF" w:rsidRDefault="006A11CF" w:rsidP="00C87A95">
      <w:pPr>
        <w:outlineLvl w:val="0"/>
        <w:rPr>
          <w:rFonts w:ascii="Times New Roman" w:hAnsi="Times New Roman" w:cs="Times New Roman"/>
          <w:b/>
          <w:color w:val="2E74B5" w:themeColor="accent1" w:themeShade="BF"/>
          <w:lang w:val="uk-UA"/>
        </w:rPr>
      </w:pPr>
      <w:r w:rsidRPr="006A11CF">
        <w:rPr>
          <w:rFonts w:ascii="Times New Roman" w:hAnsi="Times New Roman" w:cs="Times New Roman"/>
          <w:b/>
          <w:color w:val="2E74B5" w:themeColor="accent1" w:themeShade="BF"/>
          <w:lang w:val="uk-UA"/>
        </w:rPr>
        <w:t xml:space="preserve">Скринінг </w:t>
      </w:r>
      <w:r w:rsidR="00637D2A" w:rsidRPr="006A11CF">
        <w:rPr>
          <w:rFonts w:ascii="Times New Roman" w:hAnsi="Times New Roman" w:cs="Times New Roman"/>
          <w:b/>
          <w:color w:val="2E74B5" w:themeColor="accent1" w:themeShade="BF"/>
          <w:lang w:val="uk-UA"/>
        </w:rPr>
        <w:t>хронічного гепатиту С</w:t>
      </w:r>
    </w:p>
    <w:p w14:paraId="56D3C8AD" w14:textId="77777777" w:rsidR="006A11CF" w:rsidRDefault="006A11CF" w:rsidP="00637D2A">
      <w:pPr>
        <w:rPr>
          <w:rFonts w:ascii="Times New Roman" w:hAnsi="Times New Roman" w:cs="Times New Roman"/>
          <w:lang w:val="uk-UA"/>
        </w:rPr>
      </w:pPr>
    </w:p>
    <w:p w14:paraId="31BA5CC6" w14:textId="49727095" w:rsidR="00637D2A" w:rsidRPr="00637D2A" w:rsidRDefault="00637D2A" w:rsidP="00F53078">
      <w:pPr>
        <w:jc w:val="both"/>
        <w:rPr>
          <w:rFonts w:ascii="Times New Roman" w:hAnsi="Times New Roman" w:cs="Times New Roman"/>
          <w:lang w:val="uk-UA"/>
        </w:rPr>
      </w:pPr>
      <w:r w:rsidRPr="00637D2A">
        <w:rPr>
          <w:rFonts w:ascii="Times New Roman" w:hAnsi="Times New Roman" w:cs="Times New Roman"/>
          <w:lang w:val="uk-UA"/>
        </w:rPr>
        <w:t xml:space="preserve">Основним бар'єром для </w:t>
      </w:r>
      <w:r w:rsidR="00EB306E">
        <w:rPr>
          <w:rFonts w:ascii="Times New Roman" w:hAnsi="Times New Roman" w:cs="Times New Roman"/>
          <w:lang w:val="uk-UA"/>
        </w:rPr>
        <w:t>елімінації</w:t>
      </w:r>
      <w:r w:rsidRPr="00637D2A">
        <w:rPr>
          <w:rFonts w:ascii="Times New Roman" w:hAnsi="Times New Roman" w:cs="Times New Roman"/>
          <w:lang w:val="uk-UA"/>
        </w:rPr>
        <w:t xml:space="preserve"> ВГС все ще є </w:t>
      </w:r>
      <w:r w:rsidR="00EF0A7F">
        <w:rPr>
          <w:rFonts w:ascii="Times New Roman" w:hAnsi="Times New Roman" w:cs="Times New Roman"/>
          <w:lang w:val="uk-UA"/>
        </w:rPr>
        <w:t>той факт</w:t>
      </w:r>
      <w:r w:rsidRPr="00637D2A">
        <w:rPr>
          <w:rFonts w:ascii="Times New Roman" w:hAnsi="Times New Roman" w:cs="Times New Roman"/>
          <w:lang w:val="uk-UA"/>
        </w:rPr>
        <w:t>, що значна част</w:t>
      </w:r>
      <w:r w:rsidR="00A223FF">
        <w:rPr>
          <w:rFonts w:ascii="Times New Roman" w:hAnsi="Times New Roman" w:cs="Times New Roman"/>
          <w:lang w:val="uk-UA"/>
        </w:rPr>
        <w:t>ина</w:t>
      </w:r>
      <w:r w:rsidRPr="00637D2A">
        <w:rPr>
          <w:rFonts w:ascii="Times New Roman" w:hAnsi="Times New Roman" w:cs="Times New Roman"/>
          <w:lang w:val="uk-UA"/>
        </w:rPr>
        <w:t xml:space="preserve"> хворих з хронічною інфекцією ВГС не знає про </w:t>
      </w:r>
      <w:r w:rsidR="00C62965">
        <w:rPr>
          <w:rFonts w:ascii="Times New Roman" w:hAnsi="Times New Roman" w:cs="Times New Roman"/>
          <w:lang w:val="uk-UA"/>
        </w:rPr>
        <w:t>св</w:t>
      </w:r>
      <w:r w:rsidR="00A223FF">
        <w:rPr>
          <w:rFonts w:ascii="Times New Roman" w:hAnsi="Times New Roman" w:cs="Times New Roman"/>
          <w:lang w:val="uk-UA"/>
        </w:rPr>
        <w:t>ій статус</w:t>
      </w:r>
      <w:r w:rsidRPr="00637D2A">
        <w:rPr>
          <w:rFonts w:ascii="Times New Roman" w:hAnsi="Times New Roman" w:cs="Times New Roman"/>
          <w:lang w:val="uk-UA"/>
        </w:rPr>
        <w:t xml:space="preserve">, при цьому </w:t>
      </w:r>
      <w:r w:rsidR="00EF0A7F">
        <w:rPr>
          <w:rFonts w:ascii="Times New Roman" w:hAnsi="Times New Roman" w:cs="Times New Roman"/>
          <w:lang w:val="uk-UA"/>
        </w:rPr>
        <w:t xml:space="preserve">існує </w:t>
      </w:r>
      <w:r w:rsidRPr="00637D2A">
        <w:rPr>
          <w:rFonts w:ascii="Times New Roman" w:hAnsi="Times New Roman" w:cs="Times New Roman"/>
          <w:lang w:val="uk-UA"/>
        </w:rPr>
        <w:t xml:space="preserve">велика різниця </w:t>
      </w:r>
      <w:r w:rsidR="00EF0A7F">
        <w:rPr>
          <w:rFonts w:ascii="Times New Roman" w:hAnsi="Times New Roman" w:cs="Times New Roman"/>
          <w:lang w:val="uk-UA"/>
        </w:rPr>
        <w:t xml:space="preserve">у відповідній статистиці між </w:t>
      </w:r>
      <w:r w:rsidRPr="00637D2A">
        <w:rPr>
          <w:rFonts w:ascii="Times New Roman" w:hAnsi="Times New Roman" w:cs="Times New Roman"/>
          <w:lang w:val="uk-UA"/>
        </w:rPr>
        <w:t xml:space="preserve">регіонами, країнами та </w:t>
      </w:r>
      <w:r w:rsidR="00EF0A7F">
        <w:rPr>
          <w:rFonts w:ascii="Times New Roman" w:hAnsi="Times New Roman" w:cs="Times New Roman"/>
          <w:lang w:val="uk-UA"/>
        </w:rPr>
        <w:t>групами ризику. Т</w:t>
      </w:r>
      <w:r w:rsidRPr="00637D2A">
        <w:rPr>
          <w:rFonts w:ascii="Times New Roman" w:hAnsi="Times New Roman" w:cs="Times New Roman"/>
          <w:lang w:val="uk-UA"/>
        </w:rPr>
        <w:t>очні дані про поширеність та захворюваність ВГС необхідні для аналізу масштабів пандемії в різних р</w:t>
      </w:r>
      <w:r w:rsidR="00EF0A7F">
        <w:rPr>
          <w:rFonts w:ascii="Times New Roman" w:hAnsi="Times New Roman" w:cs="Times New Roman"/>
          <w:lang w:val="uk-UA"/>
        </w:rPr>
        <w:t xml:space="preserve">егіонах та розробки заходів охорони </w:t>
      </w:r>
      <w:r w:rsidRPr="00637D2A">
        <w:rPr>
          <w:rFonts w:ascii="Times New Roman" w:hAnsi="Times New Roman" w:cs="Times New Roman"/>
          <w:lang w:val="uk-UA"/>
        </w:rPr>
        <w:t xml:space="preserve">громадського здоров'я. Таким чином, скринінг </w:t>
      </w:r>
      <w:r w:rsidR="00EF0A7F" w:rsidRPr="00637D2A">
        <w:rPr>
          <w:rFonts w:ascii="Times New Roman" w:hAnsi="Times New Roman" w:cs="Times New Roman"/>
          <w:lang w:val="uk-UA"/>
        </w:rPr>
        <w:t>ВГС</w:t>
      </w:r>
      <w:r w:rsidRPr="00637D2A">
        <w:rPr>
          <w:rFonts w:ascii="Times New Roman" w:hAnsi="Times New Roman" w:cs="Times New Roman"/>
          <w:lang w:val="uk-UA"/>
        </w:rPr>
        <w:t xml:space="preserve"> необхідний для виявлення інф</w:t>
      </w:r>
      <w:r w:rsidR="00C06C2B">
        <w:rPr>
          <w:rFonts w:ascii="Times New Roman" w:hAnsi="Times New Roman" w:cs="Times New Roman"/>
          <w:lang w:val="uk-UA"/>
        </w:rPr>
        <w:t>ікованих осіб та залучення їх до програм</w:t>
      </w:r>
      <w:r w:rsidRPr="00637D2A">
        <w:rPr>
          <w:rFonts w:ascii="Times New Roman" w:hAnsi="Times New Roman" w:cs="Times New Roman"/>
          <w:lang w:val="uk-UA"/>
        </w:rPr>
        <w:t xml:space="preserve"> догляду та лікування.</w:t>
      </w:r>
    </w:p>
    <w:p w14:paraId="7952EDD0" w14:textId="77777777" w:rsidR="00C06C2B" w:rsidRDefault="00C06C2B" w:rsidP="00F53078">
      <w:pPr>
        <w:jc w:val="both"/>
        <w:rPr>
          <w:rFonts w:ascii="Times New Roman" w:hAnsi="Times New Roman" w:cs="Times New Roman"/>
          <w:lang w:val="uk-UA"/>
        </w:rPr>
      </w:pPr>
    </w:p>
    <w:p w14:paraId="5585D4EC" w14:textId="14AF1F4B" w:rsidR="00637D2A" w:rsidRPr="00637D2A" w:rsidRDefault="00AC44AB" w:rsidP="00F53078">
      <w:pPr>
        <w:jc w:val="both"/>
        <w:rPr>
          <w:rFonts w:ascii="Times New Roman" w:hAnsi="Times New Roman" w:cs="Times New Roman"/>
          <w:lang w:val="uk-UA"/>
        </w:rPr>
      </w:pPr>
      <w:r>
        <w:rPr>
          <w:rFonts w:ascii="Times New Roman" w:hAnsi="Times New Roman" w:cs="Times New Roman"/>
          <w:lang w:val="uk-UA"/>
        </w:rPr>
        <w:t>З огляду на місцеву епідеміологію,</w:t>
      </w:r>
      <w:r w:rsidRPr="00637D2A">
        <w:rPr>
          <w:rFonts w:ascii="Times New Roman" w:hAnsi="Times New Roman" w:cs="Times New Roman"/>
          <w:lang w:val="uk-UA"/>
        </w:rPr>
        <w:t xml:space="preserve"> </w:t>
      </w:r>
      <w:r>
        <w:rPr>
          <w:rFonts w:ascii="Times New Roman" w:hAnsi="Times New Roman" w:cs="Times New Roman"/>
          <w:lang w:val="uk-UA"/>
        </w:rPr>
        <w:t>в</w:t>
      </w:r>
      <w:r w:rsidR="00637D2A" w:rsidRPr="00637D2A">
        <w:rPr>
          <w:rFonts w:ascii="Times New Roman" w:hAnsi="Times New Roman" w:cs="Times New Roman"/>
          <w:lang w:val="uk-UA"/>
        </w:rPr>
        <w:t xml:space="preserve"> різних регіонах були впроваджені різно</w:t>
      </w:r>
      <w:r>
        <w:rPr>
          <w:rFonts w:ascii="Times New Roman" w:hAnsi="Times New Roman" w:cs="Times New Roman"/>
          <w:lang w:val="uk-UA"/>
        </w:rPr>
        <w:t xml:space="preserve">манітні стратегії скринінгу. </w:t>
      </w:r>
      <w:r w:rsidR="00637D2A" w:rsidRPr="00637D2A">
        <w:rPr>
          <w:rFonts w:ascii="Times New Roman" w:hAnsi="Times New Roman" w:cs="Times New Roman"/>
          <w:lang w:val="uk-UA"/>
        </w:rPr>
        <w:t>Групи з підвищеним р</w:t>
      </w:r>
      <w:r>
        <w:rPr>
          <w:rFonts w:ascii="Times New Roman" w:hAnsi="Times New Roman" w:cs="Times New Roman"/>
          <w:lang w:val="uk-UA"/>
        </w:rPr>
        <w:t xml:space="preserve">изиком </w:t>
      </w:r>
      <w:r w:rsidR="00A223FF">
        <w:rPr>
          <w:rFonts w:ascii="Times New Roman" w:hAnsi="Times New Roman" w:cs="Times New Roman"/>
          <w:lang w:val="uk-UA"/>
        </w:rPr>
        <w:t>інфікування</w:t>
      </w:r>
      <w:r>
        <w:rPr>
          <w:rFonts w:ascii="Times New Roman" w:hAnsi="Times New Roman" w:cs="Times New Roman"/>
          <w:lang w:val="uk-UA"/>
        </w:rPr>
        <w:t xml:space="preserve"> ВГС можуть</w:t>
      </w:r>
      <w:r w:rsidR="00637D2A" w:rsidRPr="00637D2A">
        <w:rPr>
          <w:rFonts w:ascii="Times New Roman" w:hAnsi="Times New Roman" w:cs="Times New Roman"/>
          <w:lang w:val="uk-UA"/>
        </w:rPr>
        <w:t xml:space="preserve"> </w:t>
      </w:r>
      <w:r>
        <w:rPr>
          <w:rFonts w:ascii="Times New Roman" w:hAnsi="Times New Roman" w:cs="Times New Roman"/>
          <w:lang w:val="uk-UA"/>
        </w:rPr>
        <w:t>і повинні бути ідентифіковані та</w:t>
      </w:r>
      <w:r w:rsidR="00637D2A" w:rsidRPr="00637D2A">
        <w:rPr>
          <w:rFonts w:ascii="Times New Roman" w:hAnsi="Times New Roman" w:cs="Times New Roman"/>
          <w:lang w:val="uk-UA"/>
        </w:rPr>
        <w:t xml:space="preserve"> перевірені. У регіонах, де більшість пацієнтів належать до чітко визначе</w:t>
      </w:r>
      <w:r>
        <w:rPr>
          <w:rFonts w:ascii="Times New Roman" w:hAnsi="Times New Roman" w:cs="Times New Roman"/>
          <w:lang w:val="uk-UA"/>
        </w:rPr>
        <w:t xml:space="preserve">ної вікової групи, тестування вікової когорти показало себе ефективним хоча й </w:t>
      </w:r>
      <w:r w:rsidR="001D4B72">
        <w:rPr>
          <w:rFonts w:ascii="Times New Roman" w:hAnsi="Times New Roman" w:cs="Times New Roman"/>
          <w:lang w:val="uk-UA"/>
        </w:rPr>
        <w:t xml:space="preserve">з </w:t>
      </w:r>
      <w:r>
        <w:rPr>
          <w:rFonts w:ascii="Times New Roman" w:hAnsi="Times New Roman" w:cs="Times New Roman"/>
          <w:lang w:val="uk-UA"/>
        </w:rPr>
        <w:t xml:space="preserve">деякими </w:t>
      </w:r>
      <w:r w:rsidR="00637D2A" w:rsidRPr="00637D2A">
        <w:rPr>
          <w:rFonts w:ascii="Times New Roman" w:hAnsi="Times New Roman" w:cs="Times New Roman"/>
          <w:lang w:val="uk-UA"/>
        </w:rPr>
        <w:t>обмеженнями.</w:t>
      </w:r>
      <w:r w:rsidR="00637D2A" w:rsidRPr="00AC44AB">
        <w:rPr>
          <w:rFonts w:ascii="Times New Roman" w:hAnsi="Times New Roman" w:cs="Times New Roman"/>
          <w:vertAlign w:val="superscript"/>
          <w:lang w:val="uk-UA"/>
        </w:rPr>
        <w:t>28, 29</w:t>
      </w:r>
      <w:r w:rsidR="00637D2A" w:rsidRPr="00637D2A">
        <w:rPr>
          <w:rFonts w:ascii="Times New Roman" w:hAnsi="Times New Roman" w:cs="Times New Roman"/>
          <w:lang w:val="uk-UA"/>
        </w:rPr>
        <w:t xml:space="preserve"> </w:t>
      </w:r>
      <w:r w:rsidR="00A223FF">
        <w:rPr>
          <w:rFonts w:ascii="Times New Roman" w:hAnsi="Times New Roman" w:cs="Times New Roman"/>
          <w:lang w:val="uk-UA"/>
        </w:rPr>
        <w:t>Масове</w:t>
      </w:r>
      <w:r w:rsidR="00637D2A" w:rsidRPr="00A223FF">
        <w:rPr>
          <w:rFonts w:ascii="Times New Roman" w:hAnsi="Times New Roman" w:cs="Times New Roman"/>
          <w:lang w:val="uk-UA"/>
        </w:rPr>
        <w:t xml:space="preserve"> одноразове тестування було рекомендовано в кра</w:t>
      </w:r>
      <w:r w:rsidRPr="00A223FF">
        <w:rPr>
          <w:rFonts w:ascii="Times New Roman" w:hAnsi="Times New Roman" w:cs="Times New Roman"/>
          <w:lang w:val="uk-UA"/>
        </w:rPr>
        <w:t>їнах з високою ендемічністю та/</w:t>
      </w:r>
      <w:r w:rsidR="00637D2A" w:rsidRPr="00A223FF">
        <w:rPr>
          <w:rFonts w:ascii="Times New Roman" w:hAnsi="Times New Roman" w:cs="Times New Roman"/>
          <w:lang w:val="uk-UA"/>
        </w:rPr>
        <w:t>або з метою повної ліквідації</w:t>
      </w:r>
      <w:r w:rsidR="005D7060" w:rsidRPr="00A223FF">
        <w:rPr>
          <w:rFonts w:ascii="Times New Roman" w:hAnsi="Times New Roman" w:cs="Times New Roman"/>
          <w:lang w:val="uk-UA"/>
        </w:rPr>
        <w:t xml:space="preserve"> ВГС</w:t>
      </w:r>
      <w:r w:rsidR="00637D2A" w:rsidRPr="00A223FF">
        <w:rPr>
          <w:rFonts w:ascii="Times New Roman" w:hAnsi="Times New Roman" w:cs="Times New Roman"/>
          <w:lang w:val="uk-UA"/>
        </w:rPr>
        <w:t>. Необхідно визначити оптимальні регіональні або національні підходи до скринінгу.</w:t>
      </w:r>
    </w:p>
    <w:p w14:paraId="1687BF7A" w14:textId="77777777" w:rsidR="005D7060" w:rsidRDefault="005D7060" w:rsidP="00F53078">
      <w:pPr>
        <w:jc w:val="both"/>
        <w:rPr>
          <w:rFonts w:ascii="Times New Roman" w:hAnsi="Times New Roman" w:cs="Times New Roman"/>
          <w:lang w:val="uk-UA"/>
        </w:rPr>
      </w:pPr>
    </w:p>
    <w:p w14:paraId="2C2627A8" w14:textId="5854D45F" w:rsidR="00BC2240" w:rsidRPr="00BC2240" w:rsidRDefault="00637D2A" w:rsidP="00F53078">
      <w:pPr>
        <w:jc w:val="both"/>
        <w:rPr>
          <w:rFonts w:ascii="Times New Roman" w:hAnsi="Times New Roman" w:cs="Times New Roman"/>
          <w:lang w:val="uk-UA"/>
        </w:rPr>
      </w:pPr>
      <w:r w:rsidRPr="00637D2A">
        <w:rPr>
          <w:rFonts w:ascii="Times New Roman" w:hAnsi="Times New Roman" w:cs="Times New Roman"/>
          <w:lang w:val="uk-UA"/>
        </w:rPr>
        <w:t>Скринінг ВГС грунтується на виявленні анти</w:t>
      </w:r>
      <w:r w:rsidR="00FC6D8A">
        <w:rPr>
          <w:rFonts w:ascii="Times New Roman" w:hAnsi="Times New Roman" w:cs="Times New Roman"/>
          <w:lang w:val="uk-UA"/>
        </w:rPr>
        <w:t>–</w:t>
      </w:r>
      <w:r w:rsidR="005D7060">
        <w:rPr>
          <w:rFonts w:ascii="Times New Roman" w:hAnsi="Times New Roman" w:cs="Times New Roman"/>
          <w:lang w:val="uk-UA"/>
        </w:rPr>
        <w:t>ВГС</w:t>
      </w:r>
      <w:r w:rsidRPr="00637D2A">
        <w:rPr>
          <w:rFonts w:ascii="Times New Roman" w:hAnsi="Times New Roman" w:cs="Times New Roman"/>
          <w:lang w:val="uk-UA"/>
        </w:rPr>
        <w:t xml:space="preserve"> антитіл. На додаток </w:t>
      </w:r>
      <w:r w:rsidR="005D7060">
        <w:rPr>
          <w:rFonts w:ascii="Times New Roman" w:hAnsi="Times New Roman" w:cs="Times New Roman"/>
          <w:lang w:val="uk-UA"/>
        </w:rPr>
        <w:t xml:space="preserve">до </w:t>
      </w:r>
      <w:r w:rsidR="005D7060" w:rsidRPr="005D7060">
        <w:rPr>
          <w:rFonts w:ascii="Times New Roman" w:hAnsi="Times New Roman" w:cs="Times New Roman"/>
          <w:lang w:val="uk-UA"/>
        </w:rPr>
        <w:t>скринінг</w:t>
      </w:r>
      <w:r w:rsidR="00FC6D8A">
        <w:rPr>
          <w:rFonts w:ascii="Times New Roman" w:hAnsi="Times New Roman" w:cs="Times New Roman"/>
          <w:lang w:val="uk-UA"/>
        </w:rPr>
        <w:t>–</w:t>
      </w:r>
      <w:r w:rsidR="005D7060" w:rsidRPr="005D7060">
        <w:rPr>
          <w:rFonts w:ascii="Times New Roman" w:hAnsi="Times New Roman" w:cs="Times New Roman"/>
          <w:lang w:val="uk-UA"/>
        </w:rPr>
        <w:t>тест</w:t>
      </w:r>
      <w:r w:rsidR="005D7060">
        <w:rPr>
          <w:rFonts w:ascii="Times New Roman" w:hAnsi="Times New Roman" w:cs="Times New Roman"/>
          <w:lang w:val="uk-UA"/>
        </w:rPr>
        <w:t>у</w:t>
      </w:r>
      <w:r w:rsidR="005D7060" w:rsidRPr="005D7060">
        <w:rPr>
          <w:rFonts w:ascii="Times New Roman" w:hAnsi="Times New Roman" w:cs="Times New Roman"/>
          <w:lang w:val="uk-UA"/>
        </w:rPr>
        <w:t xml:space="preserve"> такого типу як </w:t>
      </w:r>
      <w:r w:rsidR="00C87A95">
        <w:rPr>
          <w:rFonts w:ascii="Times New Roman" w:hAnsi="Times New Roman" w:cs="Times New Roman"/>
          <w:lang w:val="uk-UA"/>
        </w:rPr>
        <w:t>ІФА</w:t>
      </w:r>
      <w:r w:rsidRPr="00637D2A">
        <w:rPr>
          <w:rFonts w:ascii="Times New Roman" w:hAnsi="Times New Roman" w:cs="Times New Roman"/>
          <w:lang w:val="uk-UA"/>
        </w:rPr>
        <w:t>, для перевірки антитіл ВГС можна застосовувати швидкі діагностичні</w:t>
      </w:r>
      <w:r w:rsidR="005D7060">
        <w:rPr>
          <w:rFonts w:ascii="Times New Roman" w:hAnsi="Times New Roman" w:cs="Times New Roman"/>
          <w:lang w:val="uk-UA"/>
        </w:rPr>
        <w:t xml:space="preserve"> тести (</w:t>
      </w:r>
      <w:r w:rsidR="00C87A95">
        <w:rPr>
          <w:rFonts w:ascii="Times New Roman" w:hAnsi="Times New Roman" w:cs="Times New Roman"/>
          <w:lang w:val="uk-UA"/>
        </w:rPr>
        <w:t xml:space="preserve">далі </w:t>
      </w:r>
      <w:r w:rsidR="001D4B72">
        <w:rPr>
          <w:rFonts w:ascii="Times New Roman" w:hAnsi="Times New Roman" w:cs="Times New Roman"/>
          <w:lang w:val="uk-UA"/>
        </w:rPr>
        <w:t xml:space="preserve">– </w:t>
      </w:r>
      <w:r w:rsidR="00BC2240">
        <w:rPr>
          <w:rFonts w:ascii="Times New Roman" w:hAnsi="Times New Roman" w:cs="Times New Roman"/>
          <w:lang w:val="uk-UA"/>
        </w:rPr>
        <w:t>ШТ</w:t>
      </w:r>
      <w:r w:rsidRPr="00637D2A">
        <w:rPr>
          <w:rFonts w:ascii="Times New Roman" w:hAnsi="Times New Roman" w:cs="Times New Roman"/>
          <w:lang w:val="uk-UA"/>
        </w:rPr>
        <w:t xml:space="preserve">). </w:t>
      </w:r>
      <w:r w:rsidR="001D4B72">
        <w:rPr>
          <w:rFonts w:ascii="Times New Roman" w:hAnsi="Times New Roman" w:cs="Times New Roman"/>
          <w:lang w:val="uk-UA"/>
        </w:rPr>
        <w:t xml:space="preserve">Для ШТ може </w:t>
      </w:r>
      <w:r w:rsidR="00BC2240" w:rsidRPr="00BC2240">
        <w:rPr>
          <w:rFonts w:ascii="Times New Roman" w:hAnsi="Times New Roman" w:cs="Times New Roman"/>
          <w:lang w:val="uk-UA"/>
        </w:rPr>
        <w:t>використову</w:t>
      </w:r>
      <w:r w:rsidR="001D4B72">
        <w:rPr>
          <w:rFonts w:ascii="Times New Roman" w:hAnsi="Times New Roman" w:cs="Times New Roman"/>
          <w:lang w:val="uk-UA"/>
        </w:rPr>
        <w:t>ватис</w:t>
      </w:r>
      <w:r w:rsidR="00707E43">
        <w:rPr>
          <w:rFonts w:ascii="Times New Roman" w:hAnsi="Times New Roman" w:cs="Times New Roman"/>
          <w:lang w:val="uk-UA"/>
        </w:rPr>
        <w:t>я</w:t>
      </w:r>
      <w:r w:rsidR="00BC2240" w:rsidRPr="00BC2240">
        <w:rPr>
          <w:rFonts w:ascii="Times New Roman" w:hAnsi="Times New Roman" w:cs="Times New Roman"/>
          <w:lang w:val="uk-UA"/>
        </w:rPr>
        <w:t xml:space="preserve"> сироватк</w:t>
      </w:r>
      <w:r w:rsidR="001D4B72">
        <w:rPr>
          <w:rFonts w:ascii="Times New Roman" w:hAnsi="Times New Roman" w:cs="Times New Roman"/>
          <w:lang w:val="uk-UA"/>
        </w:rPr>
        <w:t>а</w:t>
      </w:r>
      <w:r w:rsidR="00BC2240" w:rsidRPr="00BC2240">
        <w:rPr>
          <w:rFonts w:ascii="Times New Roman" w:hAnsi="Times New Roman" w:cs="Times New Roman"/>
          <w:lang w:val="uk-UA"/>
        </w:rPr>
        <w:t xml:space="preserve"> та плазм</w:t>
      </w:r>
      <w:r w:rsidR="001D4B72">
        <w:rPr>
          <w:rFonts w:ascii="Times New Roman" w:hAnsi="Times New Roman" w:cs="Times New Roman"/>
          <w:lang w:val="uk-UA"/>
        </w:rPr>
        <w:t>а</w:t>
      </w:r>
      <w:r w:rsidR="00BC2240" w:rsidRPr="00BC2240">
        <w:rPr>
          <w:rFonts w:ascii="Times New Roman" w:hAnsi="Times New Roman" w:cs="Times New Roman"/>
          <w:lang w:val="uk-UA"/>
        </w:rPr>
        <w:t xml:space="preserve"> крові, ціл</w:t>
      </w:r>
      <w:r w:rsidR="001D4B72">
        <w:rPr>
          <w:rFonts w:ascii="Times New Roman" w:hAnsi="Times New Roman" w:cs="Times New Roman"/>
          <w:lang w:val="uk-UA"/>
        </w:rPr>
        <w:t>ьна</w:t>
      </w:r>
      <w:r w:rsidR="00BC2240" w:rsidRPr="00BC2240">
        <w:rPr>
          <w:rFonts w:ascii="Times New Roman" w:hAnsi="Times New Roman" w:cs="Times New Roman"/>
          <w:lang w:val="uk-UA"/>
        </w:rPr>
        <w:t xml:space="preserve"> капілярн</w:t>
      </w:r>
      <w:r w:rsidR="001D4B72">
        <w:rPr>
          <w:rFonts w:ascii="Times New Roman" w:hAnsi="Times New Roman" w:cs="Times New Roman"/>
          <w:lang w:val="uk-UA"/>
        </w:rPr>
        <w:t>а</w:t>
      </w:r>
      <w:r w:rsidR="00BC2240" w:rsidRPr="00BC2240">
        <w:rPr>
          <w:rFonts w:ascii="Times New Roman" w:hAnsi="Times New Roman" w:cs="Times New Roman"/>
          <w:lang w:val="uk-UA"/>
        </w:rPr>
        <w:t xml:space="preserve"> кров з пальця </w:t>
      </w:r>
      <w:r w:rsidR="00BC2240" w:rsidRPr="00BC2240">
        <w:rPr>
          <w:rFonts w:ascii="Times New Roman" w:hAnsi="Times New Roman" w:cs="Times New Roman"/>
          <w:lang w:val="uk-UA"/>
        </w:rPr>
        <w:lastRenderedPageBreak/>
        <w:t xml:space="preserve">або </w:t>
      </w:r>
      <w:r w:rsidR="001D4B72">
        <w:rPr>
          <w:rFonts w:ascii="Times New Roman" w:hAnsi="Times New Roman" w:cs="Times New Roman"/>
          <w:lang w:val="uk-UA"/>
        </w:rPr>
        <w:t>слина</w:t>
      </w:r>
      <w:r w:rsidR="00BC2240" w:rsidRPr="00BC2240">
        <w:rPr>
          <w:rFonts w:ascii="Times New Roman" w:hAnsi="Times New Roman" w:cs="Times New Roman"/>
          <w:lang w:val="uk-UA"/>
        </w:rPr>
        <w:t xml:space="preserve">, </w:t>
      </w:r>
      <w:r w:rsidR="001D4B72">
        <w:rPr>
          <w:rFonts w:ascii="Times New Roman" w:hAnsi="Times New Roman" w:cs="Times New Roman"/>
          <w:lang w:val="uk-UA"/>
        </w:rPr>
        <w:t xml:space="preserve">що полегшує </w:t>
      </w:r>
      <w:r w:rsidR="00D31816">
        <w:rPr>
          <w:rFonts w:ascii="Times New Roman" w:hAnsi="Times New Roman" w:cs="Times New Roman"/>
          <w:lang w:val="uk-UA"/>
        </w:rPr>
        <w:t xml:space="preserve">процедуру </w:t>
      </w:r>
      <w:r w:rsidR="00BC2240" w:rsidRPr="00BC2240">
        <w:rPr>
          <w:rFonts w:ascii="Times New Roman" w:hAnsi="Times New Roman" w:cs="Times New Roman"/>
          <w:lang w:val="uk-UA"/>
        </w:rPr>
        <w:t>скринінг</w:t>
      </w:r>
      <w:r w:rsidR="00D31816">
        <w:rPr>
          <w:rFonts w:ascii="Times New Roman" w:hAnsi="Times New Roman" w:cs="Times New Roman"/>
          <w:lang w:val="uk-UA"/>
        </w:rPr>
        <w:t>у</w:t>
      </w:r>
      <w:r w:rsidR="00BC2240" w:rsidRPr="00BC2240">
        <w:rPr>
          <w:rFonts w:ascii="Times New Roman" w:hAnsi="Times New Roman" w:cs="Times New Roman"/>
          <w:lang w:val="uk-UA"/>
        </w:rPr>
        <w:t xml:space="preserve"> без необхідності венепункції, центрифугування, заморожування, а також кваліфікованих фахівців для забору зразків. ШТ дуже прості у виконанні </w:t>
      </w:r>
      <w:r w:rsidR="0051637C">
        <w:rPr>
          <w:rFonts w:ascii="Times New Roman" w:hAnsi="Times New Roman" w:cs="Times New Roman"/>
          <w:lang w:val="uk-UA"/>
        </w:rPr>
        <w:t xml:space="preserve"> та використовуються </w:t>
      </w:r>
      <w:r w:rsidR="00BC2240" w:rsidRPr="00BC2240">
        <w:rPr>
          <w:rFonts w:ascii="Times New Roman" w:hAnsi="Times New Roman" w:cs="Times New Roman"/>
          <w:lang w:val="uk-UA"/>
        </w:rPr>
        <w:t>при кімнатній температурі без спеціальних прил</w:t>
      </w:r>
      <w:r w:rsidR="00BC2240">
        <w:rPr>
          <w:rFonts w:ascii="Times New Roman" w:hAnsi="Times New Roman" w:cs="Times New Roman"/>
          <w:lang w:val="uk-UA"/>
        </w:rPr>
        <w:t xml:space="preserve">адів або попереднього навчання </w:t>
      </w:r>
      <w:r w:rsidR="00BC2240" w:rsidRPr="00BC2240">
        <w:rPr>
          <w:rFonts w:ascii="Times New Roman" w:hAnsi="Times New Roman" w:cs="Times New Roman"/>
          <w:vertAlign w:val="superscript"/>
          <w:lang w:val="uk-UA"/>
        </w:rPr>
        <w:t>30–32</w:t>
      </w:r>
      <w:r w:rsidR="00BC2240" w:rsidRPr="00BC2240">
        <w:rPr>
          <w:rFonts w:ascii="Times New Roman" w:hAnsi="Times New Roman" w:cs="Times New Roman"/>
          <w:lang w:val="uk-UA"/>
        </w:rPr>
        <w:t>.</w:t>
      </w:r>
    </w:p>
    <w:p w14:paraId="4ECC305F" w14:textId="77777777" w:rsidR="00BC2240" w:rsidRPr="00BC2240" w:rsidRDefault="00BC2240" w:rsidP="00F53078">
      <w:pPr>
        <w:jc w:val="both"/>
        <w:rPr>
          <w:rFonts w:ascii="Times New Roman" w:hAnsi="Times New Roman" w:cs="Times New Roman"/>
          <w:lang w:val="uk-UA"/>
        </w:rPr>
      </w:pPr>
    </w:p>
    <w:p w14:paraId="0A688C46" w14:textId="238265B8" w:rsidR="00BC2240" w:rsidRPr="00BC2240" w:rsidRDefault="00BC2240" w:rsidP="00F53078">
      <w:pPr>
        <w:jc w:val="both"/>
        <w:rPr>
          <w:rFonts w:ascii="Times New Roman" w:hAnsi="Times New Roman" w:cs="Times New Roman"/>
          <w:lang w:val="uk-UA"/>
        </w:rPr>
      </w:pPr>
      <w:r w:rsidRPr="00BC2240">
        <w:rPr>
          <w:rFonts w:ascii="Times New Roman" w:hAnsi="Times New Roman" w:cs="Times New Roman"/>
          <w:lang w:val="uk-UA"/>
        </w:rPr>
        <w:t xml:space="preserve">Якщо було виявлено антитіла до </w:t>
      </w:r>
      <w:r w:rsidR="00C87A95">
        <w:rPr>
          <w:rFonts w:ascii="Times New Roman" w:hAnsi="Times New Roman" w:cs="Times New Roman"/>
          <w:lang w:val="uk-UA"/>
        </w:rPr>
        <w:t>ВГС</w:t>
      </w:r>
      <w:r w:rsidRPr="00BC2240">
        <w:rPr>
          <w:rFonts w:ascii="Times New Roman" w:hAnsi="Times New Roman" w:cs="Times New Roman"/>
          <w:lang w:val="uk-UA"/>
        </w:rPr>
        <w:t xml:space="preserve">, слід визначити наявність </w:t>
      </w:r>
      <w:r w:rsidR="00D03CF7">
        <w:rPr>
          <w:rFonts w:ascii="Times New Roman" w:hAnsi="Times New Roman" w:cs="Times New Roman"/>
          <w:lang w:val="uk-UA"/>
        </w:rPr>
        <w:t xml:space="preserve">ВГС РНК </w:t>
      </w:r>
      <w:r w:rsidRPr="00BC2240">
        <w:rPr>
          <w:rFonts w:ascii="Times New Roman" w:hAnsi="Times New Roman" w:cs="Times New Roman"/>
          <w:lang w:val="uk-UA"/>
        </w:rPr>
        <w:t>(або як альтернатива – core</w:t>
      </w:r>
      <w:r w:rsidR="00690065" w:rsidRPr="00690065">
        <w:rPr>
          <w:rFonts w:ascii="Times New Roman" w:hAnsi="Times New Roman" w:cs="Times New Roman"/>
          <w:lang w:val="uk-UA"/>
        </w:rPr>
        <w:t xml:space="preserve"> </w:t>
      </w:r>
      <w:r w:rsidRPr="00BC2240">
        <w:rPr>
          <w:rFonts w:ascii="Times New Roman" w:hAnsi="Times New Roman" w:cs="Times New Roman"/>
          <w:lang w:val="uk-UA"/>
        </w:rPr>
        <w:t xml:space="preserve">Ag </w:t>
      </w:r>
      <w:r w:rsidR="00C87A95">
        <w:rPr>
          <w:rFonts w:ascii="Times New Roman" w:hAnsi="Times New Roman" w:cs="Times New Roman"/>
          <w:lang w:val="uk-UA"/>
        </w:rPr>
        <w:t>ВГС</w:t>
      </w:r>
      <w:r w:rsidRPr="00BC2240">
        <w:rPr>
          <w:rFonts w:ascii="Times New Roman" w:hAnsi="Times New Roman" w:cs="Times New Roman"/>
          <w:lang w:val="uk-UA"/>
        </w:rPr>
        <w:t xml:space="preserve">, якщо аналіз на </w:t>
      </w:r>
      <w:r w:rsidR="00D03CF7">
        <w:rPr>
          <w:rFonts w:ascii="Times New Roman" w:hAnsi="Times New Roman" w:cs="Times New Roman"/>
          <w:lang w:val="uk-UA"/>
        </w:rPr>
        <w:t xml:space="preserve">ВГС РНК </w:t>
      </w:r>
      <w:r w:rsidRPr="00BC2240">
        <w:rPr>
          <w:rFonts w:ascii="Times New Roman" w:hAnsi="Times New Roman" w:cs="Times New Roman"/>
          <w:lang w:val="uk-UA"/>
        </w:rPr>
        <w:t xml:space="preserve">недоступний та/або занадто дорогий) для виявлення пацієнтів з </w:t>
      </w:r>
      <w:r w:rsidR="0051637C">
        <w:rPr>
          <w:rFonts w:ascii="Times New Roman" w:hAnsi="Times New Roman" w:cs="Times New Roman"/>
          <w:lang w:val="uk-UA"/>
        </w:rPr>
        <w:t>хронічною</w:t>
      </w:r>
      <w:r w:rsidRPr="00BC2240">
        <w:rPr>
          <w:rFonts w:ascii="Times New Roman" w:hAnsi="Times New Roman" w:cs="Times New Roman"/>
          <w:lang w:val="uk-UA"/>
        </w:rPr>
        <w:t xml:space="preserve"> інфекцією. В даний час більшість лабораторій використовують дво­етапний підхід: крок 1 – обстеження на антитіла, крок 2 – визначення рівня </w:t>
      </w:r>
      <w:r w:rsidR="00791C56">
        <w:rPr>
          <w:rFonts w:ascii="Times New Roman" w:hAnsi="Times New Roman" w:cs="Times New Roman"/>
          <w:lang w:val="uk-UA"/>
        </w:rPr>
        <w:t xml:space="preserve">РНК </w:t>
      </w:r>
      <w:r w:rsidR="00D03CF7">
        <w:rPr>
          <w:rFonts w:ascii="Times New Roman" w:hAnsi="Times New Roman" w:cs="Times New Roman"/>
          <w:lang w:val="uk-UA"/>
        </w:rPr>
        <w:t>ВГС</w:t>
      </w:r>
      <w:r w:rsidRPr="00BC2240">
        <w:rPr>
          <w:rFonts w:ascii="Times New Roman" w:hAnsi="Times New Roman" w:cs="Times New Roman"/>
          <w:lang w:val="uk-UA"/>
        </w:rPr>
        <w:t xml:space="preserve">. У результаті </w:t>
      </w:r>
      <w:r w:rsidR="00135CC0">
        <w:rPr>
          <w:rFonts w:ascii="Times New Roman" w:hAnsi="Times New Roman" w:cs="Times New Roman"/>
          <w:lang w:val="uk-UA"/>
        </w:rPr>
        <w:t xml:space="preserve">значній </w:t>
      </w:r>
      <w:r w:rsidRPr="00BC2240">
        <w:rPr>
          <w:rFonts w:ascii="Times New Roman" w:hAnsi="Times New Roman" w:cs="Times New Roman"/>
          <w:lang w:val="uk-UA"/>
        </w:rPr>
        <w:t>частині пацієнтів</w:t>
      </w:r>
      <w:r w:rsidR="00690065">
        <w:rPr>
          <w:rFonts w:ascii="Times New Roman" w:hAnsi="Times New Roman" w:cs="Times New Roman"/>
          <w:lang w:val="uk-UA"/>
        </w:rPr>
        <w:t>,</w:t>
      </w:r>
      <w:r w:rsidRPr="00BC2240">
        <w:rPr>
          <w:rFonts w:ascii="Times New Roman" w:hAnsi="Times New Roman" w:cs="Times New Roman"/>
          <w:lang w:val="uk-UA"/>
        </w:rPr>
        <w:t xml:space="preserve"> </w:t>
      </w:r>
      <w:r w:rsidR="00135CC0">
        <w:rPr>
          <w:rFonts w:ascii="Times New Roman" w:hAnsi="Times New Roman" w:cs="Times New Roman"/>
          <w:lang w:val="uk-UA"/>
        </w:rPr>
        <w:t xml:space="preserve">у яких виявлено </w:t>
      </w:r>
      <w:r w:rsidRPr="00BC2240">
        <w:rPr>
          <w:rFonts w:ascii="Times New Roman" w:hAnsi="Times New Roman" w:cs="Times New Roman"/>
          <w:lang w:val="uk-UA"/>
        </w:rPr>
        <w:t>антитіла</w:t>
      </w:r>
      <w:r w:rsidR="00135CC0">
        <w:rPr>
          <w:rFonts w:ascii="Times New Roman" w:hAnsi="Times New Roman" w:cs="Times New Roman"/>
          <w:lang w:val="uk-UA"/>
        </w:rPr>
        <w:t xml:space="preserve"> до </w:t>
      </w:r>
      <w:r w:rsidR="00C87A95">
        <w:rPr>
          <w:rFonts w:ascii="Times New Roman" w:hAnsi="Times New Roman" w:cs="Times New Roman"/>
          <w:lang w:val="uk-UA"/>
        </w:rPr>
        <w:t>ВГС</w:t>
      </w:r>
      <w:r w:rsidR="00690065">
        <w:rPr>
          <w:rFonts w:ascii="Times New Roman" w:hAnsi="Times New Roman" w:cs="Times New Roman"/>
          <w:lang w:val="uk-UA"/>
        </w:rPr>
        <w:t>,</w:t>
      </w:r>
      <w:r w:rsidR="00135CC0">
        <w:rPr>
          <w:rFonts w:ascii="Times New Roman" w:hAnsi="Times New Roman" w:cs="Times New Roman"/>
          <w:lang w:val="uk-UA"/>
        </w:rPr>
        <w:t xml:space="preserve"> не проводять обстеження </w:t>
      </w:r>
      <w:r w:rsidRPr="00BC2240">
        <w:rPr>
          <w:rFonts w:ascii="Times New Roman" w:hAnsi="Times New Roman" w:cs="Times New Roman"/>
          <w:lang w:val="uk-UA"/>
        </w:rPr>
        <w:t xml:space="preserve">на </w:t>
      </w:r>
      <w:r w:rsidR="00D03CF7">
        <w:rPr>
          <w:rFonts w:ascii="Times New Roman" w:hAnsi="Times New Roman" w:cs="Times New Roman"/>
          <w:lang w:val="uk-UA"/>
        </w:rPr>
        <w:t>ВГС РНК</w:t>
      </w:r>
      <w:r w:rsidRPr="00BC2240">
        <w:rPr>
          <w:rFonts w:ascii="Times New Roman" w:hAnsi="Times New Roman" w:cs="Times New Roman"/>
          <w:lang w:val="uk-UA"/>
        </w:rPr>
        <w:t xml:space="preserve"> для підтвердження інфекції. Тому, коли виявляють антитіла до </w:t>
      </w:r>
      <w:r w:rsidR="00C87A95">
        <w:rPr>
          <w:rFonts w:ascii="Times New Roman" w:hAnsi="Times New Roman" w:cs="Times New Roman"/>
          <w:lang w:val="uk-UA"/>
        </w:rPr>
        <w:t>ВГС</w:t>
      </w:r>
      <w:r w:rsidRPr="00BC2240">
        <w:rPr>
          <w:rFonts w:ascii="Times New Roman" w:hAnsi="Times New Roman" w:cs="Times New Roman"/>
          <w:lang w:val="uk-UA"/>
        </w:rPr>
        <w:t>, слід  виконувати анал</w:t>
      </w:r>
      <w:r>
        <w:rPr>
          <w:rFonts w:ascii="Times New Roman" w:hAnsi="Times New Roman" w:cs="Times New Roman"/>
          <w:lang w:val="uk-UA"/>
        </w:rPr>
        <w:t xml:space="preserve">із на </w:t>
      </w:r>
      <w:r w:rsidR="00D03CF7">
        <w:rPr>
          <w:rFonts w:ascii="Times New Roman" w:hAnsi="Times New Roman" w:cs="Times New Roman"/>
          <w:lang w:val="uk-UA"/>
        </w:rPr>
        <w:t>ВГС РНК</w:t>
      </w:r>
      <w:r>
        <w:rPr>
          <w:rFonts w:ascii="Times New Roman" w:hAnsi="Times New Roman" w:cs="Times New Roman"/>
          <w:lang w:val="uk-UA"/>
        </w:rPr>
        <w:t>, якщо це можливо</w:t>
      </w:r>
      <w:r w:rsidR="00690065">
        <w:rPr>
          <w:rFonts w:ascii="Times New Roman" w:hAnsi="Times New Roman" w:cs="Times New Roman"/>
          <w:lang w:val="uk-UA"/>
        </w:rPr>
        <w:t>.</w:t>
      </w:r>
      <w:r w:rsidRPr="00BC2240">
        <w:rPr>
          <w:rFonts w:ascii="Times New Roman" w:hAnsi="Times New Roman" w:cs="Times New Roman"/>
          <w:vertAlign w:val="superscript"/>
          <w:lang w:val="uk-UA"/>
        </w:rPr>
        <w:t>33</w:t>
      </w:r>
    </w:p>
    <w:p w14:paraId="67DA1226" w14:textId="77777777" w:rsidR="00BC2240" w:rsidRPr="00BC2240" w:rsidRDefault="00BC2240" w:rsidP="00F53078">
      <w:pPr>
        <w:jc w:val="both"/>
        <w:rPr>
          <w:rFonts w:ascii="Times New Roman" w:hAnsi="Times New Roman" w:cs="Times New Roman"/>
          <w:lang w:val="uk-UA"/>
        </w:rPr>
      </w:pPr>
    </w:p>
    <w:p w14:paraId="33F728E7" w14:textId="013355D6" w:rsidR="00BC2240" w:rsidRPr="00BC2240" w:rsidRDefault="00BC2240" w:rsidP="00F53078">
      <w:pPr>
        <w:jc w:val="both"/>
        <w:rPr>
          <w:rFonts w:ascii="Times New Roman" w:hAnsi="Times New Roman" w:cs="Times New Roman"/>
          <w:lang w:val="uk-UA"/>
        </w:rPr>
      </w:pPr>
      <w:r w:rsidRPr="00BC2240">
        <w:rPr>
          <w:rFonts w:ascii="Times New Roman" w:hAnsi="Times New Roman" w:cs="Times New Roman"/>
          <w:lang w:val="uk-UA"/>
        </w:rPr>
        <w:t xml:space="preserve">Сухі плями крові можуть використовуватися як зразки </w:t>
      </w:r>
      <w:r w:rsidR="00C87A95">
        <w:rPr>
          <w:rFonts w:ascii="Times New Roman" w:hAnsi="Times New Roman" w:cs="Times New Roman"/>
          <w:lang w:val="uk-UA"/>
        </w:rPr>
        <w:t>цільної крові для виявлення ВГС</w:t>
      </w:r>
      <w:r w:rsidR="00FC6D8A">
        <w:rPr>
          <w:rFonts w:ascii="Times New Roman" w:hAnsi="Times New Roman" w:cs="Times New Roman"/>
          <w:lang w:val="uk-UA"/>
        </w:rPr>
        <w:t>–</w:t>
      </w:r>
      <w:r w:rsidR="00C87A95">
        <w:rPr>
          <w:rFonts w:ascii="Times New Roman" w:hAnsi="Times New Roman" w:cs="Times New Roman"/>
          <w:lang w:val="uk-UA"/>
        </w:rPr>
        <w:t>антитіл</w:t>
      </w:r>
      <w:r w:rsidRPr="00BC2240">
        <w:rPr>
          <w:rFonts w:ascii="Times New Roman" w:hAnsi="Times New Roman" w:cs="Times New Roman"/>
          <w:lang w:val="uk-UA"/>
        </w:rPr>
        <w:t xml:space="preserve"> методом</w:t>
      </w:r>
      <w:r>
        <w:rPr>
          <w:rFonts w:ascii="Times New Roman" w:hAnsi="Times New Roman" w:cs="Times New Roman"/>
          <w:lang w:val="uk-UA"/>
        </w:rPr>
        <w:t xml:space="preserve"> ІФА у центральній лабораторії</w:t>
      </w:r>
      <w:r w:rsidR="00690065">
        <w:rPr>
          <w:rFonts w:ascii="Times New Roman" w:hAnsi="Times New Roman" w:cs="Times New Roman"/>
          <w:lang w:val="uk-UA"/>
        </w:rPr>
        <w:t>.</w:t>
      </w:r>
      <w:r w:rsidRPr="00BC2240">
        <w:rPr>
          <w:rFonts w:ascii="Times New Roman" w:hAnsi="Times New Roman" w:cs="Times New Roman"/>
          <w:vertAlign w:val="superscript"/>
          <w:lang w:val="uk-UA"/>
        </w:rPr>
        <w:t>34–36</w:t>
      </w:r>
      <w:r w:rsidRPr="00BC2240">
        <w:rPr>
          <w:rFonts w:ascii="Times New Roman" w:hAnsi="Times New Roman" w:cs="Times New Roman"/>
          <w:lang w:val="uk-UA"/>
        </w:rPr>
        <w:t xml:space="preserve"> </w:t>
      </w:r>
      <w:r w:rsidR="00135CC0">
        <w:rPr>
          <w:rFonts w:ascii="Times New Roman" w:hAnsi="Times New Roman" w:cs="Times New Roman"/>
          <w:lang w:val="uk-UA"/>
        </w:rPr>
        <w:t xml:space="preserve">Додаткове вільне місце на </w:t>
      </w:r>
      <w:r w:rsidRPr="00BC2240">
        <w:rPr>
          <w:rFonts w:ascii="Times New Roman" w:hAnsi="Times New Roman" w:cs="Times New Roman"/>
          <w:lang w:val="uk-UA"/>
        </w:rPr>
        <w:t xml:space="preserve">картці можна використовувати для аналізу на </w:t>
      </w:r>
      <w:r w:rsidR="00D03CF7">
        <w:rPr>
          <w:rFonts w:ascii="Times New Roman" w:hAnsi="Times New Roman" w:cs="Times New Roman"/>
          <w:lang w:val="uk-UA"/>
        </w:rPr>
        <w:t>ВГС РНК</w:t>
      </w:r>
      <w:r w:rsidRPr="00BC2240">
        <w:rPr>
          <w:rFonts w:ascii="Times New Roman" w:hAnsi="Times New Roman" w:cs="Times New Roman"/>
          <w:lang w:val="uk-UA"/>
        </w:rPr>
        <w:t>, що дозволяє  провести аналіз у випадку виявлення антитіл.</w:t>
      </w:r>
    </w:p>
    <w:p w14:paraId="2BE8EB61" w14:textId="77777777" w:rsidR="00BC2240" w:rsidRPr="00BC2240" w:rsidRDefault="00BC2240" w:rsidP="00F53078">
      <w:pPr>
        <w:jc w:val="both"/>
        <w:rPr>
          <w:rFonts w:ascii="Times New Roman" w:hAnsi="Times New Roman" w:cs="Times New Roman"/>
          <w:lang w:val="uk-UA"/>
        </w:rPr>
      </w:pPr>
    </w:p>
    <w:p w14:paraId="219AAA54" w14:textId="415133AF" w:rsidR="00BC2240" w:rsidRDefault="00BC2240" w:rsidP="00F53078">
      <w:pPr>
        <w:jc w:val="both"/>
        <w:rPr>
          <w:rFonts w:ascii="Times New Roman" w:hAnsi="Times New Roman" w:cs="Times New Roman"/>
          <w:lang w:val="uk-UA"/>
        </w:rPr>
      </w:pPr>
      <w:r w:rsidRPr="00BC2240">
        <w:rPr>
          <w:rFonts w:ascii="Times New Roman" w:hAnsi="Times New Roman" w:cs="Times New Roman"/>
          <w:lang w:val="uk-UA"/>
        </w:rPr>
        <w:t xml:space="preserve">Всесвітня організація охорони здоров’я (ВООЗ) ухвалила використання </w:t>
      </w:r>
      <w:r w:rsidRPr="00176D51">
        <w:rPr>
          <w:rFonts w:ascii="Times New Roman" w:hAnsi="Times New Roman" w:cs="Times New Roman"/>
          <w:lang w:val="uk-UA"/>
        </w:rPr>
        <w:t>тест</w:t>
      </w:r>
      <w:r w:rsidR="00FC6D8A">
        <w:rPr>
          <w:rFonts w:ascii="Times New Roman" w:hAnsi="Times New Roman" w:cs="Times New Roman"/>
          <w:lang w:val="uk-UA"/>
        </w:rPr>
        <w:t>–</w:t>
      </w:r>
      <w:r w:rsidRPr="00176D51">
        <w:rPr>
          <w:rFonts w:ascii="Times New Roman" w:hAnsi="Times New Roman" w:cs="Times New Roman"/>
          <w:lang w:val="uk-UA"/>
        </w:rPr>
        <w:t xml:space="preserve">систем на основі картриджу в закладах надання медичної допомоги </w:t>
      </w:r>
      <w:r w:rsidRPr="00176D51">
        <w:rPr>
          <w:rFonts w:ascii="Times New Roman" w:hAnsi="Times New Roman" w:cs="Times New Roman"/>
          <w:b/>
          <w:vertAlign w:val="superscript"/>
          <w:lang w:val="uk-UA"/>
        </w:rPr>
        <w:t>37.</w:t>
      </w:r>
      <w:r w:rsidRPr="00176D51">
        <w:rPr>
          <w:rFonts w:ascii="Times New Roman" w:hAnsi="Times New Roman" w:cs="Times New Roman"/>
          <w:lang w:val="uk-UA"/>
        </w:rPr>
        <w:t xml:space="preserve"> </w:t>
      </w:r>
      <w:r w:rsidR="00135CC0" w:rsidRPr="00176D51">
        <w:rPr>
          <w:rFonts w:ascii="Times New Roman" w:hAnsi="Times New Roman" w:cs="Times New Roman"/>
          <w:lang w:val="uk-UA"/>
        </w:rPr>
        <w:t xml:space="preserve">Це в потенціалі </w:t>
      </w:r>
      <w:r w:rsidRPr="00176D51">
        <w:rPr>
          <w:rFonts w:ascii="Times New Roman" w:hAnsi="Times New Roman" w:cs="Times New Roman"/>
          <w:lang w:val="uk-UA"/>
        </w:rPr>
        <w:t>спро</w:t>
      </w:r>
      <w:r w:rsidR="00135CC0" w:rsidRPr="00176D51">
        <w:rPr>
          <w:rFonts w:ascii="Times New Roman" w:hAnsi="Times New Roman" w:cs="Times New Roman"/>
          <w:lang w:val="uk-UA"/>
        </w:rPr>
        <w:t>щує</w:t>
      </w:r>
      <w:r w:rsidRPr="00BC2240">
        <w:rPr>
          <w:rFonts w:ascii="Times New Roman" w:hAnsi="Times New Roman" w:cs="Times New Roman"/>
          <w:lang w:val="uk-UA"/>
        </w:rPr>
        <w:t xml:space="preserve"> алгоритми обстеження, збільш</w:t>
      </w:r>
      <w:r w:rsidR="00135CC0">
        <w:rPr>
          <w:rFonts w:ascii="Times New Roman" w:hAnsi="Times New Roman" w:cs="Times New Roman"/>
          <w:lang w:val="uk-UA"/>
        </w:rPr>
        <w:t>ує</w:t>
      </w:r>
      <w:r w:rsidRPr="00BC2240">
        <w:rPr>
          <w:rFonts w:ascii="Times New Roman" w:hAnsi="Times New Roman" w:cs="Times New Roman"/>
          <w:lang w:val="uk-UA"/>
        </w:rPr>
        <w:t xml:space="preserve"> рівень діагностування захворювання та </w:t>
      </w:r>
      <w:r w:rsidR="00135CC0">
        <w:rPr>
          <w:rFonts w:ascii="Times New Roman" w:hAnsi="Times New Roman" w:cs="Times New Roman"/>
          <w:lang w:val="uk-UA"/>
        </w:rPr>
        <w:t>розширює</w:t>
      </w:r>
      <w:r w:rsidRPr="00BC2240">
        <w:rPr>
          <w:rFonts w:ascii="Times New Roman" w:hAnsi="Times New Roman" w:cs="Times New Roman"/>
          <w:lang w:val="uk-UA"/>
        </w:rPr>
        <w:t xml:space="preserve"> доступ</w:t>
      </w:r>
      <w:r w:rsidR="00135CC0">
        <w:rPr>
          <w:rFonts w:ascii="Times New Roman" w:hAnsi="Times New Roman" w:cs="Times New Roman"/>
          <w:lang w:val="uk-UA"/>
        </w:rPr>
        <w:t xml:space="preserve"> до</w:t>
      </w:r>
      <w:r w:rsidRPr="00BC2240">
        <w:rPr>
          <w:rFonts w:ascii="Times New Roman" w:hAnsi="Times New Roman" w:cs="Times New Roman"/>
          <w:lang w:val="uk-UA"/>
        </w:rPr>
        <w:t xml:space="preserve"> лікування, особливо в районах з низьким і середнім рівнем доходу, а також для неблагополучних верств населення, таких як особи, які споживають ін’єкційні наркотики. Залежно від витрат</w:t>
      </w:r>
      <w:r w:rsidR="008D7F50">
        <w:rPr>
          <w:rFonts w:ascii="Times New Roman" w:hAnsi="Times New Roman" w:cs="Times New Roman"/>
          <w:lang w:val="uk-UA"/>
        </w:rPr>
        <w:t>,</w:t>
      </w:r>
      <w:r w:rsidRPr="00BC2240">
        <w:rPr>
          <w:rFonts w:ascii="Times New Roman" w:hAnsi="Times New Roman" w:cs="Times New Roman"/>
          <w:lang w:val="uk-UA"/>
        </w:rPr>
        <w:t xml:space="preserve"> прямий аналіз на </w:t>
      </w:r>
      <w:r w:rsidR="00D03CF7">
        <w:rPr>
          <w:rFonts w:ascii="Times New Roman" w:hAnsi="Times New Roman" w:cs="Times New Roman"/>
          <w:lang w:val="uk-UA"/>
        </w:rPr>
        <w:t>ВГС РНК</w:t>
      </w:r>
      <w:r w:rsidRPr="00BC2240">
        <w:rPr>
          <w:rFonts w:ascii="Times New Roman" w:hAnsi="Times New Roman" w:cs="Times New Roman"/>
          <w:lang w:val="uk-UA"/>
        </w:rPr>
        <w:t>, а також експрес</w:t>
      </w:r>
      <w:r w:rsidR="00FC6D8A">
        <w:rPr>
          <w:rFonts w:ascii="Times New Roman" w:hAnsi="Times New Roman" w:cs="Times New Roman"/>
          <w:lang w:val="uk-UA"/>
        </w:rPr>
        <w:t>–</w:t>
      </w:r>
      <w:r w:rsidRPr="00BC2240">
        <w:rPr>
          <w:rFonts w:ascii="Times New Roman" w:hAnsi="Times New Roman" w:cs="Times New Roman"/>
          <w:lang w:val="uk-UA"/>
        </w:rPr>
        <w:t xml:space="preserve">тести можна вважати заміною скринінговим методам, заснованим на виявленні антитіл до </w:t>
      </w:r>
      <w:r w:rsidR="00C87A95">
        <w:rPr>
          <w:rFonts w:ascii="Times New Roman" w:hAnsi="Times New Roman" w:cs="Times New Roman"/>
          <w:lang w:val="uk-UA"/>
        </w:rPr>
        <w:t>ВГС</w:t>
      </w:r>
      <w:r w:rsidRPr="00BC2240">
        <w:rPr>
          <w:rFonts w:ascii="Times New Roman" w:hAnsi="Times New Roman" w:cs="Times New Roman"/>
          <w:lang w:val="uk-UA"/>
        </w:rPr>
        <w:t>, шляхом безпосередньої ідентифікації інфікованих осіб.</w:t>
      </w:r>
    </w:p>
    <w:p w14:paraId="50FEBD92" w14:textId="57BB6261" w:rsidR="00135CC0" w:rsidRDefault="00135CC0" w:rsidP="00F53078">
      <w:pPr>
        <w:jc w:val="both"/>
        <w:rPr>
          <w:rFonts w:ascii="Times New Roman" w:hAnsi="Times New Roman" w:cs="Times New Roman"/>
          <w:lang w:val="uk-UA"/>
        </w:rPr>
      </w:pPr>
    </w:p>
    <w:p w14:paraId="4ABA02FF" w14:textId="5D11CFB8" w:rsidR="00135CC0" w:rsidRDefault="00135CC0" w:rsidP="00F53078">
      <w:pPr>
        <w:jc w:val="both"/>
        <w:rPr>
          <w:rFonts w:ascii="Times New Roman" w:hAnsi="Times New Roman" w:cs="Times New Roman"/>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6"/>
      </w:tblGrid>
      <w:tr w:rsidR="00135CC0" w14:paraId="6B7D7F25" w14:textId="77777777" w:rsidTr="00A925C1">
        <w:tc>
          <w:tcPr>
            <w:tcW w:w="9906" w:type="dxa"/>
            <w:shd w:val="clear" w:color="auto" w:fill="DEEAF6" w:themeFill="accent1" w:themeFillTint="33"/>
          </w:tcPr>
          <w:p w14:paraId="75E94AA5" w14:textId="142DABDA" w:rsidR="00A925C1" w:rsidRPr="00A925C1" w:rsidRDefault="00A925C1" w:rsidP="00135CC0">
            <w:pPr>
              <w:jc w:val="both"/>
              <w:rPr>
                <w:rFonts w:ascii="Times New Roman" w:hAnsi="Times New Roman" w:cs="Times New Roman"/>
                <w:b/>
                <w:lang w:val="uk-UA"/>
              </w:rPr>
            </w:pPr>
            <w:r w:rsidRPr="00A925C1">
              <w:rPr>
                <w:rFonts w:ascii="Times New Roman" w:hAnsi="Times New Roman" w:cs="Times New Roman"/>
                <w:b/>
                <w:lang w:val="uk-UA"/>
              </w:rPr>
              <w:t>Рекомендації</w:t>
            </w:r>
          </w:p>
          <w:p w14:paraId="17A3AC41" w14:textId="77777777" w:rsidR="00135CC0" w:rsidRPr="00135CC0" w:rsidRDefault="00135CC0" w:rsidP="00135CC0">
            <w:pPr>
              <w:jc w:val="both"/>
              <w:rPr>
                <w:rFonts w:ascii="Times New Roman" w:hAnsi="Times New Roman" w:cs="Times New Roman"/>
                <w:lang w:val="uk-UA"/>
              </w:rPr>
            </w:pPr>
          </w:p>
          <w:p w14:paraId="7D13F7A7" w14:textId="65D70F7C" w:rsidR="00135CC0" w:rsidRPr="00135CC0" w:rsidRDefault="00135CC0" w:rsidP="00135CC0">
            <w:pPr>
              <w:jc w:val="both"/>
              <w:rPr>
                <w:rFonts w:ascii="Times New Roman" w:hAnsi="Times New Roman" w:cs="Times New Roman"/>
                <w:lang w:val="uk-UA"/>
              </w:rPr>
            </w:pPr>
            <w:r w:rsidRPr="00135CC0">
              <w:rPr>
                <w:rFonts w:ascii="Times New Roman" w:hAnsi="Times New Roman" w:cs="Times New Roman"/>
                <w:lang w:val="uk-UA"/>
              </w:rPr>
              <w:t>•</w:t>
            </w:r>
            <w:r w:rsidRPr="00135CC0">
              <w:rPr>
                <w:rFonts w:ascii="Times New Roman" w:hAnsi="Times New Roman" w:cs="Times New Roman"/>
                <w:lang w:val="uk-UA"/>
              </w:rPr>
              <w:tab/>
            </w:r>
            <w:r w:rsidR="008D7F50">
              <w:rPr>
                <w:rFonts w:ascii="Times New Roman" w:hAnsi="Times New Roman" w:cs="Times New Roman"/>
                <w:lang w:val="uk-UA"/>
              </w:rPr>
              <w:t>Необхідно розробити</w:t>
            </w:r>
            <w:r w:rsidRPr="00135CC0">
              <w:rPr>
                <w:rFonts w:ascii="Times New Roman" w:hAnsi="Times New Roman" w:cs="Times New Roman"/>
                <w:lang w:val="uk-UA"/>
              </w:rPr>
              <w:t xml:space="preserve"> стратегії скринінгу на ВГС відповідно до епідеміологічної ситуації в регіоні, в ідеалі – в рамках національних планів </w:t>
            </w:r>
            <w:r w:rsidRPr="00A925C1">
              <w:rPr>
                <w:rFonts w:ascii="Times New Roman" w:hAnsi="Times New Roman" w:cs="Times New Roman"/>
                <w:b/>
                <w:lang w:val="uk-UA"/>
              </w:rPr>
              <w:t>(A1).</w:t>
            </w:r>
          </w:p>
          <w:p w14:paraId="0210AACC" w14:textId="02AE34A8" w:rsidR="00135CC0" w:rsidRPr="00135CC0" w:rsidRDefault="00135CC0" w:rsidP="00135CC0">
            <w:pPr>
              <w:jc w:val="both"/>
              <w:rPr>
                <w:rFonts w:ascii="Times New Roman" w:hAnsi="Times New Roman" w:cs="Times New Roman"/>
                <w:lang w:val="uk-UA"/>
              </w:rPr>
            </w:pPr>
            <w:r w:rsidRPr="00135CC0">
              <w:rPr>
                <w:rFonts w:ascii="Times New Roman" w:hAnsi="Times New Roman" w:cs="Times New Roman"/>
                <w:lang w:val="uk-UA"/>
              </w:rPr>
              <w:t>•</w:t>
            </w:r>
            <w:r w:rsidRPr="00135CC0">
              <w:rPr>
                <w:rFonts w:ascii="Times New Roman" w:hAnsi="Times New Roman" w:cs="Times New Roman"/>
                <w:lang w:val="uk-UA"/>
              </w:rPr>
              <w:tab/>
              <w:t xml:space="preserve">Стратегія скринінгу на ВГС може </w:t>
            </w:r>
            <w:r w:rsidR="00A925C1">
              <w:rPr>
                <w:rFonts w:ascii="Times New Roman" w:hAnsi="Times New Roman" w:cs="Times New Roman"/>
                <w:lang w:val="uk-UA"/>
              </w:rPr>
              <w:t xml:space="preserve">включати </w:t>
            </w:r>
            <w:r w:rsidRPr="00135CC0">
              <w:rPr>
                <w:rFonts w:ascii="Times New Roman" w:hAnsi="Times New Roman" w:cs="Times New Roman"/>
                <w:lang w:val="uk-UA"/>
              </w:rPr>
              <w:t>скринінг серед осіб, що належать до груп ризику, тестування новонароджених, а також обстеження усієї популяції в районах із середнім та високим рівнем поширеності серологічних маркерів</w:t>
            </w:r>
            <w:r w:rsidR="00A925C1">
              <w:rPr>
                <w:rFonts w:ascii="Times New Roman" w:hAnsi="Times New Roman" w:cs="Times New Roman"/>
                <w:lang w:val="uk-UA"/>
              </w:rPr>
              <w:t xml:space="preserve"> до ВГС</w:t>
            </w:r>
            <w:r w:rsidRPr="00135CC0">
              <w:rPr>
                <w:rFonts w:ascii="Times New Roman" w:hAnsi="Times New Roman" w:cs="Times New Roman"/>
                <w:lang w:val="uk-UA"/>
              </w:rPr>
              <w:t xml:space="preserve"> (≥2–5%) </w:t>
            </w:r>
            <w:r w:rsidRPr="00A925C1">
              <w:rPr>
                <w:rFonts w:ascii="Times New Roman" w:hAnsi="Times New Roman" w:cs="Times New Roman"/>
                <w:b/>
                <w:lang w:val="uk-UA"/>
              </w:rPr>
              <w:t>(B2).</w:t>
            </w:r>
          </w:p>
          <w:p w14:paraId="54750197" w14:textId="1CEB2C92" w:rsidR="00135CC0" w:rsidRPr="00135CC0" w:rsidRDefault="00135CC0" w:rsidP="00135CC0">
            <w:pPr>
              <w:jc w:val="both"/>
              <w:rPr>
                <w:rFonts w:ascii="Times New Roman" w:hAnsi="Times New Roman" w:cs="Times New Roman"/>
                <w:lang w:val="uk-UA"/>
              </w:rPr>
            </w:pPr>
            <w:r w:rsidRPr="00135CC0">
              <w:rPr>
                <w:rFonts w:ascii="Times New Roman" w:hAnsi="Times New Roman" w:cs="Times New Roman"/>
                <w:lang w:val="uk-UA"/>
              </w:rPr>
              <w:t>•</w:t>
            </w:r>
            <w:r w:rsidRPr="00135CC0">
              <w:rPr>
                <w:rFonts w:ascii="Times New Roman" w:hAnsi="Times New Roman" w:cs="Times New Roman"/>
                <w:lang w:val="uk-UA"/>
              </w:rPr>
              <w:tab/>
              <w:t>Скринінг на ВГС</w:t>
            </w:r>
            <w:r w:rsidR="00FC6D8A">
              <w:rPr>
                <w:rFonts w:ascii="Times New Roman" w:hAnsi="Times New Roman" w:cs="Times New Roman"/>
                <w:lang w:val="uk-UA"/>
              </w:rPr>
              <w:t>–</w:t>
            </w:r>
            <w:r w:rsidRPr="00135CC0">
              <w:rPr>
                <w:rFonts w:ascii="Times New Roman" w:hAnsi="Times New Roman" w:cs="Times New Roman"/>
                <w:lang w:val="uk-UA"/>
              </w:rPr>
              <w:t xml:space="preserve">інфекцію повинен грунтуватися на виявленні </w:t>
            </w:r>
            <w:r w:rsidR="00690065">
              <w:rPr>
                <w:rFonts w:ascii="Times New Roman" w:hAnsi="Times New Roman" w:cs="Times New Roman"/>
                <w:lang w:val="uk-UA"/>
              </w:rPr>
              <w:t xml:space="preserve">антитіл до </w:t>
            </w:r>
            <w:r w:rsidRPr="00135CC0">
              <w:rPr>
                <w:rFonts w:ascii="Times New Roman" w:hAnsi="Times New Roman" w:cs="Times New Roman"/>
                <w:lang w:val="uk-UA"/>
              </w:rPr>
              <w:t xml:space="preserve">ВГС у сироватці або плазмі </w:t>
            </w:r>
            <w:r w:rsidR="00690065" w:rsidRPr="00135CC0">
              <w:rPr>
                <w:rFonts w:ascii="Times New Roman" w:hAnsi="Times New Roman" w:cs="Times New Roman"/>
                <w:lang w:val="uk-UA"/>
              </w:rPr>
              <w:t xml:space="preserve">крові </w:t>
            </w:r>
            <w:r w:rsidRPr="00135CC0">
              <w:rPr>
                <w:rFonts w:ascii="Times New Roman" w:hAnsi="Times New Roman" w:cs="Times New Roman"/>
                <w:lang w:val="uk-UA"/>
              </w:rPr>
              <w:t xml:space="preserve">методом ІФА </w:t>
            </w:r>
            <w:r w:rsidRPr="007C0390">
              <w:rPr>
                <w:rFonts w:ascii="Times New Roman" w:hAnsi="Times New Roman" w:cs="Times New Roman"/>
                <w:b/>
                <w:lang w:val="uk-UA"/>
              </w:rPr>
              <w:t>(А1).</w:t>
            </w:r>
          </w:p>
          <w:p w14:paraId="27CAE184" w14:textId="5B8D1216" w:rsidR="00135CC0" w:rsidRPr="00135CC0" w:rsidRDefault="00135CC0" w:rsidP="00135CC0">
            <w:pPr>
              <w:jc w:val="both"/>
              <w:rPr>
                <w:rFonts w:ascii="Times New Roman" w:hAnsi="Times New Roman" w:cs="Times New Roman"/>
                <w:lang w:val="uk-UA"/>
              </w:rPr>
            </w:pPr>
            <w:r w:rsidRPr="00135CC0">
              <w:rPr>
                <w:rFonts w:ascii="Times New Roman" w:hAnsi="Times New Roman" w:cs="Times New Roman"/>
                <w:lang w:val="uk-UA"/>
              </w:rPr>
              <w:t>•</w:t>
            </w:r>
            <w:r w:rsidRPr="00135CC0">
              <w:rPr>
                <w:rFonts w:ascii="Times New Roman" w:hAnsi="Times New Roman" w:cs="Times New Roman"/>
                <w:lang w:val="uk-UA"/>
              </w:rPr>
              <w:tab/>
              <w:t xml:space="preserve">Скринінг шляхом виявлення антитіл </w:t>
            </w:r>
            <w:r w:rsidR="007C0390">
              <w:rPr>
                <w:rFonts w:ascii="Times New Roman" w:hAnsi="Times New Roman" w:cs="Times New Roman"/>
                <w:lang w:val="uk-UA"/>
              </w:rPr>
              <w:t>до</w:t>
            </w:r>
            <w:r w:rsidRPr="00135CC0">
              <w:rPr>
                <w:rFonts w:ascii="Times New Roman" w:hAnsi="Times New Roman" w:cs="Times New Roman"/>
                <w:lang w:val="uk-UA"/>
              </w:rPr>
              <w:t xml:space="preserve"> ВГС має бути запропонований </w:t>
            </w:r>
            <w:r w:rsidR="007C0390">
              <w:rPr>
                <w:rFonts w:ascii="Times New Roman" w:hAnsi="Times New Roman" w:cs="Times New Roman"/>
                <w:lang w:val="uk-UA"/>
              </w:rPr>
              <w:t>разом</w:t>
            </w:r>
            <w:r w:rsidRPr="00135CC0">
              <w:rPr>
                <w:rFonts w:ascii="Times New Roman" w:hAnsi="Times New Roman" w:cs="Times New Roman"/>
                <w:lang w:val="uk-UA"/>
              </w:rPr>
              <w:t xml:space="preserve"> з профілактичними заходами, доглядом і лікуванням </w:t>
            </w:r>
            <w:r w:rsidRPr="007C0390">
              <w:rPr>
                <w:rFonts w:ascii="Times New Roman" w:hAnsi="Times New Roman" w:cs="Times New Roman"/>
                <w:b/>
                <w:lang w:val="uk-UA"/>
              </w:rPr>
              <w:t>(A1).</w:t>
            </w:r>
          </w:p>
          <w:p w14:paraId="2D3A3F66" w14:textId="03658BBB" w:rsidR="00135CC0" w:rsidRPr="00135CC0" w:rsidRDefault="00135CC0" w:rsidP="00135CC0">
            <w:pPr>
              <w:jc w:val="both"/>
              <w:rPr>
                <w:rFonts w:ascii="Times New Roman" w:hAnsi="Times New Roman" w:cs="Times New Roman"/>
                <w:lang w:val="uk-UA"/>
              </w:rPr>
            </w:pPr>
            <w:r w:rsidRPr="00135CC0">
              <w:rPr>
                <w:rFonts w:ascii="Times New Roman" w:hAnsi="Times New Roman" w:cs="Times New Roman"/>
                <w:lang w:val="uk-UA"/>
              </w:rPr>
              <w:t>•</w:t>
            </w:r>
            <w:r w:rsidRPr="00135CC0">
              <w:rPr>
                <w:rFonts w:ascii="Times New Roman" w:hAnsi="Times New Roman" w:cs="Times New Roman"/>
                <w:lang w:val="uk-UA"/>
              </w:rPr>
              <w:tab/>
              <w:t>Цільну кров у вигляді сухих плям крові можна використовувати для виявлення антитіл до ВГС як альтернативу сироватці або плазмі</w:t>
            </w:r>
            <w:r w:rsidR="00707E43">
              <w:rPr>
                <w:rFonts w:ascii="Times New Roman" w:hAnsi="Times New Roman" w:cs="Times New Roman"/>
                <w:lang w:val="uk-UA"/>
              </w:rPr>
              <w:t xml:space="preserve"> крові</w:t>
            </w:r>
            <w:r w:rsidRPr="00135CC0">
              <w:rPr>
                <w:rFonts w:ascii="Times New Roman" w:hAnsi="Times New Roman" w:cs="Times New Roman"/>
                <w:lang w:val="uk-UA"/>
              </w:rPr>
              <w:t xml:space="preserve">, отриманій шляхом венепункції. У центральній лабораторії цільну кров буде використано для ІФА </w:t>
            </w:r>
            <w:r w:rsidRPr="007C0390">
              <w:rPr>
                <w:rFonts w:ascii="Times New Roman" w:hAnsi="Times New Roman" w:cs="Times New Roman"/>
                <w:b/>
                <w:lang w:val="uk-UA"/>
              </w:rPr>
              <w:t>(А2).</w:t>
            </w:r>
          </w:p>
          <w:p w14:paraId="2E9EF99B" w14:textId="02290E24" w:rsidR="00135CC0" w:rsidRPr="00135CC0" w:rsidRDefault="00135CC0" w:rsidP="00135CC0">
            <w:pPr>
              <w:jc w:val="both"/>
              <w:rPr>
                <w:rFonts w:ascii="Times New Roman" w:hAnsi="Times New Roman" w:cs="Times New Roman"/>
                <w:lang w:val="uk-UA"/>
              </w:rPr>
            </w:pPr>
            <w:r w:rsidRPr="00135CC0">
              <w:rPr>
                <w:rFonts w:ascii="Times New Roman" w:hAnsi="Times New Roman" w:cs="Times New Roman"/>
                <w:lang w:val="uk-UA"/>
              </w:rPr>
              <w:t>•</w:t>
            </w:r>
            <w:r w:rsidRPr="00135CC0">
              <w:rPr>
                <w:rFonts w:ascii="Times New Roman" w:hAnsi="Times New Roman" w:cs="Times New Roman"/>
                <w:lang w:val="uk-UA"/>
              </w:rPr>
              <w:tab/>
              <w:t>ШТ з використанням сироватки, плазми, цільної крові, отриманої з пальця, або кревікулярної рідини (слини) можна виконувати замість класичного ІФА</w:t>
            </w:r>
            <w:r w:rsidR="007C0390">
              <w:rPr>
                <w:rFonts w:ascii="Times New Roman" w:hAnsi="Times New Roman" w:cs="Times New Roman"/>
                <w:lang w:val="uk-UA"/>
              </w:rPr>
              <w:t>, що проводиться</w:t>
            </w:r>
            <w:r w:rsidRPr="00135CC0">
              <w:rPr>
                <w:rFonts w:ascii="Times New Roman" w:hAnsi="Times New Roman" w:cs="Times New Roman"/>
                <w:lang w:val="uk-UA"/>
              </w:rPr>
              <w:t xml:space="preserve"> безпосередньо в медичному закладі, для </w:t>
            </w:r>
            <w:r w:rsidR="007C0390">
              <w:rPr>
                <w:rFonts w:ascii="Times New Roman" w:hAnsi="Times New Roman" w:cs="Times New Roman"/>
                <w:lang w:val="uk-UA"/>
              </w:rPr>
              <w:t xml:space="preserve">розширення доступу до </w:t>
            </w:r>
            <w:r w:rsidRPr="00135CC0">
              <w:rPr>
                <w:rFonts w:ascii="Times New Roman" w:hAnsi="Times New Roman" w:cs="Times New Roman"/>
                <w:lang w:val="uk-UA"/>
              </w:rPr>
              <w:t>скринінгу та збільш</w:t>
            </w:r>
            <w:r w:rsidR="007C0390">
              <w:rPr>
                <w:rFonts w:ascii="Times New Roman" w:hAnsi="Times New Roman" w:cs="Times New Roman"/>
                <w:lang w:val="uk-UA"/>
              </w:rPr>
              <w:t>ення</w:t>
            </w:r>
            <w:r w:rsidRPr="00135CC0">
              <w:rPr>
                <w:rFonts w:ascii="Times New Roman" w:hAnsi="Times New Roman" w:cs="Times New Roman"/>
                <w:lang w:val="uk-UA"/>
              </w:rPr>
              <w:t xml:space="preserve"> доступн</w:t>
            </w:r>
            <w:r w:rsidR="007C0390">
              <w:rPr>
                <w:rFonts w:ascii="Times New Roman" w:hAnsi="Times New Roman" w:cs="Times New Roman"/>
                <w:lang w:val="uk-UA"/>
              </w:rPr>
              <w:t>ості</w:t>
            </w:r>
            <w:r w:rsidRPr="00135CC0">
              <w:rPr>
                <w:rFonts w:ascii="Times New Roman" w:hAnsi="Times New Roman" w:cs="Times New Roman"/>
                <w:lang w:val="uk-UA"/>
              </w:rPr>
              <w:t xml:space="preserve"> медичної допомоги </w:t>
            </w:r>
            <w:r w:rsidRPr="007C0390">
              <w:rPr>
                <w:rFonts w:ascii="Times New Roman" w:hAnsi="Times New Roman" w:cs="Times New Roman"/>
                <w:b/>
                <w:lang w:val="uk-UA"/>
              </w:rPr>
              <w:t>(A2).</w:t>
            </w:r>
          </w:p>
          <w:p w14:paraId="11C9689C" w14:textId="5C85004F" w:rsidR="00135CC0" w:rsidRPr="00135CC0" w:rsidRDefault="00135CC0" w:rsidP="00135CC0">
            <w:pPr>
              <w:jc w:val="both"/>
              <w:rPr>
                <w:rFonts w:ascii="Times New Roman" w:hAnsi="Times New Roman" w:cs="Times New Roman"/>
                <w:lang w:val="uk-UA"/>
              </w:rPr>
            </w:pPr>
            <w:r w:rsidRPr="00135CC0">
              <w:rPr>
                <w:rFonts w:ascii="Times New Roman" w:hAnsi="Times New Roman" w:cs="Times New Roman"/>
                <w:lang w:val="uk-UA"/>
              </w:rPr>
              <w:t>•</w:t>
            </w:r>
            <w:r w:rsidRPr="00135CC0">
              <w:rPr>
                <w:rFonts w:ascii="Times New Roman" w:hAnsi="Times New Roman" w:cs="Times New Roman"/>
                <w:lang w:val="uk-UA"/>
              </w:rPr>
              <w:tab/>
              <w:t>Якщо було виявлено антитіла до ВГС, слід визначити наявність ВГС РНК або як альтернатива – core</w:t>
            </w:r>
            <w:r w:rsidR="00690065" w:rsidRPr="00690065">
              <w:rPr>
                <w:rFonts w:ascii="Times New Roman" w:hAnsi="Times New Roman" w:cs="Times New Roman"/>
                <w:lang w:val="uk-UA"/>
              </w:rPr>
              <w:t xml:space="preserve"> </w:t>
            </w:r>
            <w:r w:rsidRPr="00135CC0">
              <w:rPr>
                <w:rFonts w:ascii="Times New Roman" w:hAnsi="Times New Roman" w:cs="Times New Roman"/>
                <w:lang w:val="uk-UA"/>
              </w:rPr>
              <w:t xml:space="preserve">Ag ВГС (якщо аналіз на ВГС РНК недоступний та/або занадто дорогий) у сироватці або плазмі крові для виявлення пацієнтів з </w:t>
            </w:r>
            <w:r w:rsidR="007C0390">
              <w:rPr>
                <w:rFonts w:ascii="Times New Roman" w:hAnsi="Times New Roman" w:cs="Times New Roman"/>
                <w:lang w:val="uk-UA"/>
              </w:rPr>
              <w:t>хронічною</w:t>
            </w:r>
            <w:r w:rsidRPr="00135CC0">
              <w:rPr>
                <w:rFonts w:ascii="Times New Roman" w:hAnsi="Times New Roman" w:cs="Times New Roman"/>
                <w:lang w:val="uk-UA"/>
              </w:rPr>
              <w:t xml:space="preserve"> інфекцією </w:t>
            </w:r>
            <w:r w:rsidRPr="007C0390">
              <w:rPr>
                <w:rFonts w:ascii="Times New Roman" w:hAnsi="Times New Roman" w:cs="Times New Roman"/>
                <w:b/>
                <w:lang w:val="uk-UA"/>
              </w:rPr>
              <w:t>(A1).</w:t>
            </w:r>
          </w:p>
          <w:p w14:paraId="44187D59" w14:textId="62EA5567" w:rsidR="007C0390" w:rsidRPr="007C0390" w:rsidRDefault="00135CC0" w:rsidP="007C0390">
            <w:pPr>
              <w:jc w:val="both"/>
              <w:rPr>
                <w:rFonts w:ascii="Times New Roman" w:hAnsi="Times New Roman" w:cs="Times New Roman"/>
                <w:lang w:val="uk-UA"/>
              </w:rPr>
            </w:pPr>
            <w:r w:rsidRPr="00135CC0">
              <w:rPr>
                <w:rFonts w:ascii="Times New Roman" w:hAnsi="Times New Roman" w:cs="Times New Roman"/>
                <w:lang w:val="uk-UA"/>
              </w:rPr>
              <w:t>•</w:t>
            </w:r>
            <w:r w:rsidRPr="00135CC0">
              <w:rPr>
                <w:rFonts w:ascii="Times New Roman" w:hAnsi="Times New Roman" w:cs="Times New Roman"/>
                <w:lang w:val="uk-UA"/>
              </w:rPr>
              <w:tab/>
              <w:t>У пацієнтів, у яких було виявлено ВГС</w:t>
            </w:r>
            <w:r w:rsidR="00FC6D8A">
              <w:rPr>
                <w:rFonts w:ascii="Times New Roman" w:hAnsi="Times New Roman" w:cs="Times New Roman"/>
                <w:lang w:val="uk-UA"/>
              </w:rPr>
              <w:t>–</w:t>
            </w:r>
            <w:r w:rsidRPr="00135CC0">
              <w:rPr>
                <w:rFonts w:ascii="Times New Roman" w:hAnsi="Times New Roman" w:cs="Times New Roman"/>
                <w:lang w:val="uk-UA"/>
              </w:rPr>
              <w:t xml:space="preserve">антитіла, слід проводити аналіз для виявлення ВГС РНК </w:t>
            </w:r>
            <w:r w:rsidR="009819EE">
              <w:rPr>
                <w:rFonts w:ascii="Times New Roman" w:hAnsi="Times New Roman" w:cs="Times New Roman"/>
                <w:lang w:val="uk-UA"/>
              </w:rPr>
              <w:t xml:space="preserve">та сприяти </w:t>
            </w:r>
            <w:r w:rsidRPr="00135CC0">
              <w:rPr>
                <w:rFonts w:ascii="Times New Roman" w:hAnsi="Times New Roman" w:cs="Times New Roman"/>
                <w:lang w:val="uk-UA"/>
              </w:rPr>
              <w:t>скороченн</w:t>
            </w:r>
            <w:r w:rsidR="00690065">
              <w:rPr>
                <w:rFonts w:ascii="Times New Roman" w:hAnsi="Times New Roman" w:cs="Times New Roman"/>
                <w:lang w:val="uk-UA"/>
              </w:rPr>
              <w:t>ю</w:t>
            </w:r>
            <w:r w:rsidRPr="00135CC0">
              <w:rPr>
                <w:rFonts w:ascii="Times New Roman" w:hAnsi="Times New Roman" w:cs="Times New Roman"/>
                <w:lang w:val="uk-UA"/>
              </w:rPr>
              <w:t xml:space="preserve"> часу між встановленням діагнозу та початком лікування </w:t>
            </w:r>
            <w:r w:rsidRPr="007C0390">
              <w:rPr>
                <w:rFonts w:ascii="Times New Roman" w:hAnsi="Times New Roman" w:cs="Times New Roman"/>
                <w:b/>
                <w:lang w:val="uk-UA"/>
              </w:rPr>
              <w:t>(B1).</w:t>
            </w:r>
          </w:p>
          <w:p w14:paraId="6B4259D7" w14:textId="7569C6F0" w:rsidR="00135CC0" w:rsidRPr="007C0390" w:rsidRDefault="007C0390" w:rsidP="007C0390">
            <w:pPr>
              <w:jc w:val="both"/>
              <w:rPr>
                <w:rFonts w:ascii="Times New Roman" w:hAnsi="Times New Roman" w:cs="Times New Roman"/>
                <w:lang w:val="uk-UA"/>
              </w:rPr>
            </w:pPr>
            <w:r w:rsidRPr="007C0390">
              <w:rPr>
                <w:rFonts w:ascii="Times New Roman" w:hAnsi="Times New Roman" w:cs="Times New Roman"/>
                <w:lang w:val="uk-UA"/>
              </w:rPr>
              <w:lastRenderedPageBreak/>
              <w:t>•</w:t>
            </w:r>
            <w:r w:rsidRPr="007C0390">
              <w:rPr>
                <w:rFonts w:ascii="Times New Roman" w:hAnsi="Times New Roman" w:cs="Times New Roman"/>
                <w:lang w:val="uk-UA"/>
              </w:rPr>
              <w:tab/>
            </w:r>
            <w:r w:rsidR="00135CC0" w:rsidRPr="007C0390">
              <w:rPr>
                <w:rFonts w:ascii="Times New Roman" w:hAnsi="Times New Roman" w:cs="Times New Roman"/>
                <w:lang w:val="uk-UA"/>
              </w:rPr>
              <w:t>Скринінговий аналіз на ВГС</w:t>
            </w:r>
            <w:r w:rsidR="00FC6D8A">
              <w:rPr>
                <w:rFonts w:ascii="Times New Roman" w:hAnsi="Times New Roman" w:cs="Times New Roman"/>
                <w:lang w:val="uk-UA"/>
              </w:rPr>
              <w:t>–</w:t>
            </w:r>
            <w:r w:rsidR="00135CC0" w:rsidRPr="007C0390">
              <w:rPr>
                <w:rFonts w:ascii="Times New Roman" w:hAnsi="Times New Roman" w:cs="Times New Roman"/>
                <w:lang w:val="uk-UA"/>
              </w:rPr>
              <w:t>антитіла може бути замінений аналізом на ВГС РНК з нижньою межею виявлення ≤1000 МО/мл (3,0 Log10 МО/мл) або аналізом на core</w:t>
            </w:r>
            <w:r w:rsidR="00690065" w:rsidRPr="00690065">
              <w:rPr>
                <w:rFonts w:ascii="Times New Roman" w:hAnsi="Times New Roman" w:cs="Times New Roman"/>
                <w:lang w:val="uk-UA"/>
              </w:rPr>
              <w:t xml:space="preserve"> </w:t>
            </w:r>
            <w:r w:rsidR="00135CC0" w:rsidRPr="007C0390">
              <w:rPr>
                <w:rFonts w:ascii="Times New Roman" w:hAnsi="Times New Roman" w:cs="Times New Roman"/>
                <w:lang w:val="uk-UA"/>
              </w:rPr>
              <w:t xml:space="preserve">Ag ВГС, якщо такі аналізи доступні і скринінгова стратегія з їх використанням виявиться </w:t>
            </w:r>
            <w:r w:rsidR="009819EE">
              <w:rPr>
                <w:rFonts w:ascii="Times New Roman" w:hAnsi="Times New Roman" w:cs="Times New Roman"/>
                <w:lang w:val="uk-UA"/>
              </w:rPr>
              <w:t>економічно ефективною</w:t>
            </w:r>
            <w:r w:rsidR="00135CC0" w:rsidRPr="007C0390">
              <w:rPr>
                <w:rFonts w:ascii="Times New Roman" w:hAnsi="Times New Roman" w:cs="Times New Roman"/>
                <w:lang w:val="uk-UA"/>
              </w:rPr>
              <w:t xml:space="preserve"> </w:t>
            </w:r>
            <w:r w:rsidR="00135CC0" w:rsidRPr="007C0390">
              <w:rPr>
                <w:rFonts w:ascii="Times New Roman" w:hAnsi="Times New Roman" w:cs="Times New Roman"/>
                <w:b/>
                <w:lang w:val="uk-UA"/>
              </w:rPr>
              <w:t>(C2).</w:t>
            </w:r>
          </w:p>
        </w:tc>
      </w:tr>
    </w:tbl>
    <w:p w14:paraId="53A608AD" w14:textId="77777777" w:rsidR="00F9216A" w:rsidRDefault="00F9216A" w:rsidP="00C87A95">
      <w:pPr>
        <w:rPr>
          <w:rFonts w:ascii="Times New Roman" w:hAnsi="Times New Roman" w:cs="Times New Roman"/>
          <w:b/>
          <w:color w:val="2E74B5" w:themeColor="accent1" w:themeShade="BF"/>
          <w:lang w:val="uk-UA"/>
        </w:rPr>
      </w:pPr>
    </w:p>
    <w:p w14:paraId="5E8A40BD" w14:textId="13EE0278" w:rsidR="00C87A95" w:rsidRPr="00D03CF7" w:rsidRDefault="00C87A95" w:rsidP="00C87A95">
      <w:pPr>
        <w:rPr>
          <w:rFonts w:ascii="Times New Roman" w:hAnsi="Times New Roman" w:cs="Times New Roman"/>
          <w:b/>
          <w:color w:val="2E74B5" w:themeColor="accent1" w:themeShade="BF"/>
          <w:lang w:val="uk-UA"/>
        </w:rPr>
      </w:pPr>
      <w:r w:rsidRPr="00D03CF7">
        <w:rPr>
          <w:rFonts w:ascii="Times New Roman" w:hAnsi="Times New Roman" w:cs="Times New Roman"/>
          <w:b/>
          <w:color w:val="2E74B5" w:themeColor="accent1" w:themeShade="BF"/>
          <w:lang w:val="uk-UA"/>
        </w:rPr>
        <w:t xml:space="preserve">Цілі лікування </w:t>
      </w:r>
      <w:r w:rsidR="00273D89">
        <w:rPr>
          <w:rFonts w:ascii="Times New Roman" w:hAnsi="Times New Roman" w:cs="Times New Roman"/>
          <w:b/>
          <w:color w:val="2E74B5" w:themeColor="accent1" w:themeShade="BF"/>
          <w:lang w:val="uk-UA"/>
        </w:rPr>
        <w:t>ВГС</w:t>
      </w:r>
      <w:r w:rsidR="00FC6D8A">
        <w:rPr>
          <w:rFonts w:ascii="Times New Roman" w:hAnsi="Times New Roman" w:cs="Times New Roman"/>
          <w:b/>
          <w:color w:val="2E74B5" w:themeColor="accent1" w:themeShade="BF"/>
          <w:lang w:val="uk-UA"/>
        </w:rPr>
        <w:t>–</w:t>
      </w:r>
      <w:r w:rsidRPr="00D03CF7">
        <w:rPr>
          <w:rFonts w:ascii="Times New Roman" w:hAnsi="Times New Roman" w:cs="Times New Roman"/>
          <w:b/>
          <w:color w:val="2E74B5" w:themeColor="accent1" w:themeShade="BF"/>
          <w:lang w:val="uk-UA"/>
        </w:rPr>
        <w:t>інфекції</w:t>
      </w:r>
    </w:p>
    <w:p w14:paraId="6BB7D48F" w14:textId="77777777" w:rsidR="00D03CF7" w:rsidRDefault="00D03CF7" w:rsidP="00C87A95">
      <w:pPr>
        <w:rPr>
          <w:rFonts w:ascii="Times New Roman" w:hAnsi="Times New Roman" w:cs="Times New Roman"/>
          <w:lang w:val="uk-UA"/>
        </w:rPr>
      </w:pPr>
    </w:p>
    <w:p w14:paraId="2590CC53" w14:textId="18154590" w:rsidR="00C87A95" w:rsidRPr="00C87A95" w:rsidRDefault="00176D51" w:rsidP="00F53078">
      <w:pPr>
        <w:jc w:val="both"/>
        <w:rPr>
          <w:rFonts w:ascii="Times New Roman" w:hAnsi="Times New Roman" w:cs="Times New Roman"/>
          <w:lang w:val="uk-UA"/>
        </w:rPr>
      </w:pPr>
      <w:r>
        <w:rPr>
          <w:rFonts w:ascii="Times New Roman" w:hAnsi="Times New Roman" w:cs="Times New Roman"/>
          <w:lang w:val="uk-UA"/>
        </w:rPr>
        <w:t>Метою</w:t>
      </w:r>
      <w:r w:rsidR="00C87A95" w:rsidRPr="00C87A95">
        <w:rPr>
          <w:rFonts w:ascii="Times New Roman" w:hAnsi="Times New Roman" w:cs="Times New Roman"/>
          <w:lang w:val="uk-UA"/>
        </w:rPr>
        <w:t xml:space="preserve"> терапії є ліквідація </w:t>
      </w:r>
      <w:r w:rsidR="00D03CF7">
        <w:rPr>
          <w:rFonts w:ascii="Times New Roman" w:hAnsi="Times New Roman" w:cs="Times New Roman"/>
          <w:lang w:val="uk-UA"/>
        </w:rPr>
        <w:t>ВГС</w:t>
      </w:r>
      <w:r w:rsidR="00FC6D8A">
        <w:rPr>
          <w:rFonts w:ascii="Times New Roman" w:hAnsi="Times New Roman" w:cs="Times New Roman"/>
          <w:lang w:val="uk-UA"/>
        </w:rPr>
        <w:t>–</w:t>
      </w:r>
      <w:r w:rsidR="00D03CF7">
        <w:rPr>
          <w:rFonts w:ascii="Times New Roman" w:hAnsi="Times New Roman" w:cs="Times New Roman"/>
          <w:lang w:val="uk-UA"/>
        </w:rPr>
        <w:t xml:space="preserve">інфекції </w:t>
      </w:r>
      <w:r w:rsidR="00C87A95" w:rsidRPr="00C87A95">
        <w:rPr>
          <w:rFonts w:ascii="Times New Roman" w:hAnsi="Times New Roman" w:cs="Times New Roman"/>
          <w:lang w:val="uk-UA"/>
        </w:rPr>
        <w:t>з</w:t>
      </w:r>
      <w:r>
        <w:rPr>
          <w:rFonts w:ascii="Times New Roman" w:hAnsi="Times New Roman" w:cs="Times New Roman"/>
          <w:lang w:val="uk-UA"/>
        </w:rPr>
        <w:t>адля</w:t>
      </w:r>
      <w:r w:rsidR="00C87A95" w:rsidRPr="00C87A95">
        <w:rPr>
          <w:rFonts w:ascii="Times New Roman" w:hAnsi="Times New Roman" w:cs="Times New Roman"/>
          <w:lang w:val="uk-UA"/>
        </w:rPr>
        <w:t xml:space="preserve">: (1) запобігання ускладненням захворювань печінки та позапечінковим розладам, пов’язаним з </w:t>
      </w:r>
      <w:r w:rsidR="00273D89">
        <w:rPr>
          <w:rFonts w:ascii="Times New Roman" w:hAnsi="Times New Roman" w:cs="Times New Roman"/>
          <w:lang w:val="uk-UA"/>
        </w:rPr>
        <w:t>ВГС</w:t>
      </w:r>
      <w:r w:rsidR="00FC6D8A">
        <w:rPr>
          <w:rFonts w:ascii="Times New Roman" w:hAnsi="Times New Roman" w:cs="Times New Roman"/>
          <w:lang w:val="uk-UA"/>
        </w:rPr>
        <w:t>–</w:t>
      </w:r>
      <w:r w:rsidR="00C87A95" w:rsidRPr="00C87A95">
        <w:rPr>
          <w:rFonts w:ascii="Times New Roman" w:hAnsi="Times New Roman" w:cs="Times New Roman"/>
          <w:lang w:val="uk-UA"/>
        </w:rPr>
        <w:t>інфекцією, у тому числі некротичному запаленню печінки, фіброзу, цирозу печінки, декомпенс</w:t>
      </w:r>
      <w:r>
        <w:rPr>
          <w:rFonts w:ascii="Times New Roman" w:hAnsi="Times New Roman" w:cs="Times New Roman"/>
          <w:lang w:val="uk-UA"/>
        </w:rPr>
        <w:t>ованому</w:t>
      </w:r>
      <w:r w:rsidR="00C87A95" w:rsidRPr="00C87A95">
        <w:rPr>
          <w:rFonts w:ascii="Times New Roman" w:hAnsi="Times New Roman" w:cs="Times New Roman"/>
          <w:lang w:val="uk-UA"/>
        </w:rPr>
        <w:t xml:space="preserve"> цирозу, ГЦК, тяжким позапечінковим проявам і смерті; (2) поліпшення якості життя пацієнтів і ліквідація стигми; (3) запобігання наступній передачі вірусу.</w:t>
      </w:r>
    </w:p>
    <w:p w14:paraId="3EFB48EB" w14:textId="77777777" w:rsidR="00C87A95" w:rsidRPr="00C87A95" w:rsidRDefault="00C87A95" w:rsidP="00F53078">
      <w:pPr>
        <w:jc w:val="both"/>
        <w:rPr>
          <w:rFonts w:ascii="Times New Roman" w:hAnsi="Times New Roman" w:cs="Times New Roman"/>
          <w:lang w:val="uk-UA"/>
        </w:rPr>
      </w:pPr>
    </w:p>
    <w:p w14:paraId="49294520" w14:textId="66EBAF0D" w:rsidR="00C87A95" w:rsidRPr="00C87A95" w:rsidRDefault="00C87A95" w:rsidP="00F53078">
      <w:pPr>
        <w:jc w:val="both"/>
        <w:rPr>
          <w:rFonts w:ascii="Times New Roman" w:hAnsi="Times New Roman" w:cs="Times New Roman"/>
          <w:lang w:val="uk-UA"/>
        </w:rPr>
      </w:pPr>
      <w:r w:rsidRPr="00C87A95">
        <w:rPr>
          <w:rFonts w:ascii="Times New Roman" w:hAnsi="Times New Roman" w:cs="Times New Roman"/>
          <w:lang w:val="uk-UA"/>
        </w:rPr>
        <w:t xml:space="preserve">Кінцевою точкою терапії є досягнення СВВ, що визначається як відсутність </w:t>
      </w:r>
      <w:r w:rsidR="00D03CF7">
        <w:rPr>
          <w:rFonts w:ascii="Times New Roman" w:hAnsi="Times New Roman" w:cs="Times New Roman"/>
          <w:lang w:val="uk-UA"/>
        </w:rPr>
        <w:t xml:space="preserve">ВГС РНК </w:t>
      </w:r>
      <w:r w:rsidRPr="00C87A95">
        <w:rPr>
          <w:rFonts w:ascii="Times New Roman" w:hAnsi="Times New Roman" w:cs="Times New Roman"/>
          <w:lang w:val="uk-UA"/>
        </w:rPr>
        <w:t xml:space="preserve">у сироватці або плазмі </w:t>
      </w:r>
      <w:r w:rsidR="00707E43" w:rsidRPr="00C87A95">
        <w:rPr>
          <w:rFonts w:ascii="Times New Roman" w:hAnsi="Times New Roman" w:cs="Times New Roman"/>
          <w:lang w:val="uk-UA"/>
        </w:rPr>
        <w:t xml:space="preserve">крові </w:t>
      </w:r>
      <w:r w:rsidRPr="00C87A95">
        <w:rPr>
          <w:rFonts w:ascii="Times New Roman" w:hAnsi="Times New Roman" w:cs="Times New Roman"/>
          <w:lang w:val="uk-UA"/>
        </w:rPr>
        <w:t xml:space="preserve">через 12 (СВВ12) або </w:t>
      </w:r>
      <w:r w:rsidR="00FF4D2A">
        <w:rPr>
          <w:rFonts w:ascii="Times New Roman" w:hAnsi="Times New Roman" w:cs="Times New Roman"/>
          <w:lang w:val="uk-UA"/>
        </w:rPr>
        <w:t xml:space="preserve">24 тижні </w:t>
      </w:r>
      <w:r w:rsidRPr="00C87A95">
        <w:rPr>
          <w:rFonts w:ascii="Times New Roman" w:hAnsi="Times New Roman" w:cs="Times New Roman"/>
          <w:lang w:val="uk-UA"/>
        </w:rPr>
        <w:t>(СВВ24) після закінчення лікування</w:t>
      </w:r>
      <w:r w:rsidR="004E3A64">
        <w:rPr>
          <w:rFonts w:ascii="Times New Roman" w:hAnsi="Times New Roman" w:cs="Times New Roman"/>
          <w:lang w:val="uk-UA"/>
        </w:rPr>
        <w:t>.</w:t>
      </w:r>
      <w:r w:rsidRPr="00C87A95">
        <w:rPr>
          <w:rFonts w:ascii="Times New Roman" w:hAnsi="Times New Roman" w:cs="Times New Roman"/>
          <w:lang w:val="uk-UA"/>
        </w:rPr>
        <w:t xml:space="preserve"> </w:t>
      </w:r>
      <w:r w:rsidR="004E3A64">
        <w:rPr>
          <w:rFonts w:ascii="Times New Roman" w:hAnsi="Times New Roman" w:cs="Times New Roman"/>
          <w:lang w:val="uk-UA"/>
        </w:rPr>
        <w:t>О</w:t>
      </w:r>
      <w:r w:rsidRPr="00C87A95">
        <w:rPr>
          <w:rFonts w:ascii="Times New Roman" w:hAnsi="Times New Roman" w:cs="Times New Roman"/>
          <w:lang w:val="uk-UA"/>
        </w:rPr>
        <w:t xml:space="preserve">цінка відбувається за допомогою чутливого молекулярного методу з нижньою межею виявлення ≤ 15 МО/мл. Як СВВ12, так і СВВ24 були прийняті регуляторними органами в Європі та США як кінцеві точки терапії, враховуючи те, що </w:t>
      </w:r>
      <w:r w:rsidRPr="00176D51">
        <w:rPr>
          <w:rFonts w:ascii="Times New Roman" w:hAnsi="Times New Roman" w:cs="Times New Roman"/>
          <w:lang w:val="uk-UA"/>
        </w:rPr>
        <w:t>їх у</w:t>
      </w:r>
      <w:r w:rsidR="00FF4D2A" w:rsidRPr="00176D51">
        <w:rPr>
          <w:rFonts w:ascii="Times New Roman" w:hAnsi="Times New Roman" w:cs="Times New Roman"/>
          <w:lang w:val="uk-UA"/>
        </w:rPr>
        <w:t>згодженість становить</w:t>
      </w:r>
      <w:r w:rsidR="00FF4D2A">
        <w:rPr>
          <w:rFonts w:ascii="Times New Roman" w:hAnsi="Times New Roman" w:cs="Times New Roman"/>
          <w:lang w:val="uk-UA"/>
        </w:rPr>
        <w:t xml:space="preserve"> &gt; 99%</w:t>
      </w:r>
      <w:r w:rsidR="00690065">
        <w:rPr>
          <w:rFonts w:ascii="Times New Roman" w:hAnsi="Times New Roman" w:cs="Times New Roman"/>
          <w:lang w:val="uk-UA"/>
        </w:rPr>
        <w:t>.</w:t>
      </w:r>
      <w:r w:rsidR="00FF4D2A" w:rsidRPr="00FF4D2A">
        <w:rPr>
          <w:rFonts w:ascii="Times New Roman" w:hAnsi="Times New Roman" w:cs="Times New Roman"/>
          <w:b/>
          <w:vertAlign w:val="superscript"/>
          <w:lang w:val="uk-UA"/>
        </w:rPr>
        <w:t>38</w:t>
      </w:r>
      <w:r w:rsidR="00690065">
        <w:rPr>
          <w:rFonts w:ascii="Times New Roman" w:hAnsi="Times New Roman" w:cs="Times New Roman"/>
          <w:b/>
          <w:vertAlign w:val="superscript"/>
          <w:lang w:val="uk-UA"/>
        </w:rPr>
        <w:t xml:space="preserve"> </w:t>
      </w:r>
      <w:r w:rsidRPr="00C87A95">
        <w:rPr>
          <w:rFonts w:ascii="Times New Roman" w:hAnsi="Times New Roman" w:cs="Times New Roman"/>
          <w:lang w:val="uk-UA"/>
        </w:rPr>
        <w:t>В регіонах, де чутливі тест</w:t>
      </w:r>
      <w:r w:rsidR="00FC6D8A">
        <w:rPr>
          <w:rFonts w:ascii="Times New Roman" w:hAnsi="Times New Roman" w:cs="Times New Roman"/>
          <w:lang w:val="uk-UA"/>
        </w:rPr>
        <w:t>–</w:t>
      </w:r>
      <w:r w:rsidRPr="00C87A95">
        <w:rPr>
          <w:rFonts w:ascii="Times New Roman" w:hAnsi="Times New Roman" w:cs="Times New Roman"/>
          <w:lang w:val="uk-UA"/>
        </w:rPr>
        <w:t xml:space="preserve">системи для виявлення </w:t>
      </w:r>
      <w:r w:rsidR="00D03CF7">
        <w:rPr>
          <w:rFonts w:ascii="Times New Roman" w:hAnsi="Times New Roman" w:cs="Times New Roman"/>
          <w:lang w:val="uk-UA"/>
        </w:rPr>
        <w:t xml:space="preserve">ВГС РНК  </w:t>
      </w:r>
      <w:r w:rsidRPr="00C87A95">
        <w:rPr>
          <w:rFonts w:ascii="Times New Roman" w:hAnsi="Times New Roman" w:cs="Times New Roman"/>
          <w:lang w:val="uk-UA"/>
        </w:rPr>
        <w:t xml:space="preserve">недоступні та/або занадто дорогі, для оцінки вірусологічної відповіді можна використовувати якісні аналітичні системи з нижньою межею виявлення ≤ 1000 МО/мл (3,0 Log10МО/мл); у цьому випадку відповідь на лікування слід оцінювати </w:t>
      </w:r>
      <w:r w:rsidR="00FF4D2A">
        <w:rPr>
          <w:rFonts w:ascii="Times New Roman" w:hAnsi="Times New Roman" w:cs="Times New Roman"/>
          <w:lang w:val="uk-UA"/>
        </w:rPr>
        <w:t xml:space="preserve">через 24 тижні </w:t>
      </w:r>
      <w:r w:rsidRPr="00C87A95">
        <w:rPr>
          <w:rFonts w:ascii="Times New Roman" w:hAnsi="Times New Roman" w:cs="Times New Roman"/>
          <w:lang w:val="uk-UA"/>
        </w:rPr>
        <w:t>після завершення лікування (СВВ24).</w:t>
      </w:r>
    </w:p>
    <w:p w14:paraId="4F4DA9BA" w14:textId="77777777" w:rsidR="00C87A95" w:rsidRPr="00C87A95" w:rsidRDefault="00C87A95" w:rsidP="00F53078">
      <w:pPr>
        <w:jc w:val="both"/>
        <w:rPr>
          <w:rFonts w:ascii="Times New Roman" w:hAnsi="Times New Roman" w:cs="Times New Roman"/>
          <w:lang w:val="uk-UA"/>
        </w:rPr>
      </w:pPr>
    </w:p>
    <w:p w14:paraId="71751AE3" w14:textId="16A3C327" w:rsidR="00C87A95" w:rsidRPr="00C87A95" w:rsidRDefault="00C87A95" w:rsidP="00F53078">
      <w:pPr>
        <w:jc w:val="both"/>
        <w:rPr>
          <w:rFonts w:ascii="Times New Roman" w:hAnsi="Times New Roman" w:cs="Times New Roman"/>
          <w:lang w:val="uk-UA"/>
        </w:rPr>
      </w:pPr>
      <w:r w:rsidRPr="00C87A95">
        <w:rPr>
          <w:rFonts w:ascii="Times New Roman" w:hAnsi="Times New Roman" w:cs="Times New Roman"/>
          <w:lang w:val="uk-UA"/>
        </w:rPr>
        <w:t xml:space="preserve">Довгострокові дослідження зі спостереженням за пацієнтами продемонстрували, що СВВ відповідає остаточному подоланню </w:t>
      </w:r>
      <w:r w:rsidR="00D03CF7">
        <w:rPr>
          <w:rFonts w:ascii="Times New Roman" w:hAnsi="Times New Roman" w:cs="Times New Roman"/>
          <w:lang w:val="uk-UA"/>
        </w:rPr>
        <w:t>ВГС</w:t>
      </w:r>
      <w:r w:rsidR="00FC6D8A">
        <w:rPr>
          <w:rFonts w:ascii="Times New Roman" w:hAnsi="Times New Roman" w:cs="Times New Roman"/>
          <w:lang w:val="uk-UA"/>
        </w:rPr>
        <w:t>–</w:t>
      </w:r>
      <w:r w:rsidR="00D03CF7">
        <w:rPr>
          <w:rFonts w:ascii="Times New Roman" w:hAnsi="Times New Roman" w:cs="Times New Roman"/>
          <w:lang w:val="uk-UA"/>
        </w:rPr>
        <w:t xml:space="preserve">інфекції </w:t>
      </w:r>
      <w:r w:rsidRPr="00C87A95">
        <w:rPr>
          <w:rFonts w:ascii="Times New Roman" w:hAnsi="Times New Roman" w:cs="Times New Roman"/>
          <w:lang w:val="uk-UA"/>
        </w:rPr>
        <w:t>у пе</w:t>
      </w:r>
      <w:r w:rsidR="00FF4D2A">
        <w:rPr>
          <w:rFonts w:ascii="Times New Roman" w:hAnsi="Times New Roman" w:cs="Times New Roman"/>
          <w:lang w:val="uk-UA"/>
        </w:rPr>
        <w:t xml:space="preserve">реважній більшості випадків </w:t>
      </w:r>
      <w:r w:rsidR="00FF4D2A" w:rsidRPr="00FF4D2A">
        <w:rPr>
          <w:rFonts w:ascii="Times New Roman" w:hAnsi="Times New Roman" w:cs="Times New Roman"/>
          <w:b/>
          <w:vertAlign w:val="superscript"/>
          <w:lang w:val="uk-UA"/>
        </w:rPr>
        <w:t>39</w:t>
      </w:r>
      <w:r w:rsidRPr="00C87A95">
        <w:rPr>
          <w:rFonts w:ascii="Times New Roman" w:hAnsi="Times New Roman" w:cs="Times New Roman"/>
          <w:lang w:val="uk-UA"/>
        </w:rPr>
        <w:t xml:space="preserve">. </w:t>
      </w:r>
      <w:r w:rsidR="00591722">
        <w:rPr>
          <w:rFonts w:ascii="Times New Roman" w:hAnsi="Times New Roman" w:cs="Times New Roman"/>
          <w:lang w:val="uk-UA"/>
        </w:rPr>
        <w:t>Визначення</w:t>
      </w:r>
      <w:r w:rsidR="00591722" w:rsidRPr="00C87A95">
        <w:rPr>
          <w:rFonts w:ascii="Times New Roman" w:hAnsi="Times New Roman" w:cs="Times New Roman"/>
          <w:lang w:val="uk-UA"/>
        </w:rPr>
        <w:t xml:space="preserve"> </w:t>
      </w:r>
      <w:r w:rsidR="00D03CF7">
        <w:rPr>
          <w:rFonts w:ascii="Times New Roman" w:hAnsi="Times New Roman" w:cs="Times New Roman"/>
          <w:lang w:val="uk-UA"/>
        </w:rPr>
        <w:t>сore</w:t>
      </w:r>
      <w:r w:rsidR="00690065">
        <w:rPr>
          <w:rFonts w:ascii="Times New Roman" w:hAnsi="Times New Roman" w:cs="Times New Roman"/>
          <w:lang w:val="uk-UA"/>
        </w:rPr>
        <w:t xml:space="preserve"> </w:t>
      </w:r>
      <w:r w:rsidR="00D03CF7">
        <w:rPr>
          <w:rFonts w:ascii="Times New Roman" w:hAnsi="Times New Roman" w:cs="Times New Roman"/>
          <w:lang w:val="uk-UA"/>
        </w:rPr>
        <w:t xml:space="preserve">Ag ВГС </w:t>
      </w:r>
      <w:r w:rsidR="00FF4D2A">
        <w:rPr>
          <w:rFonts w:ascii="Times New Roman" w:hAnsi="Times New Roman" w:cs="Times New Roman"/>
          <w:lang w:val="uk-UA"/>
        </w:rPr>
        <w:t xml:space="preserve">через 24 тижні </w:t>
      </w:r>
      <w:r w:rsidRPr="00C87A95">
        <w:rPr>
          <w:rFonts w:ascii="Times New Roman" w:hAnsi="Times New Roman" w:cs="Times New Roman"/>
          <w:lang w:val="uk-UA"/>
        </w:rPr>
        <w:t>після завершення лікування може бути використан</w:t>
      </w:r>
      <w:r w:rsidR="00690065">
        <w:rPr>
          <w:rFonts w:ascii="Times New Roman" w:hAnsi="Times New Roman" w:cs="Times New Roman"/>
          <w:lang w:val="uk-UA"/>
        </w:rPr>
        <w:t>о</w:t>
      </w:r>
      <w:r w:rsidRPr="00C87A95">
        <w:rPr>
          <w:rFonts w:ascii="Times New Roman" w:hAnsi="Times New Roman" w:cs="Times New Roman"/>
          <w:lang w:val="uk-UA"/>
        </w:rPr>
        <w:t xml:space="preserve"> як альтернатива аналізу на </w:t>
      </w:r>
      <w:r w:rsidR="00D03CF7">
        <w:rPr>
          <w:rFonts w:ascii="Times New Roman" w:hAnsi="Times New Roman" w:cs="Times New Roman"/>
          <w:lang w:val="uk-UA"/>
        </w:rPr>
        <w:t>ВГС РНК</w:t>
      </w:r>
      <w:r w:rsidRPr="00C87A95">
        <w:rPr>
          <w:rFonts w:ascii="Times New Roman" w:hAnsi="Times New Roman" w:cs="Times New Roman"/>
          <w:lang w:val="uk-UA"/>
        </w:rPr>
        <w:t>, для того щоб визначити СВВ24, відповідно, у пацієнтів, у яких було виявле</w:t>
      </w:r>
      <w:r w:rsidR="00FF4D2A">
        <w:rPr>
          <w:rFonts w:ascii="Times New Roman" w:hAnsi="Times New Roman" w:cs="Times New Roman"/>
          <w:lang w:val="uk-UA"/>
        </w:rPr>
        <w:t>но core</w:t>
      </w:r>
      <w:r w:rsidR="00690065">
        <w:rPr>
          <w:rFonts w:ascii="Times New Roman" w:hAnsi="Times New Roman" w:cs="Times New Roman"/>
          <w:lang w:val="uk-UA"/>
        </w:rPr>
        <w:t xml:space="preserve"> </w:t>
      </w:r>
      <w:r w:rsidR="00FF4D2A">
        <w:rPr>
          <w:rFonts w:ascii="Times New Roman" w:hAnsi="Times New Roman" w:cs="Times New Roman"/>
          <w:lang w:val="uk-UA"/>
        </w:rPr>
        <w:t>Ag до початку лікування</w:t>
      </w:r>
      <w:r w:rsidR="00690065">
        <w:rPr>
          <w:rFonts w:ascii="Times New Roman" w:hAnsi="Times New Roman" w:cs="Times New Roman"/>
          <w:lang w:val="uk-UA"/>
        </w:rPr>
        <w:t>.</w:t>
      </w:r>
      <w:r w:rsidR="00FF4D2A" w:rsidRPr="00FF4D2A">
        <w:rPr>
          <w:rFonts w:ascii="Times New Roman" w:hAnsi="Times New Roman" w:cs="Times New Roman"/>
          <w:b/>
          <w:vertAlign w:val="superscript"/>
          <w:lang w:val="uk-UA"/>
        </w:rPr>
        <w:t>23, 24, 26, 40</w:t>
      </w:r>
    </w:p>
    <w:p w14:paraId="349559E5" w14:textId="77777777" w:rsidR="00C87A95" w:rsidRPr="00C87A95" w:rsidRDefault="00C87A95" w:rsidP="00F53078">
      <w:pPr>
        <w:jc w:val="both"/>
        <w:rPr>
          <w:rFonts w:ascii="Times New Roman" w:hAnsi="Times New Roman" w:cs="Times New Roman"/>
          <w:lang w:val="uk-UA"/>
        </w:rPr>
      </w:pPr>
    </w:p>
    <w:p w14:paraId="60A68187" w14:textId="506A996F" w:rsidR="00C87A95" w:rsidRDefault="00C87A95" w:rsidP="00F53078">
      <w:pPr>
        <w:jc w:val="both"/>
        <w:rPr>
          <w:rFonts w:ascii="Times New Roman" w:hAnsi="Times New Roman" w:cs="Times New Roman"/>
          <w:lang w:val="uk-UA"/>
        </w:rPr>
      </w:pPr>
      <w:r w:rsidRPr="00C87A95">
        <w:rPr>
          <w:rFonts w:ascii="Times New Roman" w:hAnsi="Times New Roman" w:cs="Times New Roman"/>
          <w:lang w:val="uk-UA"/>
        </w:rPr>
        <w:t xml:space="preserve">У пацієнтів з </w:t>
      </w:r>
      <w:r w:rsidR="00591722">
        <w:rPr>
          <w:rFonts w:ascii="Times New Roman" w:hAnsi="Times New Roman" w:cs="Times New Roman"/>
          <w:lang w:val="uk-UA"/>
        </w:rPr>
        <w:t>вираженим</w:t>
      </w:r>
      <w:r w:rsidR="00591722" w:rsidRPr="00C87A95">
        <w:rPr>
          <w:rFonts w:ascii="Times New Roman" w:hAnsi="Times New Roman" w:cs="Times New Roman"/>
          <w:lang w:val="uk-UA"/>
        </w:rPr>
        <w:t xml:space="preserve"> </w:t>
      </w:r>
      <w:r w:rsidRPr="00C87A95">
        <w:rPr>
          <w:rFonts w:ascii="Times New Roman" w:hAnsi="Times New Roman" w:cs="Times New Roman"/>
          <w:lang w:val="uk-UA"/>
        </w:rPr>
        <w:t>фіброзом (за шкалою METAVIR відповідає стадії F3) і цирозом печінки (F4) СВВ асоціюється зі зменшенням частоти декомпенсації захворювання, а також зменшенням, однак не повною л</w:t>
      </w:r>
      <w:r w:rsidR="00FF4D2A">
        <w:rPr>
          <w:rFonts w:ascii="Times New Roman" w:hAnsi="Times New Roman" w:cs="Times New Roman"/>
          <w:lang w:val="uk-UA"/>
        </w:rPr>
        <w:t>іквідацією</w:t>
      </w:r>
      <w:r w:rsidR="00D979F3">
        <w:rPr>
          <w:rFonts w:ascii="Times New Roman" w:hAnsi="Times New Roman" w:cs="Times New Roman"/>
          <w:lang w:val="uk-UA"/>
        </w:rPr>
        <w:t>,</w:t>
      </w:r>
      <w:r w:rsidR="00FF4D2A">
        <w:rPr>
          <w:rFonts w:ascii="Times New Roman" w:hAnsi="Times New Roman" w:cs="Times New Roman"/>
          <w:lang w:val="uk-UA"/>
        </w:rPr>
        <w:t xml:space="preserve"> ризику розвитку ГЦК </w:t>
      </w:r>
      <w:r w:rsidR="00FF4D2A" w:rsidRPr="00FF4D2A">
        <w:rPr>
          <w:rFonts w:ascii="Times New Roman" w:hAnsi="Times New Roman" w:cs="Times New Roman"/>
          <w:b/>
          <w:vertAlign w:val="superscript"/>
          <w:lang w:val="uk-UA"/>
        </w:rPr>
        <w:t>8</w:t>
      </w:r>
      <w:r w:rsidRPr="00C87A95">
        <w:rPr>
          <w:rFonts w:ascii="Times New Roman" w:hAnsi="Times New Roman" w:cs="Times New Roman"/>
          <w:lang w:val="uk-UA"/>
        </w:rPr>
        <w:t xml:space="preserve">. Таким чином, необхідно продовжити стежити за цими пацієнтами </w:t>
      </w:r>
      <w:r w:rsidR="00D628F0">
        <w:rPr>
          <w:rFonts w:ascii="Times New Roman" w:hAnsi="Times New Roman" w:cs="Times New Roman"/>
          <w:lang w:val="uk-UA"/>
        </w:rPr>
        <w:t>щодо</w:t>
      </w:r>
      <w:r w:rsidR="00D979F3">
        <w:rPr>
          <w:rFonts w:ascii="Times New Roman" w:hAnsi="Times New Roman" w:cs="Times New Roman"/>
          <w:lang w:val="uk-UA"/>
        </w:rPr>
        <w:t xml:space="preserve"> вин</w:t>
      </w:r>
      <w:r w:rsidR="00D628F0">
        <w:rPr>
          <w:rFonts w:ascii="Times New Roman" w:hAnsi="Times New Roman" w:cs="Times New Roman"/>
          <w:lang w:val="uk-UA"/>
        </w:rPr>
        <w:t>и</w:t>
      </w:r>
      <w:r w:rsidR="00D979F3">
        <w:rPr>
          <w:rFonts w:ascii="Times New Roman" w:hAnsi="Times New Roman" w:cs="Times New Roman"/>
          <w:lang w:val="uk-UA"/>
        </w:rPr>
        <w:t>кнення</w:t>
      </w:r>
      <w:r w:rsidRPr="00C87A95">
        <w:rPr>
          <w:rFonts w:ascii="Times New Roman" w:hAnsi="Times New Roman" w:cs="Times New Roman"/>
          <w:lang w:val="uk-UA"/>
        </w:rPr>
        <w:t xml:space="preserve"> ГЦК.</w:t>
      </w:r>
    </w:p>
    <w:p w14:paraId="45D57DAF" w14:textId="2A4389E7" w:rsidR="00D979F3" w:rsidRDefault="00D979F3" w:rsidP="00F53078">
      <w:pPr>
        <w:jc w:val="both"/>
        <w:rPr>
          <w:rFonts w:ascii="Times New Roman" w:hAnsi="Times New Roman" w:cs="Times New Roman"/>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6"/>
      </w:tblGrid>
      <w:tr w:rsidR="004E055F" w14:paraId="4DACA424" w14:textId="77777777" w:rsidTr="007F7390">
        <w:tc>
          <w:tcPr>
            <w:tcW w:w="9906" w:type="dxa"/>
            <w:shd w:val="clear" w:color="auto" w:fill="DEEAF6" w:themeFill="accent1" w:themeFillTint="33"/>
          </w:tcPr>
          <w:p w14:paraId="20D7574D" w14:textId="77777777" w:rsidR="004E055F" w:rsidRPr="004E055F" w:rsidRDefault="004E055F" w:rsidP="004E055F">
            <w:pPr>
              <w:jc w:val="both"/>
              <w:rPr>
                <w:rFonts w:ascii="Times New Roman" w:hAnsi="Times New Roman" w:cs="Times New Roman"/>
                <w:b/>
                <w:lang w:val="uk-UA"/>
              </w:rPr>
            </w:pPr>
            <w:r w:rsidRPr="004E055F">
              <w:rPr>
                <w:rFonts w:ascii="Times New Roman" w:hAnsi="Times New Roman" w:cs="Times New Roman"/>
                <w:b/>
                <w:lang w:val="uk-UA"/>
              </w:rPr>
              <w:t>Рекомендації</w:t>
            </w:r>
          </w:p>
          <w:p w14:paraId="003CEEB5" w14:textId="77777777" w:rsidR="004E055F" w:rsidRPr="004E055F" w:rsidRDefault="004E055F" w:rsidP="004E055F">
            <w:pPr>
              <w:jc w:val="both"/>
              <w:rPr>
                <w:rFonts w:ascii="Times New Roman" w:hAnsi="Times New Roman" w:cs="Times New Roman"/>
                <w:lang w:val="uk-UA"/>
              </w:rPr>
            </w:pPr>
          </w:p>
          <w:p w14:paraId="3C9E3F0A" w14:textId="74202320" w:rsidR="004E055F" w:rsidRPr="00591722" w:rsidRDefault="00591722" w:rsidP="00591722">
            <w:pPr>
              <w:pStyle w:val="a9"/>
              <w:numPr>
                <w:ilvl w:val="0"/>
                <w:numId w:val="66"/>
              </w:numPr>
              <w:ind w:left="35" w:firstLine="284"/>
              <w:jc w:val="both"/>
              <w:rPr>
                <w:rFonts w:ascii="Times New Roman" w:hAnsi="Times New Roman" w:cs="Times New Roman"/>
                <w:lang w:val="uk-UA"/>
              </w:rPr>
            </w:pPr>
            <w:r w:rsidRPr="00591722">
              <w:rPr>
                <w:rFonts w:ascii="Times New Roman" w:hAnsi="Times New Roman" w:cs="Times New Roman"/>
                <w:lang w:val="uk-UA"/>
              </w:rPr>
              <w:t xml:space="preserve">Метою </w:t>
            </w:r>
            <w:r w:rsidR="004E055F" w:rsidRPr="00591722">
              <w:rPr>
                <w:rFonts w:ascii="Times New Roman" w:hAnsi="Times New Roman" w:cs="Times New Roman"/>
                <w:lang w:val="uk-UA"/>
              </w:rPr>
              <w:t xml:space="preserve">терапії є </w:t>
            </w:r>
            <w:r w:rsidR="00690065">
              <w:rPr>
                <w:rFonts w:ascii="Times New Roman" w:hAnsi="Times New Roman" w:cs="Times New Roman"/>
                <w:lang w:val="uk-UA"/>
              </w:rPr>
              <w:t>елімінація</w:t>
            </w:r>
            <w:r w:rsidR="004E055F" w:rsidRPr="00591722">
              <w:rPr>
                <w:rFonts w:ascii="Times New Roman" w:hAnsi="Times New Roman" w:cs="Times New Roman"/>
                <w:lang w:val="uk-UA"/>
              </w:rPr>
              <w:t xml:space="preserve"> ВГС</w:t>
            </w:r>
            <w:r w:rsidR="00FC6D8A">
              <w:rPr>
                <w:rFonts w:ascii="Times New Roman" w:hAnsi="Times New Roman" w:cs="Times New Roman"/>
                <w:lang w:val="uk-UA"/>
              </w:rPr>
              <w:t>–</w:t>
            </w:r>
            <w:r w:rsidR="004E055F" w:rsidRPr="00591722">
              <w:rPr>
                <w:rFonts w:ascii="Times New Roman" w:hAnsi="Times New Roman" w:cs="Times New Roman"/>
                <w:lang w:val="uk-UA"/>
              </w:rPr>
              <w:t xml:space="preserve">інфекції </w:t>
            </w:r>
            <w:r w:rsidRPr="00591722">
              <w:rPr>
                <w:rFonts w:ascii="Times New Roman" w:hAnsi="Times New Roman" w:cs="Times New Roman"/>
                <w:lang w:val="uk-UA"/>
              </w:rPr>
              <w:t>для</w:t>
            </w:r>
            <w:r w:rsidR="004E055F" w:rsidRPr="00591722">
              <w:rPr>
                <w:rFonts w:ascii="Times New Roman" w:hAnsi="Times New Roman" w:cs="Times New Roman"/>
                <w:lang w:val="uk-UA"/>
              </w:rPr>
              <w:t xml:space="preserve">: (1) запобігання ускладненням захворювань печінки та позапечінковим розладам, пов’язаним з ВГС </w:t>
            </w:r>
            <w:r w:rsidR="00FC6D8A">
              <w:rPr>
                <w:rFonts w:ascii="Times New Roman" w:hAnsi="Times New Roman" w:cs="Times New Roman"/>
                <w:lang w:val="uk-UA"/>
              </w:rPr>
              <w:t>–</w:t>
            </w:r>
            <w:r w:rsidR="004E055F" w:rsidRPr="00591722">
              <w:rPr>
                <w:rFonts w:ascii="Times New Roman" w:hAnsi="Times New Roman" w:cs="Times New Roman"/>
                <w:lang w:val="uk-UA"/>
              </w:rPr>
              <w:t>інфекцією, зокрема некротичному запаленню печінки, фіброзу, цирозу печінки, декомпенсації цирозу, ГЦК, тяжким позапечінковим проявам і смерті; (2) поліпшення якості життя пацієнтів і ліквідаці</w:t>
            </w:r>
            <w:r w:rsidR="00690065">
              <w:rPr>
                <w:rFonts w:ascii="Times New Roman" w:hAnsi="Times New Roman" w:cs="Times New Roman"/>
                <w:lang w:val="uk-UA"/>
              </w:rPr>
              <w:t>ї</w:t>
            </w:r>
            <w:r w:rsidR="004E055F" w:rsidRPr="00591722">
              <w:rPr>
                <w:rFonts w:ascii="Times New Roman" w:hAnsi="Times New Roman" w:cs="Times New Roman"/>
                <w:lang w:val="uk-UA"/>
              </w:rPr>
              <w:t xml:space="preserve"> стигми; (3) запобігання наступній передачі вірусу </w:t>
            </w:r>
            <w:r w:rsidR="004E055F" w:rsidRPr="00591722">
              <w:rPr>
                <w:rFonts w:ascii="Times New Roman" w:hAnsi="Times New Roman" w:cs="Times New Roman"/>
                <w:b/>
                <w:lang w:val="uk-UA"/>
              </w:rPr>
              <w:t>(A1).</w:t>
            </w:r>
          </w:p>
          <w:p w14:paraId="1DE53FB3" w14:textId="09B125A9" w:rsidR="004E055F" w:rsidRPr="00591722" w:rsidRDefault="004E055F" w:rsidP="00591722">
            <w:pPr>
              <w:pStyle w:val="a9"/>
              <w:numPr>
                <w:ilvl w:val="0"/>
                <w:numId w:val="66"/>
              </w:numPr>
              <w:ind w:left="35" w:firstLine="284"/>
              <w:jc w:val="both"/>
              <w:rPr>
                <w:rFonts w:ascii="Times New Roman" w:hAnsi="Times New Roman" w:cs="Times New Roman"/>
                <w:lang w:val="uk-UA"/>
              </w:rPr>
            </w:pPr>
            <w:r w:rsidRPr="00591722">
              <w:rPr>
                <w:rFonts w:ascii="Times New Roman" w:hAnsi="Times New Roman" w:cs="Times New Roman"/>
                <w:lang w:val="uk-UA"/>
              </w:rPr>
              <w:t xml:space="preserve">Кінцевою точкою терапії є відсутність ВГС РНК у сироватці або плазмі </w:t>
            </w:r>
            <w:r w:rsidR="00707E43" w:rsidRPr="00591722">
              <w:rPr>
                <w:rFonts w:ascii="Times New Roman" w:hAnsi="Times New Roman" w:cs="Times New Roman"/>
                <w:lang w:val="uk-UA"/>
              </w:rPr>
              <w:t xml:space="preserve">крові </w:t>
            </w:r>
            <w:r w:rsidRPr="00591722">
              <w:rPr>
                <w:rFonts w:ascii="Times New Roman" w:hAnsi="Times New Roman" w:cs="Times New Roman"/>
                <w:lang w:val="uk-UA"/>
              </w:rPr>
              <w:t>через 12 (СВВ12) або 24 тижні (СВВ24) після закінчення лікування, визначена за допомогою чутливої тест</w:t>
            </w:r>
            <w:r w:rsidR="00FC6D8A">
              <w:rPr>
                <w:rFonts w:ascii="Times New Roman" w:hAnsi="Times New Roman" w:cs="Times New Roman"/>
                <w:lang w:val="uk-UA"/>
              </w:rPr>
              <w:t>–</w:t>
            </w:r>
            <w:r w:rsidRPr="00591722">
              <w:rPr>
                <w:rFonts w:ascii="Times New Roman" w:hAnsi="Times New Roman" w:cs="Times New Roman"/>
                <w:lang w:val="uk-UA"/>
              </w:rPr>
              <w:t xml:space="preserve">системи (нижня межа для виявлення ≤ 15 МО/мл) </w:t>
            </w:r>
            <w:r w:rsidRPr="00591722">
              <w:rPr>
                <w:rFonts w:ascii="Times New Roman" w:hAnsi="Times New Roman" w:cs="Times New Roman"/>
                <w:b/>
                <w:lang w:val="uk-UA"/>
              </w:rPr>
              <w:t>(A1).</w:t>
            </w:r>
          </w:p>
          <w:p w14:paraId="7EC96873" w14:textId="7601E922" w:rsidR="004E055F" w:rsidRPr="00591722" w:rsidRDefault="004E055F" w:rsidP="00591722">
            <w:pPr>
              <w:pStyle w:val="a9"/>
              <w:numPr>
                <w:ilvl w:val="0"/>
                <w:numId w:val="66"/>
              </w:numPr>
              <w:ind w:left="35" w:firstLine="284"/>
              <w:jc w:val="both"/>
              <w:rPr>
                <w:rFonts w:ascii="Times New Roman" w:hAnsi="Times New Roman" w:cs="Times New Roman"/>
                <w:lang w:val="uk-UA"/>
              </w:rPr>
            </w:pPr>
            <w:r w:rsidRPr="00591722">
              <w:rPr>
                <w:rFonts w:ascii="Times New Roman" w:hAnsi="Times New Roman" w:cs="Times New Roman"/>
                <w:lang w:val="uk-UA"/>
              </w:rPr>
              <w:t>Відсутність сore</w:t>
            </w:r>
            <w:r w:rsidR="00FC6D8A">
              <w:rPr>
                <w:rFonts w:ascii="Times New Roman" w:hAnsi="Times New Roman" w:cs="Times New Roman"/>
                <w:lang w:val="uk-UA"/>
              </w:rPr>
              <w:t>–</w:t>
            </w:r>
            <w:r w:rsidRPr="00591722">
              <w:rPr>
                <w:rFonts w:ascii="Times New Roman" w:hAnsi="Times New Roman" w:cs="Times New Roman"/>
                <w:lang w:val="uk-UA"/>
              </w:rPr>
              <w:t>Ag ВГС через 24 тижні після завершення лікування (СВВ24) може бути використана як альтернативна кінцева точка терапії у пацієнтів, у яких було виявлено core</w:t>
            </w:r>
            <w:r w:rsidR="00690065" w:rsidRPr="00690065">
              <w:rPr>
                <w:rFonts w:ascii="Times New Roman" w:hAnsi="Times New Roman" w:cs="Times New Roman"/>
                <w:lang w:val="uk-UA"/>
              </w:rPr>
              <w:t xml:space="preserve"> </w:t>
            </w:r>
            <w:r w:rsidRPr="00591722">
              <w:rPr>
                <w:rFonts w:ascii="Times New Roman" w:hAnsi="Times New Roman" w:cs="Times New Roman"/>
                <w:lang w:val="uk-UA"/>
              </w:rPr>
              <w:t xml:space="preserve">Ag до початку лікування, якщо аналізи на ВГС РНК недоступні та/або занадто дорогі </w:t>
            </w:r>
            <w:r w:rsidRPr="00591722">
              <w:rPr>
                <w:rFonts w:ascii="Times New Roman" w:hAnsi="Times New Roman" w:cs="Times New Roman"/>
                <w:b/>
                <w:lang w:val="uk-UA"/>
              </w:rPr>
              <w:t>(A1).</w:t>
            </w:r>
          </w:p>
          <w:p w14:paraId="3F9E6C80" w14:textId="725F13E2" w:rsidR="00591722" w:rsidRPr="00591722" w:rsidRDefault="004E055F" w:rsidP="00591722">
            <w:pPr>
              <w:pStyle w:val="a9"/>
              <w:numPr>
                <w:ilvl w:val="0"/>
                <w:numId w:val="66"/>
              </w:numPr>
              <w:ind w:left="35" w:firstLine="284"/>
              <w:jc w:val="both"/>
              <w:rPr>
                <w:rFonts w:ascii="Times New Roman" w:hAnsi="Times New Roman" w:cs="Times New Roman"/>
                <w:b/>
                <w:lang w:val="uk-UA"/>
              </w:rPr>
            </w:pPr>
            <w:r w:rsidRPr="00591722">
              <w:rPr>
                <w:rFonts w:ascii="Times New Roman" w:hAnsi="Times New Roman" w:cs="Times New Roman"/>
                <w:lang w:val="uk-UA"/>
              </w:rPr>
              <w:t>Відповідь на лікування слід оцінювати через 24 тижні після завершення лікування у регіонах, де чутливі тест</w:t>
            </w:r>
            <w:r w:rsidR="00FC6D8A">
              <w:rPr>
                <w:rFonts w:ascii="Times New Roman" w:hAnsi="Times New Roman" w:cs="Times New Roman"/>
                <w:lang w:val="uk-UA"/>
              </w:rPr>
              <w:t>–</w:t>
            </w:r>
            <w:r w:rsidRPr="00591722">
              <w:rPr>
                <w:rFonts w:ascii="Times New Roman" w:hAnsi="Times New Roman" w:cs="Times New Roman"/>
                <w:lang w:val="uk-UA"/>
              </w:rPr>
              <w:t xml:space="preserve">системи для виявлення ВГС РНК недоступні та/або занадто дорогі, для оцінки вірусологічної відповіді можна використовувати якісні аналітичні системи з нижньою межею виявлення ≤ 1 000 МО/мл (3,0 Log10 МО/мл) </w:t>
            </w:r>
            <w:r w:rsidRPr="00591722">
              <w:rPr>
                <w:rFonts w:ascii="Times New Roman" w:hAnsi="Times New Roman" w:cs="Times New Roman"/>
                <w:b/>
                <w:lang w:val="uk-UA"/>
              </w:rPr>
              <w:t>(B1).</w:t>
            </w:r>
            <w:r w:rsidR="00591722" w:rsidRPr="00591722">
              <w:rPr>
                <w:rFonts w:ascii="Times New Roman" w:hAnsi="Times New Roman" w:cs="Times New Roman"/>
                <w:b/>
                <w:lang w:val="uk-UA"/>
              </w:rPr>
              <w:t xml:space="preserve"> </w:t>
            </w:r>
          </w:p>
          <w:p w14:paraId="0F912106" w14:textId="0488F51B" w:rsidR="004E055F" w:rsidRPr="00591722" w:rsidRDefault="004E055F">
            <w:pPr>
              <w:pStyle w:val="a9"/>
              <w:numPr>
                <w:ilvl w:val="0"/>
                <w:numId w:val="66"/>
              </w:numPr>
              <w:ind w:left="35" w:firstLine="284"/>
              <w:jc w:val="both"/>
              <w:rPr>
                <w:rFonts w:ascii="Times New Roman" w:hAnsi="Times New Roman" w:cs="Times New Roman"/>
                <w:lang w:val="uk-UA"/>
              </w:rPr>
            </w:pPr>
            <w:r w:rsidRPr="00591722">
              <w:rPr>
                <w:rFonts w:ascii="Times New Roman" w:hAnsi="Times New Roman" w:cs="Times New Roman"/>
                <w:lang w:val="uk-UA"/>
              </w:rPr>
              <w:lastRenderedPageBreak/>
              <w:t xml:space="preserve">У пацієнтів з </w:t>
            </w:r>
            <w:r w:rsidR="0029510A">
              <w:rPr>
                <w:rFonts w:ascii="Times New Roman" w:hAnsi="Times New Roman" w:cs="Times New Roman"/>
                <w:lang w:val="uk-UA"/>
              </w:rPr>
              <w:t>вираженим</w:t>
            </w:r>
            <w:r w:rsidR="0029510A" w:rsidRPr="00591722">
              <w:rPr>
                <w:rFonts w:ascii="Times New Roman" w:hAnsi="Times New Roman" w:cs="Times New Roman"/>
                <w:lang w:val="uk-UA"/>
              </w:rPr>
              <w:t xml:space="preserve"> </w:t>
            </w:r>
            <w:r w:rsidRPr="00591722">
              <w:rPr>
                <w:rFonts w:ascii="Times New Roman" w:hAnsi="Times New Roman" w:cs="Times New Roman"/>
                <w:lang w:val="uk-UA"/>
              </w:rPr>
              <w:t xml:space="preserve">фіброзом і цирозом печінки слід продовжити спостереження </w:t>
            </w:r>
            <w:r w:rsidR="00591722" w:rsidRPr="00591722">
              <w:rPr>
                <w:rFonts w:ascii="Times New Roman" w:hAnsi="Times New Roman" w:cs="Times New Roman"/>
                <w:lang w:val="uk-UA"/>
              </w:rPr>
              <w:t>після досягнення СВВ</w:t>
            </w:r>
            <w:r w:rsidRPr="00591722">
              <w:rPr>
                <w:rFonts w:ascii="Times New Roman" w:hAnsi="Times New Roman" w:cs="Times New Roman"/>
                <w:lang w:val="uk-UA"/>
              </w:rPr>
              <w:t xml:space="preserve">, оскільки ризик розвитку ГЦК зменшується, однак не </w:t>
            </w:r>
            <w:r w:rsidR="009C2A77">
              <w:rPr>
                <w:rFonts w:ascii="Times New Roman" w:hAnsi="Times New Roman" w:cs="Times New Roman"/>
                <w:lang w:val="uk-UA"/>
              </w:rPr>
              <w:t>зникає</w:t>
            </w:r>
            <w:r w:rsidRPr="00591722">
              <w:rPr>
                <w:rFonts w:ascii="Times New Roman" w:hAnsi="Times New Roman" w:cs="Times New Roman"/>
                <w:lang w:val="uk-UA"/>
              </w:rPr>
              <w:t xml:space="preserve"> повністю (A1).</w:t>
            </w:r>
          </w:p>
        </w:tc>
      </w:tr>
      <w:tr w:rsidR="00591722" w14:paraId="377F719D" w14:textId="77777777" w:rsidTr="007F7390">
        <w:tc>
          <w:tcPr>
            <w:tcW w:w="9906" w:type="dxa"/>
            <w:shd w:val="clear" w:color="auto" w:fill="DEEAF6" w:themeFill="accent1" w:themeFillTint="33"/>
          </w:tcPr>
          <w:p w14:paraId="6520D45A" w14:textId="77777777" w:rsidR="00591722" w:rsidRPr="004E055F" w:rsidRDefault="00591722" w:rsidP="004E055F">
            <w:pPr>
              <w:jc w:val="both"/>
              <w:rPr>
                <w:rFonts w:ascii="Times New Roman" w:hAnsi="Times New Roman" w:cs="Times New Roman"/>
                <w:b/>
                <w:lang w:val="uk-UA"/>
              </w:rPr>
            </w:pPr>
          </w:p>
        </w:tc>
      </w:tr>
    </w:tbl>
    <w:p w14:paraId="43514874" w14:textId="77777777" w:rsidR="00FF4D2A" w:rsidRDefault="00FF4D2A" w:rsidP="00FF4D2A">
      <w:pPr>
        <w:tabs>
          <w:tab w:val="left" w:pos="1089"/>
        </w:tabs>
        <w:rPr>
          <w:rFonts w:ascii="Times New Roman" w:hAnsi="Times New Roman" w:cs="Times New Roman"/>
          <w:lang w:val="uk-UA"/>
        </w:rPr>
      </w:pPr>
      <w:r>
        <w:rPr>
          <w:rFonts w:ascii="Times New Roman" w:hAnsi="Times New Roman" w:cs="Times New Roman"/>
          <w:lang w:val="uk-UA"/>
        </w:rPr>
        <w:tab/>
      </w:r>
    </w:p>
    <w:p w14:paraId="6E8C21A9" w14:textId="2055517A" w:rsidR="00FF4D2A" w:rsidRPr="003226BF" w:rsidRDefault="00FF4D2A" w:rsidP="00FF4D2A">
      <w:pPr>
        <w:tabs>
          <w:tab w:val="left" w:pos="1089"/>
        </w:tabs>
        <w:rPr>
          <w:rFonts w:ascii="Times New Roman" w:hAnsi="Times New Roman" w:cs="Times New Roman"/>
          <w:b/>
          <w:color w:val="2E74B5" w:themeColor="accent1" w:themeShade="BF"/>
          <w:lang w:val="uk-UA"/>
        </w:rPr>
      </w:pPr>
      <w:r w:rsidRPr="003226BF">
        <w:rPr>
          <w:rFonts w:ascii="Times New Roman" w:hAnsi="Times New Roman" w:cs="Times New Roman"/>
          <w:b/>
          <w:color w:val="2E74B5" w:themeColor="accent1" w:themeShade="BF"/>
          <w:lang w:val="uk-UA"/>
        </w:rPr>
        <w:t>Попередня терапевтична оцінка</w:t>
      </w:r>
    </w:p>
    <w:p w14:paraId="10F436F9" w14:textId="475C846E" w:rsidR="00FF4D2A" w:rsidRPr="00FF4D2A" w:rsidRDefault="00FF4D2A" w:rsidP="00FF4D2A">
      <w:pPr>
        <w:tabs>
          <w:tab w:val="left" w:pos="1089"/>
        </w:tabs>
        <w:rPr>
          <w:rFonts w:ascii="Times New Roman" w:hAnsi="Times New Roman" w:cs="Times New Roman"/>
          <w:lang w:val="uk-UA"/>
        </w:rPr>
      </w:pPr>
    </w:p>
    <w:p w14:paraId="03EDBB90" w14:textId="53A7FDCD" w:rsidR="00FF4D2A" w:rsidRPr="00FF4D2A" w:rsidRDefault="00FF4D2A" w:rsidP="00F53078">
      <w:pPr>
        <w:tabs>
          <w:tab w:val="left" w:pos="1089"/>
        </w:tabs>
        <w:jc w:val="both"/>
        <w:rPr>
          <w:rFonts w:ascii="Times New Roman" w:hAnsi="Times New Roman" w:cs="Times New Roman"/>
          <w:lang w:val="uk-UA"/>
        </w:rPr>
      </w:pPr>
      <w:r w:rsidRPr="00FF4D2A">
        <w:rPr>
          <w:rFonts w:ascii="Times New Roman" w:hAnsi="Times New Roman" w:cs="Times New Roman"/>
          <w:lang w:val="uk-UA"/>
        </w:rPr>
        <w:t>Необхідно оцінити тяжкість захворювання печінки, а також слід визначити баз</w:t>
      </w:r>
      <w:r w:rsidR="004F7575">
        <w:rPr>
          <w:rFonts w:ascii="Times New Roman" w:hAnsi="Times New Roman" w:cs="Times New Roman"/>
          <w:lang w:val="uk-UA"/>
        </w:rPr>
        <w:t>ові</w:t>
      </w:r>
      <w:r w:rsidRPr="00FF4D2A">
        <w:rPr>
          <w:rFonts w:ascii="Times New Roman" w:hAnsi="Times New Roman" w:cs="Times New Roman"/>
          <w:lang w:val="uk-UA"/>
        </w:rPr>
        <w:t xml:space="preserve"> вірусологічні параметри, які будуть корисними для підб</w:t>
      </w:r>
      <w:r w:rsidR="004F7575">
        <w:rPr>
          <w:rFonts w:ascii="Times New Roman" w:hAnsi="Times New Roman" w:cs="Times New Roman"/>
          <w:lang w:val="uk-UA"/>
        </w:rPr>
        <w:t>ору</w:t>
      </w:r>
      <w:r w:rsidRPr="00FF4D2A">
        <w:rPr>
          <w:rFonts w:ascii="Times New Roman" w:hAnsi="Times New Roman" w:cs="Times New Roman"/>
          <w:lang w:val="uk-UA"/>
        </w:rPr>
        <w:t xml:space="preserve"> терапії.</w:t>
      </w:r>
    </w:p>
    <w:p w14:paraId="52413344" w14:textId="77777777" w:rsidR="00FF4D2A" w:rsidRPr="00FF4D2A" w:rsidRDefault="00FF4D2A" w:rsidP="00F53078">
      <w:pPr>
        <w:tabs>
          <w:tab w:val="left" w:pos="1089"/>
        </w:tabs>
        <w:jc w:val="both"/>
        <w:rPr>
          <w:rFonts w:ascii="Times New Roman" w:hAnsi="Times New Roman" w:cs="Times New Roman"/>
          <w:lang w:val="uk-UA"/>
        </w:rPr>
      </w:pPr>
    </w:p>
    <w:p w14:paraId="59DDB329" w14:textId="77777777" w:rsidR="00841396" w:rsidRDefault="00841396" w:rsidP="00FF4D2A">
      <w:pPr>
        <w:tabs>
          <w:tab w:val="left" w:pos="1089"/>
        </w:tabs>
        <w:rPr>
          <w:rFonts w:ascii="Times New Roman" w:hAnsi="Times New Roman" w:cs="Times New Roman"/>
          <w:b/>
          <w:color w:val="2E74B5" w:themeColor="accent1" w:themeShade="BF"/>
          <w:lang w:val="uk-UA"/>
        </w:rPr>
      </w:pPr>
    </w:p>
    <w:p w14:paraId="2A589B22" w14:textId="0343C4B3" w:rsidR="00FF4D2A" w:rsidRPr="003226BF" w:rsidRDefault="00FF4D2A" w:rsidP="00FF4D2A">
      <w:pPr>
        <w:tabs>
          <w:tab w:val="left" w:pos="1089"/>
        </w:tabs>
        <w:rPr>
          <w:rFonts w:ascii="Times New Roman" w:hAnsi="Times New Roman" w:cs="Times New Roman"/>
          <w:b/>
          <w:color w:val="2E74B5" w:themeColor="accent1" w:themeShade="BF"/>
          <w:lang w:val="uk-UA"/>
        </w:rPr>
      </w:pPr>
      <w:r w:rsidRPr="003226BF">
        <w:rPr>
          <w:rFonts w:ascii="Times New Roman" w:hAnsi="Times New Roman" w:cs="Times New Roman"/>
          <w:b/>
          <w:color w:val="2E74B5" w:themeColor="accent1" w:themeShade="BF"/>
          <w:lang w:val="uk-UA"/>
        </w:rPr>
        <w:t>Пошук інших причин захворювання печінки</w:t>
      </w:r>
    </w:p>
    <w:p w14:paraId="2444429E" w14:textId="77777777" w:rsidR="00FF4D2A" w:rsidRPr="00FF4D2A" w:rsidRDefault="00FF4D2A" w:rsidP="00FF4D2A">
      <w:pPr>
        <w:tabs>
          <w:tab w:val="left" w:pos="1089"/>
        </w:tabs>
        <w:rPr>
          <w:rFonts w:ascii="Times New Roman" w:hAnsi="Times New Roman" w:cs="Times New Roman"/>
          <w:lang w:val="uk-UA"/>
        </w:rPr>
      </w:pPr>
    </w:p>
    <w:p w14:paraId="69BC6403" w14:textId="36896CFC" w:rsidR="00FF4D2A" w:rsidRPr="00FF4D2A" w:rsidRDefault="00FF4D2A" w:rsidP="00F53078">
      <w:pPr>
        <w:tabs>
          <w:tab w:val="left" w:pos="1089"/>
        </w:tabs>
        <w:jc w:val="both"/>
        <w:rPr>
          <w:rFonts w:ascii="Times New Roman" w:hAnsi="Times New Roman" w:cs="Times New Roman"/>
          <w:lang w:val="uk-UA"/>
        </w:rPr>
      </w:pPr>
      <w:r w:rsidRPr="00FF4D2A">
        <w:rPr>
          <w:rFonts w:ascii="Times New Roman" w:hAnsi="Times New Roman" w:cs="Times New Roman"/>
          <w:lang w:val="uk-UA"/>
        </w:rPr>
        <w:t xml:space="preserve">Слід систематично досліджувати інші можливі причини хронічного захворювання печінки або фактори, які можуть впливати на перебіг або прогресування захворювання печінки. Усіх пацієнтів слід обстежити </w:t>
      </w:r>
      <w:r w:rsidR="00D628F0">
        <w:rPr>
          <w:rFonts w:ascii="Times New Roman" w:hAnsi="Times New Roman" w:cs="Times New Roman"/>
          <w:lang w:val="uk-UA"/>
        </w:rPr>
        <w:t>щодо</w:t>
      </w:r>
      <w:r w:rsidRPr="00FF4D2A">
        <w:rPr>
          <w:rFonts w:ascii="Times New Roman" w:hAnsi="Times New Roman" w:cs="Times New Roman"/>
          <w:lang w:val="uk-UA"/>
        </w:rPr>
        <w:t xml:space="preserve"> інших вірусів, що передаються через кров,</w:t>
      </w:r>
      <w:r w:rsidR="003226BF">
        <w:rPr>
          <w:rFonts w:ascii="Times New Roman" w:hAnsi="Times New Roman" w:cs="Times New Roman"/>
          <w:lang w:val="uk-UA"/>
        </w:rPr>
        <w:t xml:space="preserve"> зокрема вірусу гепатиту В</w:t>
      </w:r>
      <w:r w:rsidRPr="00FF4D2A">
        <w:rPr>
          <w:rFonts w:ascii="Times New Roman" w:hAnsi="Times New Roman" w:cs="Times New Roman"/>
          <w:lang w:val="uk-UA"/>
        </w:rPr>
        <w:t xml:space="preserve"> </w:t>
      </w:r>
      <w:r w:rsidR="003226BF">
        <w:rPr>
          <w:rFonts w:ascii="Times New Roman" w:hAnsi="Times New Roman" w:cs="Times New Roman"/>
          <w:lang w:val="uk-UA"/>
        </w:rPr>
        <w:t xml:space="preserve">(ВГВ) </w:t>
      </w:r>
      <w:r w:rsidRPr="00FF4D2A">
        <w:rPr>
          <w:rFonts w:ascii="Times New Roman" w:hAnsi="Times New Roman" w:cs="Times New Roman"/>
          <w:lang w:val="uk-UA"/>
        </w:rPr>
        <w:t>і вірусу імунодефіциту людини (ВІЛ). Пацієнтам, які не були вакциновані, слід за</w:t>
      </w:r>
      <w:r w:rsidR="00866BD9">
        <w:rPr>
          <w:rFonts w:ascii="Times New Roman" w:hAnsi="Times New Roman" w:cs="Times New Roman"/>
          <w:lang w:val="uk-UA"/>
        </w:rPr>
        <w:t>пропонувати вакцинацію проти ВГВ</w:t>
      </w:r>
      <w:r w:rsidRPr="00FF4D2A">
        <w:rPr>
          <w:rFonts w:ascii="Times New Roman" w:hAnsi="Times New Roman" w:cs="Times New Roman"/>
          <w:lang w:val="uk-UA"/>
        </w:rPr>
        <w:t xml:space="preserve"> та вірусу гепати</w:t>
      </w:r>
      <w:r w:rsidR="00866BD9">
        <w:rPr>
          <w:rFonts w:ascii="Times New Roman" w:hAnsi="Times New Roman" w:cs="Times New Roman"/>
          <w:lang w:val="uk-UA"/>
        </w:rPr>
        <w:t>ту А (ВГА</w:t>
      </w:r>
      <w:r w:rsidRPr="00FF4D2A">
        <w:rPr>
          <w:rFonts w:ascii="Times New Roman" w:hAnsi="Times New Roman" w:cs="Times New Roman"/>
          <w:lang w:val="uk-UA"/>
        </w:rPr>
        <w:t xml:space="preserve">). Необхідно оцінювати </w:t>
      </w:r>
      <w:r w:rsidR="004F7575">
        <w:rPr>
          <w:rFonts w:ascii="Times New Roman" w:hAnsi="Times New Roman" w:cs="Times New Roman"/>
          <w:lang w:val="uk-UA"/>
        </w:rPr>
        <w:t xml:space="preserve">рівень </w:t>
      </w:r>
      <w:r w:rsidRPr="00FF4D2A">
        <w:rPr>
          <w:rFonts w:ascii="Times New Roman" w:hAnsi="Times New Roman" w:cs="Times New Roman"/>
          <w:lang w:val="uk-UA"/>
        </w:rPr>
        <w:t xml:space="preserve">споживання алкоголю, </w:t>
      </w:r>
      <w:r w:rsidR="004F7575">
        <w:rPr>
          <w:rFonts w:ascii="Times New Roman" w:hAnsi="Times New Roman" w:cs="Times New Roman"/>
          <w:lang w:val="uk-UA"/>
        </w:rPr>
        <w:t xml:space="preserve">та провести консультування щодо скорочення вживання алкоголю для тих пацієнтів, які мають таку проблему. </w:t>
      </w:r>
      <w:r w:rsidR="00866BD9">
        <w:rPr>
          <w:rFonts w:ascii="Times New Roman" w:hAnsi="Times New Roman" w:cs="Times New Roman"/>
          <w:lang w:val="uk-UA"/>
        </w:rPr>
        <w:t>Окрім того, ВГС</w:t>
      </w:r>
      <w:r w:rsidRPr="00FF4D2A">
        <w:rPr>
          <w:rFonts w:ascii="Times New Roman" w:hAnsi="Times New Roman" w:cs="Times New Roman"/>
          <w:lang w:val="uk-UA"/>
        </w:rPr>
        <w:t xml:space="preserve"> може спричиняти розвиток різноманітних позапечінкових проявів, які необхідно враховувати під час ліку</w:t>
      </w:r>
      <w:r w:rsidR="00866BD9">
        <w:rPr>
          <w:rFonts w:ascii="Times New Roman" w:hAnsi="Times New Roman" w:cs="Times New Roman"/>
          <w:lang w:val="uk-UA"/>
        </w:rPr>
        <w:t>вання пацієнтів, інфікованих ВГС</w:t>
      </w:r>
      <w:r w:rsidRPr="00FF4D2A">
        <w:rPr>
          <w:rFonts w:ascii="Times New Roman" w:hAnsi="Times New Roman" w:cs="Times New Roman"/>
          <w:lang w:val="uk-UA"/>
        </w:rPr>
        <w:t>. Таким чином, необхідно провести оцінку наявності можливих супутніх захворювань, зокрема алкоголізму, серцев</w:t>
      </w:r>
      <w:r w:rsidR="00690065">
        <w:rPr>
          <w:rFonts w:ascii="Times New Roman" w:hAnsi="Times New Roman" w:cs="Times New Roman"/>
          <w:lang w:val="uk-UA"/>
        </w:rPr>
        <w:t>о-судинних</w:t>
      </w:r>
      <w:r w:rsidRPr="00FF4D2A">
        <w:rPr>
          <w:rFonts w:ascii="Times New Roman" w:hAnsi="Times New Roman" w:cs="Times New Roman"/>
          <w:lang w:val="uk-UA"/>
        </w:rPr>
        <w:t xml:space="preserve"> захворювань, порушень функції нирок, автоімунних розладів, генетичних або метаболічних захворювань печінки (наприклад, генетично</w:t>
      </w:r>
      <w:r w:rsidR="00FC6D8A">
        <w:rPr>
          <w:rFonts w:ascii="Times New Roman" w:hAnsi="Times New Roman" w:cs="Times New Roman"/>
          <w:lang w:val="uk-UA"/>
        </w:rPr>
        <w:t>–</w:t>
      </w:r>
      <w:r w:rsidRPr="00FF4D2A">
        <w:rPr>
          <w:rFonts w:ascii="Times New Roman" w:hAnsi="Times New Roman" w:cs="Times New Roman"/>
          <w:lang w:val="uk-UA"/>
        </w:rPr>
        <w:t>зумовлений гемохроматоз, цукровий діабет або ожиріння)</w:t>
      </w:r>
      <w:r w:rsidR="00841396">
        <w:rPr>
          <w:rFonts w:ascii="Times New Roman" w:hAnsi="Times New Roman" w:cs="Times New Roman"/>
          <w:lang w:val="uk-UA"/>
        </w:rPr>
        <w:t xml:space="preserve"> </w:t>
      </w:r>
      <w:r w:rsidRPr="00FF4D2A">
        <w:rPr>
          <w:rFonts w:ascii="Times New Roman" w:hAnsi="Times New Roman" w:cs="Times New Roman"/>
          <w:lang w:val="uk-UA"/>
        </w:rPr>
        <w:t>і можливість медикаментозно</w:t>
      </w:r>
      <w:r w:rsidR="00FC6D8A">
        <w:rPr>
          <w:rFonts w:ascii="Times New Roman" w:hAnsi="Times New Roman" w:cs="Times New Roman"/>
          <w:lang w:val="uk-UA"/>
        </w:rPr>
        <w:t>–</w:t>
      </w:r>
      <w:r w:rsidRPr="00FF4D2A">
        <w:rPr>
          <w:rFonts w:ascii="Times New Roman" w:hAnsi="Times New Roman" w:cs="Times New Roman"/>
          <w:lang w:val="uk-UA"/>
        </w:rPr>
        <w:t>індукованої гепатотоксичності.</w:t>
      </w:r>
    </w:p>
    <w:p w14:paraId="7B55C544" w14:textId="77777777" w:rsidR="00FF4D2A" w:rsidRPr="00FF4D2A" w:rsidRDefault="00FF4D2A" w:rsidP="00FF4D2A">
      <w:pPr>
        <w:tabs>
          <w:tab w:val="left" w:pos="1089"/>
        </w:tabs>
        <w:rPr>
          <w:rFonts w:ascii="Times New Roman" w:hAnsi="Times New Roman" w:cs="Times New Roman"/>
          <w:lang w:val="uk-UA"/>
        </w:rPr>
      </w:pPr>
    </w:p>
    <w:p w14:paraId="247DBD69" w14:textId="77777777" w:rsidR="00FF4D2A" w:rsidRPr="00866BD9" w:rsidRDefault="00FF4D2A" w:rsidP="00FF4D2A">
      <w:pPr>
        <w:tabs>
          <w:tab w:val="left" w:pos="1089"/>
        </w:tabs>
        <w:rPr>
          <w:rFonts w:ascii="Times New Roman" w:hAnsi="Times New Roman" w:cs="Times New Roman"/>
          <w:b/>
          <w:lang w:val="uk-UA"/>
        </w:rPr>
      </w:pPr>
      <w:r w:rsidRPr="00866BD9">
        <w:rPr>
          <w:rFonts w:ascii="Times New Roman" w:hAnsi="Times New Roman" w:cs="Times New Roman"/>
          <w:b/>
          <w:color w:val="2E74B5" w:themeColor="accent1" w:themeShade="BF"/>
          <w:lang w:val="uk-UA"/>
        </w:rPr>
        <w:t>Оцінка тяжкості захворювання печінки</w:t>
      </w:r>
    </w:p>
    <w:p w14:paraId="06D83ACB" w14:textId="77777777" w:rsidR="00FF4D2A" w:rsidRPr="00FF4D2A" w:rsidRDefault="00FF4D2A" w:rsidP="00FF4D2A">
      <w:pPr>
        <w:tabs>
          <w:tab w:val="left" w:pos="1089"/>
        </w:tabs>
        <w:rPr>
          <w:rFonts w:ascii="Times New Roman" w:hAnsi="Times New Roman" w:cs="Times New Roman"/>
          <w:lang w:val="uk-UA"/>
        </w:rPr>
      </w:pPr>
    </w:p>
    <w:p w14:paraId="30542276" w14:textId="68D1A79A" w:rsidR="00FF4D2A" w:rsidRPr="00FF4D2A" w:rsidRDefault="00FF4D2A" w:rsidP="00F53078">
      <w:pPr>
        <w:tabs>
          <w:tab w:val="left" w:pos="1089"/>
        </w:tabs>
        <w:jc w:val="both"/>
        <w:rPr>
          <w:rFonts w:ascii="Times New Roman" w:hAnsi="Times New Roman" w:cs="Times New Roman"/>
          <w:lang w:val="uk-UA"/>
        </w:rPr>
      </w:pPr>
      <w:r w:rsidRPr="00FF4D2A">
        <w:rPr>
          <w:rFonts w:ascii="Times New Roman" w:hAnsi="Times New Roman" w:cs="Times New Roman"/>
          <w:lang w:val="uk-UA"/>
        </w:rPr>
        <w:t>До початку лікування необхідно провести оцінку тяжкості захворювання печінки. Особливо важливим є виявлення пацієнтів з цирозом печінки (за шка</w:t>
      </w:r>
      <w:r w:rsidR="0094435B">
        <w:rPr>
          <w:rFonts w:ascii="Times New Roman" w:hAnsi="Times New Roman" w:cs="Times New Roman"/>
          <w:lang w:val="uk-UA"/>
        </w:rPr>
        <w:t>лою METAVIR F4) або розвиненим (</w:t>
      </w:r>
      <w:r w:rsidRPr="00FF4D2A">
        <w:rPr>
          <w:rFonts w:ascii="Times New Roman" w:hAnsi="Times New Roman" w:cs="Times New Roman"/>
          <w:lang w:val="uk-UA"/>
        </w:rPr>
        <w:t>септальним) фіброзом (за шкалою METAVIR F3), оскільки вибір режиму лікування, а також прогноз після проведеного лікування залежить від ст</w:t>
      </w:r>
      <w:r w:rsidR="009C2A77">
        <w:rPr>
          <w:rFonts w:ascii="Times New Roman" w:hAnsi="Times New Roman" w:cs="Times New Roman"/>
          <w:lang w:val="uk-UA"/>
        </w:rPr>
        <w:t>адії</w:t>
      </w:r>
      <w:r w:rsidRPr="00FF4D2A">
        <w:rPr>
          <w:rFonts w:ascii="Times New Roman" w:hAnsi="Times New Roman" w:cs="Times New Roman"/>
          <w:lang w:val="uk-UA"/>
        </w:rPr>
        <w:t xml:space="preserve"> фіброзу. Не потрібно оцінювати </w:t>
      </w:r>
      <w:r w:rsidR="0029510A">
        <w:rPr>
          <w:rFonts w:ascii="Times New Roman" w:hAnsi="Times New Roman" w:cs="Times New Roman"/>
          <w:lang w:val="uk-UA"/>
        </w:rPr>
        <w:t>стадію</w:t>
      </w:r>
      <w:r w:rsidR="0029510A" w:rsidRPr="00FF4D2A">
        <w:rPr>
          <w:rFonts w:ascii="Times New Roman" w:hAnsi="Times New Roman" w:cs="Times New Roman"/>
          <w:lang w:val="uk-UA"/>
        </w:rPr>
        <w:t xml:space="preserve"> </w:t>
      </w:r>
      <w:r w:rsidRPr="00FF4D2A">
        <w:rPr>
          <w:rFonts w:ascii="Times New Roman" w:hAnsi="Times New Roman" w:cs="Times New Roman"/>
          <w:lang w:val="uk-UA"/>
        </w:rPr>
        <w:t>фіброзу у пацієнтів з клінічними ознаками цирозу. У пацієнтів з цирозом слід оцінити прояви портальної гіпертензії, у тому числі варикозного розширення вен стравоходу. Необхідно кожні 6 міс</w:t>
      </w:r>
      <w:r w:rsidR="00690065">
        <w:rPr>
          <w:rFonts w:ascii="Times New Roman" w:hAnsi="Times New Roman" w:cs="Times New Roman"/>
          <w:lang w:val="uk-UA"/>
        </w:rPr>
        <w:t>яців</w:t>
      </w:r>
      <w:r w:rsidRPr="00FF4D2A">
        <w:rPr>
          <w:rFonts w:ascii="Times New Roman" w:hAnsi="Times New Roman" w:cs="Times New Roman"/>
          <w:lang w:val="uk-UA"/>
        </w:rPr>
        <w:t xml:space="preserve"> після завершення лікування обстежувати пацієнтів з </w:t>
      </w:r>
      <w:r w:rsidR="009C2A77">
        <w:rPr>
          <w:rFonts w:ascii="Times New Roman" w:hAnsi="Times New Roman" w:cs="Times New Roman"/>
          <w:lang w:val="uk-UA"/>
        </w:rPr>
        <w:t>вираженим</w:t>
      </w:r>
      <w:r w:rsidRPr="00FF4D2A">
        <w:rPr>
          <w:rFonts w:ascii="Times New Roman" w:hAnsi="Times New Roman" w:cs="Times New Roman"/>
          <w:lang w:val="uk-UA"/>
        </w:rPr>
        <w:t xml:space="preserve"> фіброзом і цирозом печінки </w:t>
      </w:r>
      <w:r w:rsidR="00D628F0">
        <w:rPr>
          <w:rFonts w:ascii="Times New Roman" w:hAnsi="Times New Roman" w:cs="Times New Roman"/>
          <w:lang w:val="uk-UA"/>
        </w:rPr>
        <w:t>щодо</w:t>
      </w:r>
      <w:r w:rsidRPr="00FF4D2A">
        <w:rPr>
          <w:rFonts w:ascii="Times New Roman" w:hAnsi="Times New Roman" w:cs="Times New Roman"/>
          <w:lang w:val="uk-UA"/>
        </w:rPr>
        <w:t xml:space="preserve"> ГЦК. Оскільки </w:t>
      </w:r>
      <w:r w:rsidR="00841396">
        <w:rPr>
          <w:rFonts w:ascii="Times New Roman" w:hAnsi="Times New Roman" w:cs="Times New Roman"/>
          <w:lang w:val="uk-UA"/>
        </w:rPr>
        <w:t>у</w:t>
      </w:r>
      <w:r w:rsidRPr="00FF4D2A">
        <w:rPr>
          <w:rFonts w:ascii="Times New Roman" w:hAnsi="Times New Roman" w:cs="Times New Roman"/>
          <w:lang w:val="uk-UA"/>
        </w:rPr>
        <w:t xml:space="preserve"> пацієнтів </w:t>
      </w:r>
      <w:r w:rsidR="0029510A">
        <w:rPr>
          <w:rFonts w:ascii="Times New Roman" w:hAnsi="Times New Roman" w:cs="Times New Roman"/>
          <w:lang w:val="uk-UA"/>
        </w:rPr>
        <w:t>із вираженим</w:t>
      </w:r>
      <w:r w:rsidRPr="00FF4D2A">
        <w:rPr>
          <w:rFonts w:ascii="Times New Roman" w:hAnsi="Times New Roman" w:cs="Times New Roman"/>
          <w:lang w:val="uk-UA"/>
        </w:rPr>
        <w:t xml:space="preserve"> фіброзом рівень АЛТ може бути в межах норми при кількаразовому визначенні рівня трансфераз, необхідно проводити оцінку тяжкості захворювання незалежно від рівня AЛТ.</w:t>
      </w:r>
    </w:p>
    <w:p w14:paraId="26BAE2DC" w14:textId="77777777" w:rsidR="00FF4D2A" w:rsidRPr="00FF4D2A" w:rsidRDefault="00FF4D2A" w:rsidP="00F53078">
      <w:pPr>
        <w:tabs>
          <w:tab w:val="left" w:pos="1089"/>
        </w:tabs>
        <w:jc w:val="both"/>
        <w:rPr>
          <w:rFonts w:ascii="Times New Roman" w:hAnsi="Times New Roman" w:cs="Times New Roman"/>
          <w:lang w:val="uk-UA"/>
        </w:rPr>
      </w:pPr>
    </w:p>
    <w:p w14:paraId="6A9DCB2A" w14:textId="7C3E7251" w:rsidR="00FF4D2A" w:rsidRPr="00FF4D2A" w:rsidRDefault="00FF4D2A" w:rsidP="00F53078">
      <w:pPr>
        <w:tabs>
          <w:tab w:val="left" w:pos="1089"/>
        </w:tabs>
        <w:jc w:val="both"/>
        <w:rPr>
          <w:rFonts w:ascii="Times New Roman" w:hAnsi="Times New Roman" w:cs="Times New Roman"/>
          <w:lang w:val="uk-UA"/>
        </w:rPr>
      </w:pPr>
      <w:r w:rsidRPr="00FF4D2A">
        <w:rPr>
          <w:rFonts w:ascii="Times New Roman" w:hAnsi="Times New Roman" w:cs="Times New Roman"/>
          <w:lang w:val="uk-UA"/>
        </w:rPr>
        <w:t>При хронічному гепатиті С для оцінки тяжкості захворювання печінки до початку лікування слід застосовувати неінвазивні</w:t>
      </w:r>
      <w:r w:rsidR="00866BD9">
        <w:rPr>
          <w:rFonts w:ascii="Times New Roman" w:hAnsi="Times New Roman" w:cs="Times New Roman"/>
          <w:lang w:val="uk-UA"/>
        </w:rPr>
        <w:t xml:space="preserve"> методи діагностики замість біо</w:t>
      </w:r>
      <w:r w:rsidRPr="00FF4D2A">
        <w:rPr>
          <w:rFonts w:ascii="Times New Roman" w:hAnsi="Times New Roman" w:cs="Times New Roman"/>
          <w:lang w:val="uk-UA"/>
        </w:rPr>
        <w:t xml:space="preserve">псії печінки. Визначення щільності печінки можна використовувати для оцінки фіброзу та наявності портальної гіпертензії у пацієнтів з хронічним гепатитом С. Слід враховувати фактори, які можуть негативно впливати на проведення обстеження, такі як, наприклад, ожиріння, високий рівень АЛТ </w:t>
      </w:r>
      <w:r w:rsidR="00841396">
        <w:rPr>
          <w:rFonts w:ascii="Times New Roman" w:hAnsi="Times New Roman" w:cs="Times New Roman"/>
          <w:lang w:val="uk-UA"/>
        </w:rPr>
        <w:t xml:space="preserve">тощо. </w:t>
      </w:r>
      <w:r w:rsidRPr="00FF4D2A">
        <w:rPr>
          <w:rFonts w:ascii="Times New Roman" w:hAnsi="Times New Roman" w:cs="Times New Roman"/>
          <w:lang w:val="uk-UA"/>
        </w:rPr>
        <w:t>Також можна використовувати добре вивчені біомаркери фіброзу. Як визначення щільності печінки, так і біомаркери успішно використовують для встановлення цирозу або відсутності фіброзу, але вони менш точні при визначенні</w:t>
      </w:r>
      <w:r w:rsidR="00866BD9">
        <w:rPr>
          <w:rFonts w:ascii="Times New Roman" w:hAnsi="Times New Roman" w:cs="Times New Roman"/>
          <w:lang w:val="uk-UA"/>
        </w:rPr>
        <w:t xml:space="preserve"> проміжних </w:t>
      </w:r>
      <w:r w:rsidR="009C2A77">
        <w:rPr>
          <w:rFonts w:ascii="Times New Roman" w:hAnsi="Times New Roman" w:cs="Times New Roman"/>
          <w:lang w:val="uk-UA"/>
        </w:rPr>
        <w:t>стадій</w:t>
      </w:r>
      <w:r w:rsidR="00866BD9">
        <w:rPr>
          <w:rFonts w:ascii="Times New Roman" w:hAnsi="Times New Roman" w:cs="Times New Roman"/>
          <w:lang w:val="uk-UA"/>
        </w:rPr>
        <w:t xml:space="preserve"> фіброзу </w:t>
      </w:r>
      <w:r w:rsidR="00866BD9" w:rsidRPr="00866BD9">
        <w:rPr>
          <w:rFonts w:ascii="Times New Roman" w:hAnsi="Times New Roman" w:cs="Times New Roman"/>
          <w:b/>
          <w:vertAlign w:val="superscript"/>
          <w:lang w:val="uk-UA"/>
        </w:rPr>
        <w:t>41</w:t>
      </w:r>
      <w:r w:rsidRPr="00866BD9">
        <w:rPr>
          <w:rFonts w:ascii="Times New Roman" w:hAnsi="Times New Roman" w:cs="Times New Roman"/>
          <w:b/>
          <w:vertAlign w:val="superscript"/>
          <w:lang w:val="uk-UA"/>
        </w:rPr>
        <w:t xml:space="preserve">. </w:t>
      </w:r>
      <w:r w:rsidRPr="00FF4D2A">
        <w:rPr>
          <w:rFonts w:ascii="Times New Roman" w:hAnsi="Times New Roman" w:cs="Times New Roman"/>
          <w:lang w:val="uk-UA"/>
        </w:rPr>
        <w:t>Показники неінвазивних маркерів</w:t>
      </w:r>
      <w:r w:rsidR="00841396">
        <w:rPr>
          <w:rFonts w:ascii="Times New Roman" w:hAnsi="Times New Roman" w:cs="Times New Roman"/>
          <w:lang w:val="uk-UA"/>
        </w:rPr>
        <w:t xml:space="preserve"> на</w:t>
      </w:r>
      <w:r w:rsidRPr="00FF4D2A">
        <w:rPr>
          <w:rFonts w:ascii="Times New Roman" w:hAnsi="Times New Roman" w:cs="Times New Roman"/>
          <w:lang w:val="uk-UA"/>
        </w:rPr>
        <w:t xml:space="preserve"> основі яких встановлюють </w:t>
      </w:r>
      <w:r w:rsidR="009C2A77">
        <w:rPr>
          <w:rFonts w:ascii="Times New Roman" w:hAnsi="Times New Roman" w:cs="Times New Roman"/>
          <w:lang w:val="uk-UA"/>
        </w:rPr>
        <w:t>стадії</w:t>
      </w:r>
      <w:r w:rsidRPr="00FF4D2A">
        <w:rPr>
          <w:rFonts w:ascii="Times New Roman" w:hAnsi="Times New Roman" w:cs="Times New Roman"/>
          <w:lang w:val="uk-UA"/>
        </w:rPr>
        <w:t xml:space="preserve"> фіброзу </w:t>
      </w:r>
      <w:r w:rsidR="00690065">
        <w:rPr>
          <w:rFonts w:ascii="Times New Roman" w:hAnsi="Times New Roman" w:cs="Times New Roman"/>
          <w:lang w:val="uk-UA"/>
        </w:rPr>
        <w:t>у</w:t>
      </w:r>
      <w:r w:rsidRPr="00FF4D2A">
        <w:rPr>
          <w:rFonts w:ascii="Times New Roman" w:hAnsi="Times New Roman" w:cs="Times New Roman"/>
          <w:lang w:val="uk-UA"/>
        </w:rPr>
        <w:t xml:space="preserve"> пацієнтів з хронічним гепатитом С до початку лікування</w:t>
      </w:r>
      <w:r w:rsidR="00866BD9">
        <w:rPr>
          <w:rFonts w:ascii="Times New Roman" w:hAnsi="Times New Roman" w:cs="Times New Roman"/>
          <w:lang w:val="uk-UA"/>
        </w:rPr>
        <w:t xml:space="preserve">, продемонстровано в таблиці 2 </w:t>
      </w:r>
      <w:r w:rsidR="00866BD9" w:rsidRPr="00866BD9">
        <w:rPr>
          <w:rFonts w:ascii="Times New Roman" w:hAnsi="Times New Roman" w:cs="Times New Roman"/>
          <w:b/>
          <w:vertAlign w:val="superscript"/>
          <w:lang w:val="uk-UA"/>
        </w:rPr>
        <w:t>42–47</w:t>
      </w:r>
      <w:r w:rsidRPr="00FF4D2A">
        <w:rPr>
          <w:rFonts w:ascii="Times New Roman" w:hAnsi="Times New Roman" w:cs="Times New Roman"/>
          <w:lang w:val="uk-UA"/>
        </w:rPr>
        <w:t>.</w:t>
      </w:r>
    </w:p>
    <w:p w14:paraId="428801C5" w14:textId="77777777" w:rsidR="00FF4D2A" w:rsidRPr="00690065" w:rsidRDefault="00FF4D2A" w:rsidP="00F53078">
      <w:pPr>
        <w:tabs>
          <w:tab w:val="left" w:pos="1089"/>
        </w:tabs>
        <w:jc w:val="both"/>
        <w:rPr>
          <w:rFonts w:ascii="Times New Roman" w:hAnsi="Times New Roman" w:cs="Times New Roman"/>
        </w:rPr>
      </w:pPr>
    </w:p>
    <w:p w14:paraId="7588DAA2" w14:textId="2B5BFDA6" w:rsidR="00FF4D2A" w:rsidRPr="00FF4D2A" w:rsidRDefault="00FF4D2A" w:rsidP="00F53078">
      <w:pPr>
        <w:tabs>
          <w:tab w:val="left" w:pos="1089"/>
        </w:tabs>
        <w:jc w:val="both"/>
        <w:rPr>
          <w:rFonts w:ascii="Times New Roman" w:hAnsi="Times New Roman" w:cs="Times New Roman"/>
          <w:lang w:val="uk-UA"/>
        </w:rPr>
      </w:pPr>
      <w:r w:rsidRPr="00FF4D2A">
        <w:rPr>
          <w:rFonts w:ascii="Times New Roman" w:hAnsi="Times New Roman" w:cs="Times New Roman"/>
          <w:lang w:val="uk-UA"/>
        </w:rPr>
        <w:lastRenderedPageBreak/>
        <w:t xml:space="preserve">У країнах з низьким і середнім рівнем доходу, а також у місцях, де лікування проводиться поза межами спеціалізованих клінік, </w:t>
      </w:r>
      <w:r w:rsidR="00707E43">
        <w:rPr>
          <w:rFonts w:ascii="Times New Roman" w:hAnsi="Times New Roman" w:cs="Times New Roman"/>
          <w:lang w:val="uk-UA"/>
        </w:rPr>
        <w:t>т</w:t>
      </w:r>
      <w:r w:rsidRPr="00FF4D2A">
        <w:rPr>
          <w:rFonts w:ascii="Times New Roman" w:hAnsi="Times New Roman" w:cs="Times New Roman"/>
          <w:lang w:val="uk-UA"/>
        </w:rPr>
        <w:t xml:space="preserve">ести для визначення індексу співвідношення рівня аспартатамінотрансферази </w:t>
      </w:r>
      <w:r w:rsidR="00791C56" w:rsidRPr="00707E43">
        <w:rPr>
          <w:rFonts w:ascii="Times New Roman" w:hAnsi="Times New Roman" w:cs="Times New Roman"/>
        </w:rPr>
        <w:t>(</w:t>
      </w:r>
      <w:r w:rsidR="00791C56">
        <w:rPr>
          <w:rFonts w:ascii="Times New Roman" w:hAnsi="Times New Roman" w:cs="Times New Roman"/>
          <w:lang w:val="uk-UA"/>
        </w:rPr>
        <w:t>далі – АСТ</w:t>
      </w:r>
      <w:r w:rsidR="00791C56" w:rsidRPr="00707E43">
        <w:rPr>
          <w:rFonts w:ascii="Times New Roman" w:hAnsi="Times New Roman" w:cs="Times New Roman"/>
        </w:rPr>
        <w:t>)</w:t>
      </w:r>
      <w:r w:rsidR="00791C56">
        <w:rPr>
          <w:rFonts w:ascii="Times New Roman" w:hAnsi="Times New Roman" w:cs="Times New Roman"/>
          <w:lang w:val="uk-UA"/>
        </w:rPr>
        <w:t xml:space="preserve"> </w:t>
      </w:r>
      <w:r w:rsidRPr="00FF4D2A">
        <w:rPr>
          <w:rFonts w:ascii="Times New Roman" w:hAnsi="Times New Roman" w:cs="Times New Roman"/>
          <w:lang w:val="uk-UA"/>
        </w:rPr>
        <w:t>до тромбоцитів (APRI) та фіброзу</w:t>
      </w:r>
      <w:r w:rsidR="00707E43">
        <w:rPr>
          <w:rFonts w:ascii="Times New Roman" w:hAnsi="Times New Roman" w:cs="Times New Roman"/>
          <w:lang w:val="uk-UA"/>
        </w:rPr>
        <w:t xml:space="preserve"> </w:t>
      </w:r>
      <w:r w:rsidRPr="00FF4D2A">
        <w:rPr>
          <w:rFonts w:ascii="Times New Roman" w:hAnsi="Times New Roman" w:cs="Times New Roman"/>
          <w:lang w:val="uk-UA"/>
        </w:rPr>
        <w:t>(FIB</w:t>
      </w:r>
      <w:r w:rsidR="00FC6D8A">
        <w:rPr>
          <w:rFonts w:ascii="Times New Roman" w:hAnsi="Times New Roman" w:cs="Times New Roman"/>
          <w:lang w:val="uk-UA"/>
        </w:rPr>
        <w:t>–</w:t>
      </w:r>
      <w:r w:rsidRPr="00FF4D2A">
        <w:rPr>
          <w:rFonts w:ascii="Times New Roman" w:hAnsi="Times New Roman" w:cs="Times New Roman"/>
          <w:lang w:val="uk-UA"/>
        </w:rPr>
        <w:t xml:space="preserve">4), як правило, доступні, прості у виконанні та дешеві, а отримані з їх допомогою дані достатньо достовірні. </w:t>
      </w:r>
      <w:r w:rsidR="00707E43">
        <w:rPr>
          <w:rFonts w:ascii="Times New Roman" w:hAnsi="Times New Roman" w:cs="Times New Roman"/>
          <w:lang w:val="uk-UA"/>
        </w:rPr>
        <w:t>Н</w:t>
      </w:r>
      <w:r w:rsidRPr="00FF4D2A">
        <w:rPr>
          <w:rFonts w:ascii="Times New Roman" w:hAnsi="Times New Roman" w:cs="Times New Roman"/>
          <w:lang w:val="uk-UA"/>
        </w:rPr>
        <w:t xml:space="preserve">еінвазивні методики не слід використовувати для визначення </w:t>
      </w:r>
      <w:r w:rsidR="0029510A">
        <w:rPr>
          <w:rFonts w:ascii="Times New Roman" w:hAnsi="Times New Roman" w:cs="Times New Roman"/>
          <w:lang w:val="uk-UA"/>
        </w:rPr>
        <w:t>стадії</w:t>
      </w:r>
      <w:r w:rsidR="0029510A" w:rsidRPr="00FF4D2A">
        <w:rPr>
          <w:rFonts w:ascii="Times New Roman" w:hAnsi="Times New Roman" w:cs="Times New Roman"/>
          <w:lang w:val="uk-UA"/>
        </w:rPr>
        <w:t xml:space="preserve"> </w:t>
      </w:r>
      <w:r w:rsidRPr="00FF4D2A">
        <w:rPr>
          <w:rFonts w:ascii="Times New Roman" w:hAnsi="Times New Roman" w:cs="Times New Roman"/>
          <w:lang w:val="uk-UA"/>
        </w:rPr>
        <w:t>фіброзу після проведення лікування, оскільки вони недостовірні на даному етапі.</w:t>
      </w:r>
    </w:p>
    <w:p w14:paraId="1E386906" w14:textId="77777777" w:rsidR="00FF4D2A" w:rsidRPr="00FF4D2A" w:rsidRDefault="00FF4D2A" w:rsidP="00F53078">
      <w:pPr>
        <w:tabs>
          <w:tab w:val="left" w:pos="1089"/>
        </w:tabs>
        <w:jc w:val="both"/>
        <w:rPr>
          <w:rFonts w:ascii="Times New Roman" w:hAnsi="Times New Roman" w:cs="Times New Roman"/>
          <w:lang w:val="uk-UA"/>
        </w:rPr>
      </w:pPr>
    </w:p>
    <w:p w14:paraId="7521BB81" w14:textId="72A320A0" w:rsidR="00FF4D2A" w:rsidRPr="00FF4D2A" w:rsidRDefault="00FF4D2A" w:rsidP="00F53078">
      <w:pPr>
        <w:tabs>
          <w:tab w:val="left" w:pos="1089"/>
        </w:tabs>
        <w:jc w:val="both"/>
        <w:rPr>
          <w:rFonts w:ascii="Times New Roman" w:hAnsi="Times New Roman" w:cs="Times New Roman"/>
          <w:lang w:val="uk-UA"/>
        </w:rPr>
      </w:pPr>
      <w:r w:rsidRPr="00FF4D2A">
        <w:rPr>
          <w:rFonts w:ascii="Times New Roman" w:hAnsi="Times New Roman" w:cs="Times New Roman"/>
          <w:lang w:val="uk-UA"/>
        </w:rPr>
        <w:t xml:space="preserve">Комбінація біомаркерів крові або комбінація вимірювання щільності печінки та аналізів крові </w:t>
      </w:r>
      <w:r w:rsidR="00866BD9">
        <w:rPr>
          <w:rFonts w:ascii="Times New Roman" w:hAnsi="Times New Roman" w:cs="Times New Roman"/>
          <w:lang w:val="uk-UA"/>
        </w:rPr>
        <w:t xml:space="preserve">підвищують точність обстеження </w:t>
      </w:r>
      <w:r w:rsidR="00866BD9" w:rsidRPr="00866BD9">
        <w:rPr>
          <w:rFonts w:ascii="Times New Roman" w:hAnsi="Times New Roman" w:cs="Times New Roman"/>
          <w:b/>
          <w:vertAlign w:val="superscript"/>
          <w:lang w:val="uk-UA"/>
        </w:rPr>
        <w:t>48, 49</w:t>
      </w:r>
      <w:r w:rsidRPr="00866BD9">
        <w:rPr>
          <w:rFonts w:ascii="Times New Roman" w:hAnsi="Times New Roman" w:cs="Times New Roman"/>
          <w:b/>
          <w:vertAlign w:val="superscript"/>
          <w:lang w:val="uk-UA"/>
        </w:rPr>
        <w:t>.</w:t>
      </w:r>
      <w:r w:rsidRPr="00FF4D2A">
        <w:rPr>
          <w:rFonts w:ascii="Times New Roman" w:hAnsi="Times New Roman" w:cs="Times New Roman"/>
          <w:lang w:val="uk-UA"/>
        </w:rPr>
        <w:t xml:space="preserve"> Біопсія печінки може знадобитися у випадках, коли відомо або існує підозра, що захворювання має змішану етіологію (наприклад, метаболічний синдром, алкоголізм або автоімунна патологія).</w:t>
      </w:r>
    </w:p>
    <w:p w14:paraId="3F589FCB" w14:textId="2F7346CA" w:rsidR="00B15DC3" w:rsidRDefault="00B15DC3" w:rsidP="00B15DC3">
      <w:pPr>
        <w:tabs>
          <w:tab w:val="left" w:pos="1005"/>
        </w:tabs>
        <w:rPr>
          <w:rFonts w:ascii="Times New Roman" w:hAnsi="Times New Roman" w:cs="Times New Roman"/>
          <w:lang w:val="uk-UA"/>
        </w:rPr>
      </w:pPr>
      <w:r>
        <w:rPr>
          <w:rFonts w:ascii="Times New Roman" w:hAnsi="Times New Roman" w:cs="Times New Roman"/>
          <w:lang w:val="uk-UA"/>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6"/>
      </w:tblGrid>
      <w:tr w:rsidR="00B15DC3" w14:paraId="781D8BC0" w14:textId="77777777" w:rsidTr="003F121A">
        <w:tc>
          <w:tcPr>
            <w:tcW w:w="9906" w:type="dxa"/>
            <w:shd w:val="clear" w:color="auto" w:fill="DEEAF6" w:themeFill="accent1" w:themeFillTint="33"/>
          </w:tcPr>
          <w:p w14:paraId="1A040828" w14:textId="77777777" w:rsidR="00B15DC3" w:rsidRPr="00B15DC3" w:rsidRDefault="00B15DC3" w:rsidP="00B15DC3">
            <w:pPr>
              <w:tabs>
                <w:tab w:val="left" w:pos="1005"/>
              </w:tabs>
              <w:rPr>
                <w:rFonts w:ascii="Times New Roman" w:hAnsi="Times New Roman" w:cs="Times New Roman"/>
                <w:b/>
                <w:lang w:val="uk-UA"/>
              </w:rPr>
            </w:pPr>
            <w:r w:rsidRPr="00B15DC3">
              <w:rPr>
                <w:rFonts w:ascii="Times New Roman" w:hAnsi="Times New Roman" w:cs="Times New Roman"/>
                <w:b/>
                <w:lang w:val="uk-UA"/>
              </w:rPr>
              <w:t>Рекомендації</w:t>
            </w:r>
          </w:p>
          <w:p w14:paraId="27B9A5D9" w14:textId="77777777" w:rsidR="00B15DC3" w:rsidRPr="00B15DC3" w:rsidRDefault="00B15DC3" w:rsidP="00B15DC3">
            <w:pPr>
              <w:tabs>
                <w:tab w:val="left" w:pos="1005"/>
              </w:tabs>
              <w:rPr>
                <w:rFonts w:ascii="Times New Roman" w:hAnsi="Times New Roman" w:cs="Times New Roman"/>
                <w:lang w:val="uk-UA"/>
              </w:rPr>
            </w:pPr>
          </w:p>
          <w:p w14:paraId="181C3BF8" w14:textId="3C9BCCAB" w:rsidR="00B15DC3" w:rsidRPr="00841396" w:rsidRDefault="00B15DC3" w:rsidP="00841396">
            <w:pPr>
              <w:pStyle w:val="a9"/>
              <w:numPr>
                <w:ilvl w:val="0"/>
                <w:numId w:val="64"/>
              </w:numPr>
              <w:tabs>
                <w:tab w:val="left" w:pos="1005"/>
              </w:tabs>
              <w:jc w:val="both"/>
              <w:rPr>
                <w:rFonts w:ascii="Times New Roman" w:hAnsi="Times New Roman" w:cs="Times New Roman"/>
                <w:lang w:val="uk-UA"/>
              </w:rPr>
            </w:pPr>
            <w:r w:rsidRPr="00841396">
              <w:rPr>
                <w:rFonts w:ascii="Times New Roman" w:hAnsi="Times New Roman" w:cs="Times New Roman"/>
                <w:lang w:val="uk-UA"/>
              </w:rPr>
              <w:t xml:space="preserve">Необхідно оцінити вплив коморбідних </w:t>
            </w:r>
            <w:r w:rsidR="00C475EE" w:rsidRPr="00841396">
              <w:rPr>
                <w:rFonts w:ascii="Times New Roman" w:hAnsi="Times New Roman" w:cs="Times New Roman"/>
                <w:lang w:val="uk-UA"/>
              </w:rPr>
              <w:t xml:space="preserve">станів </w:t>
            </w:r>
            <w:r w:rsidRPr="00841396">
              <w:rPr>
                <w:rFonts w:ascii="Times New Roman" w:hAnsi="Times New Roman" w:cs="Times New Roman"/>
                <w:lang w:val="uk-UA"/>
              </w:rPr>
              <w:t xml:space="preserve">на перебіг захворювання печінки, а також запровадити відповідні коригувальні заходи </w:t>
            </w:r>
            <w:r w:rsidRPr="00841396">
              <w:rPr>
                <w:rFonts w:ascii="Times New Roman" w:hAnsi="Times New Roman" w:cs="Times New Roman"/>
                <w:b/>
                <w:lang w:val="uk-UA"/>
              </w:rPr>
              <w:t>(А1).</w:t>
            </w:r>
          </w:p>
          <w:p w14:paraId="0E354D2C" w14:textId="090E3A69" w:rsidR="00B15DC3" w:rsidRPr="00841396" w:rsidRDefault="00B15DC3" w:rsidP="001C6944">
            <w:pPr>
              <w:pStyle w:val="a9"/>
              <w:numPr>
                <w:ilvl w:val="0"/>
                <w:numId w:val="64"/>
              </w:numPr>
              <w:tabs>
                <w:tab w:val="left" w:pos="1005"/>
              </w:tabs>
              <w:jc w:val="both"/>
              <w:rPr>
                <w:rFonts w:ascii="Times New Roman" w:hAnsi="Times New Roman" w:cs="Times New Roman"/>
                <w:lang w:val="uk-UA"/>
              </w:rPr>
            </w:pPr>
            <w:r w:rsidRPr="00841396">
              <w:rPr>
                <w:rFonts w:ascii="Times New Roman" w:hAnsi="Times New Roman" w:cs="Times New Roman"/>
                <w:lang w:val="uk-UA"/>
              </w:rPr>
              <w:t xml:space="preserve">Тяжкість захворювання печінки необхідно оцінити до початку лікування </w:t>
            </w:r>
            <w:r w:rsidRPr="00841396">
              <w:rPr>
                <w:rFonts w:ascii="Times New Roman" w:hAnsi="Times New Roman" w:cs="Times New Roman"/>
                <w:b/>
                <w:lang w:val="uk-UA"/>
              </w:rPr>
              <w:t>(A1).</w:t>
            </w:r>
          </w:p>
          <w:p w14:paraId="2DDE4DAD" w14:textId="3973B58B" w:rsidR="00B15DC3" w:rsidRPr="00841396" w:rsidRDefault="00B15DC3" w:rsidP="001C6944">
            <w:pPr>
              <w:pStyle w:val="a9"/>
              <w:numPr>
                <w:ilvl w:val="0"/>
                <w:numId w:val="64"/>
              </w:numPr>
              <w:tabs>
                <w:tab w:val="left" w:pos="1005"/>
              </w:tabs>
              <w:jc w:val="both"/>
              <w:rPr>
                <w:rFonts w:ascii="Times New Roman" w:hAnsi="Times New Roman" w:cs="Times New Roman"/>
                <w:lang w:val="uk-UA"/>
              </w:rPr>
            </w:pPr>
            <w:r w:rsidRPr="00841396">
              <w:rPr>
                <w:rFonts w:ascii="Times New Roman" w:hAnsi="Times New Roman" w:cs="Times New Roman"/>
                <w:lang w:val="uk-UA"/>
              </w:rPr>
              <w:t xml:space="preserve">Слід виявляти пацієнтів з цирозом печінки, оскільки необхідно коригувати їх режим лікування і обов’язково продовжувати спостереження за ними після завершення лікування </w:t>
            </w:r>
            <w:r w:rsidR="00D628F0">
              <w:rPr>
                <w:rFonts w:ascii="Times New Roman" w:hAnsi="Times New Roman" w:cs="Times New Roman"/>
                <w:lang w:val="uk-UA"/>
              </w:rPr>
              <w:t>щодо</w:t>
            </w:r>
            <w:r w:rsidRPr="00841396">
              <w:rPr>
                <w:rFonts w:ascii="Times New Roman" w:hAnsi="Times New Roman" w:cs="Times New Roman"/>
                <w:lang w:val="uk-UA"/>
              </w:rPr>
              <w:t xml:space="preserve"> ГЦК </w:t>
            </w:r>
            <w:r w:rsidRPr="00841396">
              <w:rPr>
                <w:rFonts w:ascii="Times New Roman" w:hAnsi="Times New Roman" w:cs="Times New Roman"/>
                <w:b/>
                <w:lang w:val="uk-UA"/>
              </w:rPr>
              <w:t>(A1).</w:t>
            </w:r>
          </w:p>
          <w:p w14:paraId="4456C4A2" w14:textId="2613D129" w:rsidR="00B15DC3" w:rsidRPr="00841396" w:rsidRDefault="00B15DC3" w:rsidP="001C6944">
            <w:pPr>
              <w:pStyle w:val="a9"/>
              <w:numPr>
                <w:ilvl w:val="0"/>
                <w:numId w:val="64"/>
              </w:numPr>
              <w:tabs>
                <w:tab w:val="left" w:pos="1005"/>
              </w:tabs>
              <w:jc w:val="both"/>
              <w:rPr>
                <w:rFonts w:ascii="Times New Roman" w:hAnsi="Times New Roman" w:cs="Times New Roman"/>
                <w:lang w:val="uk-UA"/>
              </w:rPr>
            </w:pPr>
            <w:r w:rsidRPr="00841396">
              <w:rPr>
                <w:rFonts w:ascii="Times New Roman" w:hAnsi="Times New Roman" w:cs="Times New Roman"/>
                <w:lang w:val="uk-UA"/>
              </w:rPr>
              <w:t xml:space="preserve">Після завершення лікування також потрібно проводити спостереження за пацієнтами з </w:t>
            </w:r>
            <w:r w:rsidR="0029510A">
              <w:rPr>
                <w:rFonts w:ascii="Times New Roman" w:hAnsi="Times New Roman" w:cs="Times New Roman"/>
                <w:lang w:val="uk-UA"/>
              </w:rPr>
              <w:t>вираженим</w:t>
            </w:r>
            <w:r w:rsidR="0029510A" w:rsidRPr="00841396">
              <w:rPr>
                <w:rFonts w:ascii="Times New Roman" w:hAnsi="Times New Roman" w:cs="Times New Roman"/>
                <w:lang w:val="uk-UA"/>
              </w:rPr>
              <w:t xml:space="preserve"> </w:t>
            </w:r>
            <w:r w:rsidRPr="00841396">
              <w:rPr>
                <w:rFonts w:ascii="Times New Roman" w:hAnsi="Times New Roman" w:cs="Times New Roman"/>
                <w:lang w:val="uk-UA"/>
              </w:rPr>
              <w:t xml:space="preserve">фіброзом (за шкалою METAVIR F3) </w:t>
            </w:r>
            <w:r w:rsidR="00D628F0">
              <w:rPr>
                <w:rFonts w:ascii="Times New Roman" w:hAnsi="Times New Roman" w:cs="Times New Roman"/>
                <w:lang w:val="uk-UA"/>
              </w:rPr>
              <w:t>щодо</w:t>
            </w:r>
            <w:r w:rsidRPr="00841396">
              <w:rPr>
                <w:rFonts w:ascii="Times New Roman" w:hAnsi="Times New Roman" w:cs="Times New Roman"/>
                <w:lang w:val="uk-UA"/>
              </w:rPr>
              <w:t xml:space="preserve"> ГЦК </w:t>
            </w:r>
            <w:r w:rsidRPr="00841396">
              <w:rPr>
                <w:rFonts w:ascii="Times New Roman" w:hAnsi="Times New Roman" w:cs="Times New Roman"/>
                <w:b/>
                <w:lang w:val="uk-UA"/>
              </w:rPr>
              <w:t>(B1).</w:t>
            </w:r>
          </w:p>
          <w:p w14:paraId="4FC24C13" w14:textId="634C0289" w:rsidR="00B15DC3" w:rsidRPr="00841396" w:rsidRDefault="00B15DC3" w:rsidP="001C6944">
            <w:pPr>
              <w:pStyle w:val="a9"/>
              <w:numPr>
                <w:ilvl w:val="0"/>
                <w:numId w:val="64"/>
              </w:numPr>
              <w:tabs>
                <w:tab w:val="left" w:pos="1005"/>
              </w:tabs>
              <w:jc w:val="both"/>
              <w:rPr>
                <w:rFonts w:ascii="Times New Roman" w:hAnsi="Times New Roman" w:cs="Times New Roman"/>
                <w:lang w:val="uk-UA"/>
              </w:rPr>
            </w:pPr>
            <w:r w:rsidRPr="00841396">
              <w:rPr>
                <w:rFonts w:ascii="Times New Roman" w:hAnsi="Times New Roman" w:cs="Times New Roman"/>
                <w:lang w:val="uk-UA"/>
              </w:rPr>
              <w:t xml:space="preserve">Попередньо необхідно оцінити ступінь фіброзу печінки за допомогою неінвазивних методів, біопсія печінки проводиться у </w:t>
            </w:r>
            <w:r w:rsidR="00C475EE" w:rsidRPr="00841396">
              <w:rPr>
                <w:rFonts w:ascii="Times New Roman" w:hAnsi="Times New Roman" w:cs="Times New Roman"/>
                <w:lang w:val="uk-UA"/>
              </w:rPr>
              <w:t>окремих</w:t>
            </w:r>
            <w:r w:rsidRPr="00841396">
              <w:rPr>
                <w:rFonts w:ascii="Times New Roman" w:hAnsi="Times New Roman" w:cs="Times New Roman"/>
                <w:lang w:val="uk-UA"/>
              </w:rPr>
              <w:t xml:space="preserve"> випадках або тоді, коли можливі додаткові етіологічні фактори </w:t>
            </w:r>
            <w:r w:rsidRPr="00841396">
              <w:rPr>
                <w:rFonts w:ascii="Times New Roman" w:hAnsi="Times New Roman" w:cs="Times New Roman"/>
                <w:b/>
                <w:lang w:val="uk-UA"/>
              </w:rPr>
              <w:t>(A1).</w:t>
            </w:r>
          </w:p>
          <w:p w14:paraId="6BED4AD8" w14:textId="252F537C" w:rsidR="00B15DC3" w:rsidRPr="00841396" w:rsidRDefault="00B15DC3" w:rsidP="001C6944">
            <w:pPr>
              <w:pStyle w:val="a9"/>
              <w:numPr>
                <w:ilvl w:val="0"/>
                <w:numId w:val="64"/>
              </w:numPr>
              <w:tabs>
                <w:tab w:val="left" w:pos="1005"/>
              </w:tabs>
              <w:jc w:val="both"/>
              <w:rPr>
                <w:rFonts w:ascii="Times New Roman" w:hAnsi="Times New Roman" w:cs="Times New Roman"/>
                <w:lang w:val="uk-UA"/>
              </w:rPr>
            </w:pPr>
            <w:r w:rsidRPr="00841396">
              <w:rPr>
                <w:rFonts w:ascii="Times New Roman" w:hAnsi="Times New Roman" w:cs="Times New Roman"/>
                <w:lang w:val="uk-UA"/>
              </w:rPr>
              <w:t xml:space="preserve">Необхідно оцінити функцію нирок (креатинін/швидкість клубочкової фільтрації </w:t>
            </w:r>
            <w:r w:rsidR="00D628F0">
              <w:rPr>
                <w:rFonts w:ascii="Times New Roman" w:hAnsi="Times New Roman" w:cs="Times New Roman"/>
                <w:lang w:val="uk-UA"/>
              </w:rPr>
              <w:t xml:space="preserve">(далі – </w:t>
            </w:r>
            <w:r w:rsidRPr="00841396">
              <w:rPr>
                <w:rFonts w:ascii="Times New Roman" w:hAnsi="Times New Roman" w:cs="Times New Roman"/>
                <w:lang w:val="uk-UA"/>
              </w:rPr>
              <w:t xml:space="preserve">ШКФ) </w:t>
            </w:r>
            <w:r w:rsidRPr="00841396">
              <w:rPr>
                <w:rFonts w:ascii="Times New Roman" w:hAnsi="Times New Roman" w:cs="Times New Roman"/>
                <w:b/>
                <w:lang w:val="uk-UA"/>
              </w:rPr>
              <w:t>(A1).</w:t>
            </w:r>
          </w:p>
          <w:p w14:paraId="095D276D" w14:textId="33C041E5" w:rsidR="00B15DC3" w:rsidRPr="00841396" w:rsidRDefault="00B15DC3" w:rsidP="001C6944">
            <w:pPr>
              <w:pStyle w:val="a9"/>
              <w:numPr>
                <w:ilvl w:val="0"/>
                <w:numId w:val="64"/>
              </w:numPr>
              <w:tabs>
                <w:tab w:val="left" w:pos="1005"/>
              </w:tabs>
              <w:jc w:val="both"/>
              <w:rPr>
                <w:rFonts w:ascii="Times New Roman" w:hAnsi="Times New Roman" w:cs="Times New Roman"/>
                <w:lang w:val="uk-UA"/>
              </w:rPr>
            </w:pPr>
            <w:r w:rsidRPr="00841396">
              <w:rPr>
                <w:rFonts w:ascii="Times New Roman" w:hAnsi="Times New Roman" w:cs="Times New Roman"/>
                <w:lang w:val="uk-UA"/>
              </w:rPr>
              <w:t xml:space="preserve">Якщо виявлено відповідні симптоми, слід ідентифікувати </w:t>
            </w:r>
            <w:r w:rsidR="00C475EE" w:rsidRPr="00841396">
              <w:rPr>
                <w:rFonts w:ascii="Times New Roman" w:hAnsi="Times New Roman" w:cs="Times New Roman"/>
                <w:lang w:val="uk-UA"/>
              </w:rPr>
              <w:t>поза</w:t>
            </w:r>
            <w:r w:rsidR="00FC6D8A">
              <w:rPr>
                <w:rFonts w:ascii="Times New Roman" w:hAnsi="Times New Roman" w:cs="Times New Roman"/>
                <w:lang w:val="uk-UA"/>
              </w:rPr>
              <w:t>–</w:t>
            </w:r>
            <w:r w:rsidRPr="00841396">
              <w:rPr>
                <w:rFonts w:ascii="Times New Roman" w:hAnsi="Times New Roman" w:cs="Times New Roman"/>
                <w:lang w:val="uk-UA"/>
              </w:rPr>
              <w:t>печінкові прояви ВГС</w:t>
            </w:r>
            <w:r w:rsidR="00FC6D8A">
              <w:rPr>
                <w:rFonts w:ascii="Times New Roman" w:hAnsi="Times New Roman" w:cs="Times New Roman"/>
                <w:lang w:val="uk-UA"/>
              </w:rPr>
              <w:t>–</w:t>
            </w:r>
            <w:r w:rsidRPr="00841396">
              <w:rPr>
                <w:rFonts w:ascii="Times New Roman" w:hAnsi="Times New Roman" w:cs="Times New Roman"/>
                <w:lang w:val="uk-UA"/>
              </w:rPr>
              <w:t xml:space="preserve">інфекції </w:t>
            </w:r>
            <w:r w:rsidRPr="00841396">
              <w:rPr>
                <w:rFonts w:ascii="Times New Roman" w:hAnsi="Times New Roman" w:cs="Times New Roman"/>
                <w:b/>
                <w:lang w:val="uk-UA"/>
              </w:rPr>
              <w:t>(А1).</w:t>
            </w:r>
          </w:p>
          <w:p w14:paraId="4C627489" w14:textId="375FC32D" w:rsidR="00B15DC3" w:rsidRPr="00841396" w:rsidRDefault="00B15DC3" w:rsidP="001C6944">
            <w:pPr>
              <w:pStyle w:val="a9"/>
              <w:numPr>
                <w:ilvl w:val="0"/>
                <w:numId w:val="64"/>
              </w:numPr>
              <w:tabs>
                <w:tab w:val="left" w:pos="1005"/>
              </w:tabs>
              <w:jc w:val="both"/>
              <w:rPr>
                <w:rFonts w:ascii="Times New Roman" w:hAnsi="Times New Roman" w:cs="Times New Roman"/>
                <w:lang w:val="uk-UA"/>
              </w:rPr>
            </w:pPr>
            <w:r w:rsidRPr="00841396">
              <w:rPr>
                <w:rFonts w:ascii="Times New Roman" w:hAnsi="Times New Roman" w:cs="Times New Roman"/>
                <w:lang w:val="uk-UA"/>
              </w:rPr>
              <w:t xml:space="preserve">Пацієнтам, які раніше не були вакциновані, необхідно запропонувати вакцинацію проти ВГВ та ВГА </w:t>
            </w:r>
            <w:r w:rsidRPr="00841396">
              <w:rPr>
                <w:rFonts w:ascii="Times New Roman" w:hAnsi="Times New Roman" w:cs="Times New Roman"/>
                <w:b/>
                <w:lang w:val="uk-UA"/>
              </w:rPr>
              <w:t>(A1).</w:t>
            </w:r>
          </w:p>
        </w:tc>
      </w:tr>
    </w:tbl>
    <w:p w14:paraId="746F7864" w14:textId="68564DC5" w:rsidR="00B15DC3" w:rsidRDefault="00B15DC3" w:rsidP="00B15DC3">
      <w:pPr>
        <w:tabs>
          <w:tab w:val="left" w:pos="1005"/>
        </w:tabs>
        <w:rPr>
          <w:rFonts w:ascii="Times New Roman" w:hAnsi="Times New Roman" w:cs="Times New Roman"/>
          <w:lang w:val="uk-UA"/>
        </w:rPr>
      </w:pPr>
    </w:p>
    <w:p w14:paraId="51F269B7" w14:textId="5BCE6194" w:rsidR="00707E43" w:rsidRDefault="00707E43" w:rsidP="00B15DC3">
      <w:pPr>
        <w:tabs>
          <w:tab w:val="left" w:pos="1005"/>
        </w:tabs>
        <w:rPr>
          <w:rFonts w:ascii="Times New Roman" w:hAnsi="Times New Roman" w:cs="Times New Roman"/>
          <w:lang w:val="uk-UA"/>
        </w:rPr>
      </w:pPr>
    </w:p>
    <w:p w14:paraId="17824B47" w14:textId="7C8E9478" w:rsidR="00707E43" w:rsidRDefault="00707E43" w:rsidP="00B15DC3">
      <w:pPr>
        <w:tabs>
          <w:tab w:val="left" w:pos="1005"/>
        </w:tabs>
        <w:rPr>
          <w:rFonts w:ascii="Times New Roman" w:hAnsi="Times New Roman" w:cs="Times New Roman"/>
          <w:lang w:val="uk-UA"/>
        </w:rPr>
      </w:pPr>
    </w:p>
    <w:p w14:paraId="04E2A9D9" w14:textId="069A8CD4" w:rsidR="00707E43" w:rsidRDefault="00707E43" w:rsidP="00B15DC3">
      <w:pPr>
        <w:tabs>
          <w:tab w:val="left" w:pos="1005"/>
        </w:tabs>
        <w:rPr>
          <w:rFonts w:ascii="Times New Roman" w:hAnsi="Times New Roman" w:cs="Times New Roman"/>
          <w:lang w:val="uk-UA"/>
        </w:rPr>
      </w:pPr>
    </w:p>
    <w:p w14:paraId="72194DD2" w14:textId="4FCB62F4" w:rsidR="00707E43" w:rsidRDefault="00707E43" w:rsidP="00B15DC3">
      <w:pPr>
        <w:tabs>
          <w:tab w:val="left" w:pos="1005"/>
        </w:tabs>
        <w:rPr>
          <w:rFonts w:ascii="Times New Roman" w:hAnsi="Times New Roman" w:cs="Times New Roman"/>
          <w:lang w:val="uk-UA"/>
        </w:rPr>
      </w:pPr>
    </w:p>
    <w:p w14:paraId="48A0199C" w14:textId="41034FE3" w:rsidR="00707E43" w:rsidRDefault="00707E43" w:rsidP="00B15DC3">
      <w:pPr>
        <w:tabs>
          <w:tab w:val="left" w:pos="1005"/>
        </w:tabs>
        <w:rPr>
          <w:rFonts w:ascii="Times New Roman" w:hAnsi="Times New Roman" w:cs="Times New Roman"/>
          <w:lang w:val="uk-UA"/>
        </w:rPr>
      </w:pPr>
    </w:p>
    <w:p w14:paraId="371C859E" w14:textId="5C3EC32E" w:rsidR="00707E43" w:rsidRDefault="00707E43" w:rsidP="00B15DC3">
      <w:pPr>
        <w:tabs>
          <w:tab w:val="left" w:pos="1005"/>
        </w:tabs>
        <w:rPr>
          <w:rFonts w:ascii="Times New Roman" w:hAnsi="Times New Roman" w:cs="Times New Roman"/>
          <w:lang w:val="uk-UA"/>
        </w:rPr>
      </w:pPr>
    </w:p>
    <w:p w14:paraId="6ED2B22C" w14:textId="240A227E" w:rsidR="00707E43" w:rsidRDefault="00707E43" w:rsidP="00B15DC3">
      <w:pPr>
        <w:tabs>
          <w:tab w:val="left" w:pos="1005"/>
        </w:tabs>
        <w:rPr>
          <w:rFonts w:ascii="Times New Roman" w:hAnsi="Times New Roman" w:cs="Times New Roman"/>
          <w:lang w:val="uk-UA"/>
        </w:rPr>
      </w:pPr>
    </w:p>
    <w:p w14:paraId="33DA13D1" w14:textId="5036FCCF" w:rsidR="00707E43" w:rsidRDefault="00707E43" w:rsidP="00B15DC3">
      <w:pPr>
        <w:tabs>
          <w:tab w:val="left" w:pos="1005"/>
        </w:tabs>
        <w:rPr>
          <w:rFonts w:ascii="Times New Roman" w:hAnsi="Times New Roman" w:cs="Times New Roman"/>
          <w:lang w:val="uk-UA"/>
        </w:rPr>
      </w:pPr>
    </w:p>
    <w:p w14:paraId="688D80C4" w14:textId="1791CACE" w:rsidR="00707E43" w:rsidRDefault="00707E43" w:rsidP="00B15DC3">
      <w:pPr>
        <w:tabs>
          <w:tab w:val="left" w:pos="1005"/>
        </w:tabs>
        <w:rPr>
          <w:rFonts w:ascii="Times New Roman" w:hAnsi="Times New Roman" w:cs="Times New Roman"/>
          <w:lang w:val="uk-UA"/>
        </w:rPr>
      </w:pPr>
    </w:p>
    <w:p w14:paraId="4F1DEE04" w14:textId="4A40FD99" w:rsidR="00707E43" w:rsidRDefault="00707E43" w:rsidP="00B15DC3">
      <w:pPr>
        <w:tabs>
          <w:tab w:val="left" w:pos="1005"/>
        </w:tabs>
        <w:rPr>
          <w:rFonts w:ascii="Times New Roman" w:hAnsi="Times New Roman" w:cs="Times New Roman"/>
          <w:lang w:val="uk-UA"/>
        </w:rPr>
      </w:pPr>
    </w:p>
    <w:p w14:paraId="3A4DB0DF" w14:textId="51873021" w:rsidR="00707E43" w:rsidRDefault="00707E43" w:rsidP="00B15DC3">
      <w:pPr>
        <w:tabs>
          <w:tab w:val="left" w:pos="1005"/>
        </w:tabs>
        <w:rPr>
          <w:rFonts w:ascii="Times New Roman" w:hAnsi="Times New Roman" w:cs="Times New Roman"/>
          <w:lang w:val="uk-UA"/>
        </w:rPr>
      </w:pPr>
    </w:p>
    <w:p w14:paraId="4A4E4904" w14:textId="3853EEED" w:rsidR="00707E43" w:rsidRDefault="00707E43" w:rsidP="00B15DC3">
      <w:pPr>
        <w:tabs>
          <w:tab w:val="left" w:pos="1005"/>
        </w:tabs>
        <w:rPr>
          <w:rFonts w:ascii="Times New Roman" w:hAnsi="Times New Roman" w:cs="Times New Roman"/>
          <w:lang w:val="uk-UA"/>
        </w:rPr>
      </w:pPr>
    </w:p>
    <w:p w14:paraId="0701D716" w14:textId="6CA52A6D" w:rsidR="00707E43" w:rsidRDefault="00707E43" w:rsidP="00B15DC3">
      <w:pPr>
        <w:tabs>
          <w:tab w:val="left" w:pos="1005"/>
        </w:tabs>
        <w:rPr>
          <w:rFonts w:ascii="Times New Roman" w:hAnsi="Times New Roman" w:cs="Times New Roman"/>
          <w:lang w:val="uk-UA"/>
        </w:rPr>
      </w:pPr>
    </w:p>
    <w:p w14:paraId="175983B9" w14:textId="601F07E1" w:rsidR="00707E43" w:rsidRDefault="00707E43" w:rsidP="00B15DC3">
      <w:pPr>
        <w:tabs>
          <w:tab w:val="left" w:pos="1005"/>
        </w:tabs>
        <w:rPr>
          <w:rFonts w:ascii="Times New Roman" w:hAnsi="Times New Roman" w:cs="Times New Roman"/>
          <w:lang w:val="uk-UA"/>
        </w:rPr>
      </w:pPr>
    </w:p>
    <w:p w14:paraId="217E1B02" w14:textId="7DDECE26" w:rsidR="00707E43" w:rsidRDefault="00707E43" w:rsidP="00B15DC3">
      <w:pPr>
        <w:tabs>
          <w:tab w:val="left" w:pos="1005"/>
        </w:tabs>
        <w:rPr>
          <w:rFonts w:ascii="Times New Roman" w:hAnsi="Times New Roman" w:cs="Times New Roman"/>
          <w:lang w:val="uk-UA"/>
        </w:rPr>
      </w:pPr>
    </w:p>
    <w:p w14:paraId="6797915F" w14:textId="3CB0D63C" w:rsidR="00707E43" w:rsidRDefault="00707E43" w:rsidP="00B15DC3">
      <w:pPr>
        <w:tabs>
          <w:tab w:val="left" w:pos="1005"/>
        </w:tabs>
        <w:rPr>
          <w:rFonts w:ascii="Times New Roman" w:hAnsi="Times New Roman" w:cs="Times New Roman"/>
          <w:lang w:val="uk-UA"/>
        </w:rPr>
      </w:pPr>
    </w:p>
    <w:p w14:paraId="671784C6" w14:textId="0C4D9CFD" w:rsidR="00707E43" w:rsidRDefault="00707E43" w:rsidP="00B15DC3">
      <w:pPr>
        <w:tabs>
          <w:tab w:val="left" w:pos="1005"/>
        </w:tabs>
        <w:rPr>
          <w:rFonts w:ascii="Times New Roman" w:hAnsi="Times New Roman" w:cs="Times New Roman"/>
          <w:lang w:val="uk-UA"/>
        </w:rPr>
      </w:pPr>
    </w:p>
    <w:p w14:paraId="1452ECD2" w14:textId="4AF1D03C" w:rsidR="00707E43" w:rsidRPr="00B15DC3" w:rsidRDefault="00707E43" w:rsidP="00707E43">
      <w:pPr>
        <w:spacing w:beforeAutospacing="1" w:afterAutospacing="1"/>
        <w:jc w:val="both"/>
        <w:textAlignment w:val="baseline"/>
        <w:rPr>
          <w:rFonts w:ascii="Times New Roman" w:hAnsi="Times New Roman" w:cs="Times New Roman"/>
          <w:lang w:val="uk-UA"/>
        </w:rPr>
      </w:pPr>
      <w:r w:rsidRPr="00866BD9">
        <w:rPr>
          <w:rFonts w:ascii="Times New Roman" w:hAnsi="Times New Roman" w:cs="Times New Roman"/>
          <w:b/>
          <w:bCs/>
          <w:color w:val="000000" w:themeColor="text1"/>
          <w:bdr w:val="none" w:sz="0" w:space="0" w:color="auto" w:frame="1"/>
          <w:lang w:eastAsia="ru-RU"/>
        </w:rPr>
        <w:lastRenderedPageBreak/>
        <w:t>Таблиця 2. Показники маркерів, одержаних за допомогою неінвазивних методик, для оцінки ступеня фіброзу, у тому числі F3 (</w:t>
      </w:r>
      <w:r>
        <w:rPr>
          <w:rFonts w:ascii="Times New Roman" w:hAnsi="Times New Roman" w:cs="Times New Roman"/>
          <w:b/>
          <w:bCs/>
          <w:color w:val="000000" w:themeColor="text1"/>
          <w:bdr w:val="none" w:sz="0" w:space="0" w:color="auto" w:frame="1"/>
          <w:lang w:val="uk-UA" w:eastAsia="ru-RU"/>
        </w:rPr>
        <w:t>виражений</w:t>
      </w:r>
      <w:r w:rsidRPr="00866BD9">
        <w:rPr>
          <w:rFonts w:ascii="Times New Roman" w:hAnsi="Times New Roman" w:cs="Times New Roman"/>
          <w:b/>
          <w:bCs/>
          <w:color w:val="000000" w:themeColor="text1"/>
          <w:bdr w:val="none" w:sz="0" w:space="0" w:color="auto" w:frame="1"/>
          <w:lang w:eastAsia="ru-RU"/>
        </w:rPr>
        <w:t xml:space="preserve"> фіброз) та F4 (цироз)</w:t>
      </w:r>
    </w:p>
    <w:tbl>
      <w:tblPr>
        <w:tblpPr w:leftFromText="180" w:rightFromText="180" w:vertAnchor="text" w:horzAnchor="margin" w:tblpY="-80"/>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7"/>
        <w:gridCol w:w="862"/>
        <w:gridCol w:w="1174"/>
        <w:gridCol w:w="997"/>
        <w:gridCol w:w="1054"/>
        <w:gridCol w:w="1107"/>
        <w:gridCol w:w="1020"/>
        <w:gridCol w:w="639"/>
        <w:gridCol w:w="593"/>
        <w:gridCol w:w="1135"/>
      </w:tblGrid>
      <w:tr w:rsidR="0001353A" w:rsidRPr="00B15DC3" w14:paraId="65DEAEF7" w14:textId="77777777" w:rsidTr="00B15DC3">
        <w:trPr>
          <w:trHeight w:val="449"/>
        </w:trPr>
        <w:tc>
          <w:tcPr>
            <w:tcW w:w="1017" w:type="dxa"/>
            <w:shd w:val="clear" w:color="auto" w:fill="B7B7B7"/>
            <w:tcMar>
              <w:top w:w="150" w:type="dxa"/>
              <w:left w:w="150" w:type="dxa"/>
              <w:bottom w:w="150" w:type="dxa"/>
              <w:right w:w="150" w:type="dxa"/>
            </w:tcMar>
            <w:vAlign w:val="center"/>
            <w:hideMark/>
          </w:tcPr>
          <w:p w14:paraId="08BC0D7E"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b/>
                <w:bCs/>
                <w:color w:val="000000" w:themeColor="text1"/>
                <w:sz w:val="18"/>
                <w:szCs w:val="18"/>
                <w:bdr w:val="none" w:sz="0" w:space="0" w:color="auto" w:frame="1"/>
                <w:lang w:eastAsia="ru-RU"/>
              </w:rPr>
              <w:t>Тест</w:t>
            </w:r>
          </w:p>
        </w:tc>
        <w:tc>
          <w:tcPr>
            <w:tcW w:w="862" w:type="dxa"/>
            <w:shd w:val="clear" w:color="auto" w:fill="B7B7B7"/>
            <w:tcMar>
              <w:top w:w="150" w:type="dxa"/>
              <w:left w:w="150" w:type="dxa"/>
              <w:bottom w:w="150" w:type="dxa"/>
              <w:right w:w="150" w:type="dxa"/>
            </w:tcMar>
            <w:vAlign w:val="center"/>
            <w:hideMark/>
          </w:tcPr>
          <w:p w14:paraId="315E5811"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b/>
                <w:bCs/>
                <w:color w:val="000000" w:themeColor="text1"/>
                <w:sz w:val="18"/>
                <w:szCs w:val="18"/>
                <w:bdr w:val="none" w:sz="0" w:space="0" w:color="auto" w:frame="1"/>
                <w:lang w:eastAsia="ru-RU"/>
              </w:rPr>
              <w:t>Ступінь фіброзу</w:t>
            </w:r>
          </w:p>
        </w:tc>
        <w:tc>
          <w:tcPr>
            <w:tcW w:w="1174" w:type="dxa"/>
            <w:shd w:val="clear" w:color="auto" w:fill="B7B7B7"/>
            <w:tcMar>
              <w:top w:w="150" w:type="dxa"/>
              <w:left w:w="150" w:type="dxa"/>
              <w:bottom w:w="150" w:type="dxa"/>
              <w:right w:w="150" w:type="dxa"/>
            </w:tcMar>
            <w:vAlign w:val="center"/>
            <w:hideMark/>
          </w:tcPr>
          <w:p w14:paraId="0B654DFC"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b/>
                <w:bCs/>
                <w:color w:val="000000" w:themeColor="text1"/>
                <w:sz w:val="18"/>
                <w:szCs w:val="18"/>
                <w:bdr w:val="none" w:sz="0" w:space="0" w:color="auto" w:frame="1"/>
                <w:lang w:eastAsia="ru-RU"/>
              </w:rPr>
              <w:t>Кількість пацієнтів</w:t>
            </w:r>
          </w:p>
        </w:tc>
        <w:tc>
          <w:tcPr>
            <w:tcW w:w="997" w:type="dxa"/>
            <w:shd w:val="clear" w:color="auto" w:fill="B7B7B7"/>
            <w:tcMar>
              <w:top w:w="150" w:type="dxa"/>
              <w:left w:w="150" w:type="dxa"/>
              <w:bottom w:w="150" w:type="dxa"/>
              <w:right w:w="150" w:type="dxa"/>
            </w:tcMar>
            <w:vAlign w:val="center"/>
            <w:hideMark/>
          </w:tcPr>
          <w:p w14:paraId="486D6CCD"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b/>
                <w:bCs/>
                <w:color w:val="000000" w:themeColor="text1"/>
                <w:sz w:val="18"/>
                <w:szCs w:val="18"/>
                <w:bdr w:val="none" w:sz="0" w:space="0" w:color="auto" w:frame="1"/>
                <w:lang w:eastAsia="ru-RU"/>
              </w:rPr>
              <w:t>Показник</w:t>
            </w:r>
          </w:p>
        </w:tc>
        <w:tc>
          <w:tcPr>
            <w:tcW w:w="1054" w:type="dxa"/>
            <w:shd w:val="clear" w:color="auto" w:fill="B7B7B7"/>
            <w:tcMar>
              <w:top w:w="150" w:type="dxa"/>
              <w:left w:w="150" w:type="dxa"/>
              <w:bottom w:w="150" w:type="dxa"/>
              <w:right w:w="150" w:type="dxa"/>
            </w:tcMar>
            <w:vAlign w:val="center"/>
            <w:hideMark/>
          </w:tcPr>
          <w:p w14:paraId="28F3CD6A"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b/>
                <w:bCs/>
                <w:color w:val="000000" w:themeColor="text1"/>
                <w:sz w:val="18"/>
                <w:szCs w:val="18"/>
                <w:bdr w:val="none" w:sz="0" w:space="0" w:color="auto" w:frame="1"/>
                <w:lang w:eastAsia="ru-RU"/>
              </w:rPr>
              <w:t>AUROC</w:t>
            </w:r>
          </w:p>
        </w:tc>
        <w:tc>
          <w:tcPr>
            <w:tcW w:w="1107" w:type="dxa"/>
            <w:shd w:val="clear" w:color="auto" w:fill="B7B7B7"/>
            <w:tcMar>
              <w:top w:w="150" w:type="dxa"/>
              <w:left w:w="150" w:type="dxa"/>
              <w:bottom w:w="150" w:type="dxa"/>
              <w:right w:w="150" w:type="dxa"/>
            </w:tcMar>
            <w:vAlign w:val="center"/>
            <w:hideMark/>
          </w:tcPr>
          <w:p w14:paraId="2C1C264A"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b/>
                <w:bCs/>
                <w:color w:val="000000" w:themeColor="text1"/>
                <w:sz w:val="18"/>
                <w:szCs w:val="18"/>
                <w:bdr w:val="none" w:sz="0" w:space="0" w:color="auto" w:frame="1"/>
                <w:lang w:eastAsia="ru-RU"/>
              </w:rPr>
              <w:t>Чутливість</w:t>
            </w:r>
          </w:p>
        </w:tc>
        <w:tc>
          <w:tcPr>
            <w:tcW w:w="1020" w:type="dxa"/>
            <w:shd w:val="clear" w:color="auto" w:fill="B7B7B7"/>
            <w:tcMar>
              <w:top w:w="150" w:type="dxa"/>
              <w:left w:w="150" w:type="dxa"/>
              <w:bottom w:w="150" w:type="dxa"/>
              <w:right w:w="150" w:type="dxa"/>
            </w:tcMar>
            <w:vAlign w:val="center"/>
            <w:hideMark/>
          </w:tcPr>
          <w:p w14:paraId="4EF5A2FF"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b/>
                <w:bCs/>
                <w:color w:val="000000" w:themeColor="text1"/>
                <w:sz w:val="18"/>
                <w:szCs w:val="18"/>
                <w:bdr w:val="none" w:sz="0" w:space="0" w:color="auto" w:frame="1"/>
                <w:lang w:eastAsia="ru-RU"/>
              </w:rPr>
              <w:t>Специфічність</w:t>
            </w:r>
          </w:p>
        </w:tc>
        <w:tc>
          <w:tcPr>
            <w:tcW w:w="639" w:type="dxa"/>
            <w:shd w:val="clear" w:color="auto" w:fill="B7B7B7"/>
            <w:tcMar>
              <w:top w:w="150" w:type="dxa"/>
              <w:left w:w="150" w:type="dxa"/>
              <w:bottom w:w="150" w:type="dxa"/>
              <w:right w:w="150" w:type="dxa"/>
            </w:tcMar>
            <w:vAlign w:val="center"/>
            <w:hideMark/>
          </w:tcPr>
          <w:p w14:paraId="407B00BB" w14:textId="77777777" w:rsidR="0001353A" w:rsidRPr="00B15DC3" w:rsidRDefault="0001353A" w:rsidP="0001353A">
            <w:pPr>
              <w:ind w:left="-432"/>
              <w:jc w:val="right"/>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b/>
                <w:bCs/>
                <w:color w:val="000000" w:themeColor="text1"/>
                <w:sz w:val="18"/>
                <w:szCs w:val="18"/>
                <w:bdr w:val="none" w:sz="0" w:space="0" w:color="auto" w:frame="1"/>
                <w:lang w:eastAsia="ru-RU"/>
              </w:rPr>
              <w:t>PPV</w:t>
            </w:r>
          </w:p>
        </w:tc>
        <w:tc>
          <w:tcPr>
            <w:tcW w:w="593" w:type="dxa"/>
            <w:shd w:val="clear" w:color="auto" w:fill="B7B7B7"/>
            <w:tcMar>
              <w:top w:w="150" w:type="dxa"/>
              <w:left w:w="150" w:type="dxa"/>
              <w:bottom w:w="150" w:type="dxa"/>
              <w:right w:w="150" w:type="dxa"/>
            </w:tcMar>
            <w:vAlign w:val="center"/>
            <w:hideMark/>
          </w:tcPr>
          <w:p w14:paraId="49D7D595"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b/>
                <w:bCs/>
                <w:color w:val="000000" w:themeColor="text1"/>
                <w:sz w:val="18"/>
                <w:szCs w:val="18"/>
                <w:bdr w:val="none" w:sz="0" w:space="0" w:color="auto" w:frame="1"/>
                <w:lang w:eastAsia="ru-RU"/>
              </w:rPr>
              <w:t>NPV</w:t>
            </w:r>
          </w:p>
        </w:tc>
        <w:tc>
          <w:tcPr>
            <w:tcW w:w="1135" w:type="dxa"/>
            <w:shd w:val="clear" w:color="auto" w:fill="B7B7B7"/>
            <w:tcMar>
              <w:top w:w="150" w:type="dxa"/>
              <w:left w:w="150" w:type="dxa"/>
              <w:bottom w:w="150" w:type="dxa"/>
              <w:right w:w="150" w:type="dxa"/>
            </w:tcMar>
            <w:vAlign w:val="center"/>
            <w:hideMark/>
          </w:tcPr>
          <w:p w14:paraId="78299230" w14:textId="77777777" w:rsidR="0001353A" w:rsidRPr="00B15DC3" w:rsidRDefault="0001353A" w:rsidP="0001353A">
            <w:pPr>
              <w:ind w:right="174"/>
              <w:jc w:val="center"/>
              <w:textAlignment w:val="center"/>
              <w:rPr>
                <w:rFonts w:ascii="Times New Roman" w:hAnsi="Times New Roman" w:cs="Times New Roman"/>
                <w:b/>
                <w:bCs/>
                <w:color w:val="000000" w:themeColor="text1"/>
                <w:sz w:val="18"/>
                <w:szCs w:val="18"/>
                <w:bdr w:val="none" w:sz="0" w:space="0" w:color="auto" w:frame="1"/>
                <w:lang w:eastAsia="ru-RU"/>
              </w:rPr>
            </w:pPr>
            <w:r w:rsidRPr="00B15DC3">
              <w:rPr>
                <w:rFonts w:ascii="Times New Roman" w:hAnsi="Times New Roman" w:cs="Times New Roman"/>
                <w:b/>
                <w:bCs/>
                <w:color w:val="000000" w:themeColor="text1"/>
                <w:sz w:val="18"/>
                <w:szCs w:val="18"/>
                <w:bdr w:val="none" w:sz="0" w:space="0" w:color="auto" w:frame="1"/>
                <w:lang w:eastAsia="ru-RU"/>
              </w:rPr>
              <w:t>Посила</w:t>
            </w:r>
          </w:p>
          <w:p w14:paraId="6DDA2C34" w14:textId="77777777" w:rsidR="0001353A" w:rsidRPr="00B15DC3" w:rsidRDefault="0001353A" w:rsidP="0001353A">
            <w:pPr>
              <w:ind w:right="174"/>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b/>
                <w:bCs/>
                <w:color w:val="000000" w:themeColor="text1"/>
                <w:sz w:val="18"/>
                <w:szCs w:val="18"/>
                <w:bdr w:val="none" w:sz="0" w:space="0" w:color="auto" w:frame="1"/>
                <w:lang w:eastAsia="ru-RU"/>
              </w:rPr>
              <w:t>ння</w:t>
            </w:r>
          </w:p>
        </w:tc>
      </w:tr>
      <w:tr w:rsidR="0001353A" w:rsidRPr="00B15DC3" w14:paraId="2C3572AB" w14:textId="77777777" w:rsidTr="00B15DC3">
        <w:trPr>
          <w:trHeight w:val="549"/>
        </w:trPr>
        <w:tc>
          <w:tcPr>
            <w:tcW w:w="1017" w:type="dxa"/>
            <w:shd w:val="clear" w:color="auto" w:fill="D9D9D9"/>
            <w:tcMar>
              <w:top w:w="150" w:type="dxa"/>
              <w:left w:w="150" w:type="dxa"/>
              <w:bottom w:w="150" w:type="dxa"/>
              <w:right w:w="150" w:type="dxa"/>
            </w:tcMar>
            <w:vAlign w:val="center"/>
            <w:hideMark/>
          </w:tcPr>
          <w:p w14:paraId="2AEB1F1C" w14:textId="77777777" w:rsidR="0001353A" w:rsidRPr="00B15DC3" w:rsidRDefault="0001353A" w:rsidP="0001353A">
            <w:pP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FibroScan</w:t>
            </w:r>
            <w:r w:rsidRPr="00B15DC3">
              <w:rPr>
                <w:rFonts w:ascii="Times New Roman" w:hAnsi="Times New Roman" w:cs="Times New Roman"/>
                <w:color w:val="000000" w:themeColor="text1"/>
                <w:sz w:val="18"/>
                <w:szCs w:val="18"/>
                <w:bdr w:val="none" w:sz="0" w:space="0" w:color="auto" w:frame="1"/>
                <w:vertAlign w:val="superscript"/>
                <w:lang w:eastAsia="ru-RU"/>
              </w:rPr>
              <w:t>®</w:t>
            </w:r>
          </w:p>
        </w:tc>
        <w:tc>
          <w:tcPr>
            <w:tcW w:w="862" w:type="dxa"/>
            <w:shd w:val="clear" w:color="auto" w:fill="D9D9D9"/>
            <w:tcMar>
              <w:top w:w="150" w:type="dxa"/>
              <w:left w:w="150" w:type="dxa"/>
              <w:bottom w:w="150" w:type="dxa"/>
              <w:right w:w="150" w:type="dxa"/>
            </w:tcMar>
            <w:vAlign w:val="center"/>
            <w:hideMark/>
          </w:tcPr>
          <w:p w14:paraId="191545CC"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F3</w:t>
            </w:r>
          </w:p>
        </w:tc>
        <w:tc>
          <w:tcPr>
            <w:tcW w:w="1174" w:type="dxa"/>
            <w:shd w:val="clear" w:color="auto" w:fill="D9D9D9"/>
            <w:tcMar>
              <w:top w:w="150" w:type="dxa"/>
              <w:left w:w="150" w:type="dxa"/>
              <w:bottom w:w="150" w:type="dxa"/>
              <w:right w:w="150" w:type="dxa"/>
            </w:tcMar>
            <w:vAlign w:val="center"/>
            <w:hideMark/>
          </w:tcPr>
          <w:p w14:paraId="602367AB" w14:textId="08105FCB"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560 ВГС</w:t>
            </w:r>
            <w:r w:rsidR="00FC6D8A">
              <w:rPr>
                <w:rFonts w:ascii="Times New Roman" w:hAnsi="Times New Roman" w:cs="Times New Roman"/>
                <w:color w:val="000000" w:themeColor="text1"/>
                <w:sz w:val="18"/>
                <w:szCs w:val="18"/>
                <w:lang w:eastAsia="ru-RU"/>
              </w:rPr>
              <w:t>–</w:t>
            </w:r>
            <w:r w:rsidRPr="00B15DC3">
              <w:rPr>
                <w:rFonts w:ascii="Times New Roman" w:hAnsi="Times New Roman" w:cs="Times New Roman"/>
                <w:color w:val="000000" w:themeColor="text1"/>
                <w:sz w:val="18"/>
                <w:szCs w:val="18"/>
                <w:lang w:eastAsia="ru-RU"/>
              </w:rPr>
              <w:t>інфікованих</w:t>
            </w:r>
          </w:p>
        </w:tc>
        <w:tc>
          <w:tcPr>
            <w:tcW w:w="997" w:type="dxa"/>
            <w:shd w:val="clear" w:color="auto" w:fill="D9D9D9"/>
            <w:tcMar>
              <w:top w:w="150" w:type="dxa"/>
              <w:left w:w="150" w:type="dxa"/>
              <w:bottom w:w="150" w:type="dxa"/>
              <w:right w:w="150" w:type="dxa"/>
            </w:tcMar>
            <w:vAlign w:val="center"/>
            <w:hideMark/>
          </w:tcPr>
          <w:p w14:paraId="494CECAD"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10 кПа</w:t>
            </w:r>
            <w:r w:rsidRPr="00B15DC3">
              <w:rPr>
                <w:rFonts w:ascii="Times New Roman" w:hAnsi="Times New Roman" w:cs="Times New Roman"/>
                <w:color w:val="000000" w:themeColor="text1"/>
                <w:sz w:val="18"/>
                <w:szCs w:val="18"/>
                <w:bdr w:val="none" w:sz="0" w:space="0" w:color="auto" w:frame="1"/>
                <w:vertAlign w:val="superscript"/>
                <w:lang w:eastAsia="ru-RU"/>
              </w:rPr>
              <w:t>а</w:t>
            </w:r>
          </w:p>
        </w:tc>
        <w:tc>
          <w:tcPr>
            <w:tcW w:w="1054" w:type="dxa"/>
            <w:shd w:val="clear" w:color="auto" w:fill="D9D9D9"/>
            <w:tcMar>
              <w:top w:w="150" w:type="dxa"/>
              <w:left w:w="150" w:type="dxa"/>
              <w:bottom w:w="150" w:type="dxa"/>
              <w:right w:w="150" w:type="dxa"/>
            </w:tcMar>
            <w:vAlign w:val="center"/>
            <w:hideMark/>
          </w:tcPr>
          <w:p w14:paraId="272095B8"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0,83</w:t>
            </w:r>
          </w:p>
        </w:tc>
        <w:tc>
          <w:tcPr>
            <w:tcW w:w="1107" w:type="dxa"/>
            <w:shd w:val="clear" w:color="auto" w:fill="D9D9D9"/>
            <w:tcMar>
              <w:top w:w="150" w:type="dxa"/>
              <w:left w:w="150" w:type="dxa"/>
              <w:bottom w:w="150" w:type="dxa"/>
              <w:right w:w="150" w:type="dxa"/>
            </w:tcMar>
            <w:vAlign w:val="center"/>
            <w:hideMark/>
          </w:tcPr>
          <w:p w14:paraId="281C8AC3"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72%</w:t>
            </w:r>
          </w:p>
        </w:tc>
        <w:tc>
          <w:tcPr>
            <w:tcW w:w="1020" w:type="dxa"/>
            <w:shd w:val="clear" w:color="auto" w:fill="D9D9D9"/>
            <w:tcMar>
              <w:top w:w="150" w:type="dxa"/>
              <w:left w:w="150" w:type="dxa"/>
              <w:bottom w:w="150" w:type="dxa"/>
              <w:right w:w="150" w:type="dxa"/>
            </w:tcMar>
            <w:vAlign w:val="center"/>
            <w:hideMark/>
          </w:tcPr>
          <w:p w14:paraId="6A04294A"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80%</w:t>
            </w:r>
          </w:p>
        </w:tc>
        <w:tc>
          <w:tcPr>
            <w:tcW w:w="639" w:type="dxa"/>
            <w:shd w:val="clear" w:color="auto" w:fill="D9D9D9"/>
            <w:tcMar>
              <w:top w:w="150" w:type="dxa"/>
              <w:left w:w="150" w:type="dxa"/>
              <w:bottom w:w="150" w:type="dxa"/>
              <w:right w:w="150" w:type="dxa"/>
            </w:tcMar>
            <w:vAlign w:val="center"/>
            <w:hideMark/>
          </w:tcPr>
          <w:p w14:paraId="3CB0DC8A"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62%</w:t>
            </w:r>
          </w:p>
        </w:tc>
        <w:tc>
          <w:tcPr>
            <w:tcW w:w="593" w:type="dxa"/>
            <w:shd w:val="clear" w:color="auto" w:fill="D9D9D9"/>
            <w:tcMar>
              <w:top w:w="150" w:type="dxa"/>
              <w:left w:w="150" w:type="dxa"/>
              <w:bottom w:w="150" w:type="dxa"/>
              <w:right w:w="150" w:type="dxa"/>
            </w:tcMar>
            <w:vAlign w:val="center"/>
            <w:hideMark/>
          </w:tcPr>
          <w:p w14:paraId="6809801C"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89%</w:t>
            </w:r>
          </w:p>
        </w:tc>
        <w:tc>
          <w:tcPr>
            <w:tcW w:w="1135" w:type="dxa"/>
            <w:shd w:val="clear" w:color="auto" w:fill="D9D9D9"/>
            <w:tcMar>
              <w:top w:w="150" w:type="dxa"/>
              <w:left w:w="150" w:type="dxa"/>
              <w:bottom w:w="150" w:type="dxa"/>
              <w:right w:w="150" w:type="dxa"/>
            </w:tcMar>
            <w:vAlign w:val="center"/>
            <w:hideMark/>
          </w:tcPr>
          <w:p w14:paraId="4F84942D" w14:textId="77777777" w:rsidR="0001353A" w:rsidRPr="00B15DC3" w:rsidRDefault="0001353A" w:rsidP="0001353A">
            <w:pPr>
              <w:ind w:right="174"/>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42</w:t>
            </w:r>
          </w:p>
        </w:tc>
      </w:tr>
      <w:tr w:rsidR="0001353A" w:rsidRPr="00B15DC3" w14:paraId="0B60C1A0" w14:textId="77777777" w:rsidTr="00B15DC3">
        <w:trPr>
          <w:trHeight w:val="604"/>
        </w:trPr>
        <w:tc>
          <w:tcPr>
            <w:tcW w:w="1017" w:type="dxa"/>
            <w:tcMar>
              <w:top w:w="150" w:type="dxa"/>
              <w:left w:w="150" w:type="dxa"/>
              <w:bottom w:w="150" w:type="dxa"/>
              <w:right w:w="150" w:type="dxa"/>
            </w:tcMar>
            <w:vAlign w:val="center"/>
            <w:hideMark/>
          </w:tcPr>
          <w:p w14:paraId="197CC850" w14:textId="77777777" w:rsidR="0001353A" w:rsidRPr="00B15DC3" w:rsidRDefault="0001353A" w:rsidP="0001353A">
            <w:pPr>
              <w:rPr>
                <w:rFonts w:ascii="Times New Roman" w:eastAsia="Times New Roman" w:hAnsi="Times New Roman" w:cs="Times New Roman"/>
                <w:color w:val="000000" w:themeColor="text1"/>
                <w:sz w:val="18"/>
                <w:szCs w:val="18"/>
                <w:lang w:eastAsia="ru-RU"/>
              </w:rPr>
            </w:pPr>
            <w:r w:rsidRPr="00B15DC3">
              <w:rPr>
                <w:rFonts w:ascii="Times New Roman" w:eastAsia="Times New Roman" w:hAnsi="Times New Roman" w:cs="Times New Roman"/>
                <w:color w:val="000000" w:themeColor="text1"/>
                <w:sz w:val="18"/>
                <w:szCs w:val="18"/>
                <w:lang w:eastAsia="ru-RU"/>
              </w:rPr>
              <w:t> </w:t>
            </w:r>
          </w:p>
        </w:tc>
        <w:tc>
          <w:tcPr>
            <w:tcW w:w="862" w:type="dxa"/>
            <w:tcMar>
              <w:top w:w="150" w:type="dxa"/>
              <w:left w:w="150" w:type="dxa"/>
              <w:bottom w:w="150" w:type="dxa"/>
              <w:right w:w="150" w:type="dxa"/>
            </w:tcMar>
            <w:vAlign w:val="center"/>
            <w:hideMark/>
          </w:tcPr>
          <w:p w14:paraId="631D75C2"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F4</w:t>
            </w:r>
          </w:p>
        </w:tc>
        <w:tc>
          <w:tcPr>
            <w:tcW w:w="1174" w:type="dxa"/>
            <w:tcMar>
              <w:top w:w="150" w:type="dxa"/>
              <w:left w:w="150" w:type="dxa"/>
              <w:bottom w:w="150" w:type="dxa"/>
              <w:right w:w="150" w:type="dxa"/>
            </w:tcMar>
            <w:vAlign w:val="center"/>
            <w:hideMark/>
          </w:tcPr>
          <w:p w14:paraId="7C3B855D" w14:textId="2F651334"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1855 ВГС</w:t>
            </w:r>
            <w:r w:rsidR="00FC6D8A">
              <w:rPr>
                <w:rFonts w:ascii="Times New Roman" w:hAnsi="Times New Roman" w:cs="Times New Roman"/>
                <w:color w:val="000000" w:themeColor="text1"/>
                <w:sz w:val="18"/>
                <w:szCs w:val="18"/>
                <w:lang w:eastAsia="ru-RU"/>
              </w:rPr>
              <w:t>–</w:t>
            </w:r>
            <w:r w:rsidRPr="00B15DC3">
              <w:rPr>
                <w:rFonts w:ascii="Times New Roman" w:hAnsi="Times New Roman" w:cs="Times New Roman"/>
                <w:color w:val="000000" w:themeColor="text1"/>
                <w:sz w:val="18"/>
                <w:szCs w:val="18"/>
                <w:lang w:eastAsia="ru-RU"/>
              </w:rPr>
              <w:t>інфікованих</w:t>
            </w:r>
          </w:p>
        </w:tc>
        <w:tc>
          <w:tcPr>
            <w:tcW w:w="997" w:type="dxa"/>
            <w:tcMar>
              <w:top w:w="150" w:type="dxa"/>
              <w:left w:w="150" w:type="dxa"/>
              <w:bottom w:w="150" w:type="dxa"/>
              <w:right w:w="150" w:type="dxa"/>
            </w:tcMar>
            <w:vAlign w:val="center"/>
            <w:hideMark/>
          </w:tcPr>
          <w:p w14:paraId="12784496"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13 кПа</w:t>
            </w:r>
            <w:r w:rsidRPr="00B15DC3">
              <w:rPr>
                <w:rFonts w:ascii="Times New Roman" w:hAnsi="Times New Roman" w:cs="Times New Roman"/>
                <w:color w:val="000000" w:themeColor="text1"/>
                <w:sz w:val="18"/>
                <w:szCs w:val="18"/>
                <w:bdr w:val="none" w:sz="0" w:space="0" w:color="auto" w:frame="1"/>
                <w:vertAlign w:val="superscript"/>
                <w:lang w:eastAsia="ru-RU"/>
              </w:rPr>
              <w:t>а</w:t>
            </w:r>
          </w:p>
        </w:tc>
        <w:tc>
          <w:tcPr>
            <w:tcW w:w="1054" w:type="dxa"/>
            <w:tcMar>
              <w:top w:w="150" w:type="dxa"/>
              <w:left w:w="150" w:type="dxa"/>
              <w:bottom w:w="150" w:type="dxa"/>
              <w:right w:w="150" w:type="dxa"/>
            </w:tcMar>
            <w:vAlign w:val="center"/>
            <w:hideMark/>
          </w:tcPr>
          <w:p w14:paraId="2AEBF573"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0,90–0,93</w:t>
            </w:r>
          </w:p>
        </w:tc>
        <w:tc>
          <w:tcPr>
            <w:tcW w:w="1107" w:type="dxa"/>
            <w:tcMar>
              <w:top w:w="150" w:type="dxa"/>
              <w:left w:w="150" w:type="dxa"/>
              <w:bottom w:w="150" w:type="dxa"/>
              <w:right w:w="150" w:type="dxa"/>
            </w:tcMar>
            <w:vAlign w:val="center"/>
            <w:hideMark/>
          </w:tcPr>
          <w:p w14:paraId="39341724"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72–77%</w:t>
            </w:r>
          </w:p>
        </w:tc>
        <w:tc>
          <w:tcPr>
            <w:tcW w:w="1020" w:type="dxa"/>
            <w:tcMar>
              <w:top w:w="150" w:type="dxa"/>
              <w:left w:w="150" w:type="dxa"/>
              <w:bottom w:w="150" w:type="dxa"/>
              <w:right w:w="150" w:type="dxa"/>
            </w:tcMar>
            <w:vAlign w:val="center"/>
            <w:hideMark/>
          </w:tcPr>
          <w:p w14:paraId="1E689C2B"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85–90%</w:t>
            </w:r>
          </w:p>
        </w:tc>
        <w:tc>
          <w:tcPr>
            <w:tcW w:w="639" w:type="dxa"/>
            <w:tcMar>
              <w:top w:w="150" w:type="dxa"/>
              <w:left w:w="150" w:type="dxa"/>
              <w:bottom w:w="150" w:type="dxa"/>
              <w:right w:w="150" w:type="dxa"/>
            </w:tcMar>
            <w:vAlign w:val="center"/>
            <w:hideMark/>
          </w:tcPr>
          <w:p w14:paraId="2E3BDA2A"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42–56%</w:t>
            </w:r>
          </w:p>
        </w:tc>
        <w:tc>
          <w:tcPr>
            <w:tcW w:w="593" w:type="dxa"/>
            <w:tcMar>
              <w:top w:w="150" w:type="dxa"/>
              <w:left w:w="150" w:type="dxa"/>
              <w:bottom w:w="150" w:type="dxa"/>
              <w:right w:w="150" w:type="dxa"/>
            </w:tcMar>
            <w:vAlign w:val="center"/>
            <w:hideMark/>
          </w:tcPr>
          <w:p w14:paraId="492D4E1B"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95–98%</w:t>
            </w:r>
          </w:p>
        </w:tc>
        <w:tc>
          <w:tcPr>
            <w:tcW w:w="1135" w:type="dxa"/>
            <w:tcMar>
              <w:top w:w="150" w:type="dxa"/>
              <w:left w:w="150" w:type="dxa"/>
              <w:bottom w:w="150" w:type="dxa"/>
              <w:right w:w="150" w:type="dxa"/>
            </w:tcMar>
            <w:vAlign w:val="center"/>
            <w:hideMark/>
          </w:tcPr>
          <w:p w14:paraId="6A1A3B45" w14:textId="77777777" w:rsidR="0001353A" w:rsidRPr="00B15DC3" w:rsidRDefault="0001353A" w:rsidP="0001353A">
            <w:pPr>
              <w:ind w:right="174"/>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42,44,47</w:t>
            </w:r>
          </w:p>
        </w:tc>
      </w:tr>
      <w:tr w:rsidR="0001353A" w:rsidRPr="00B15DC3" w14:paraId="618D9C1A" w14:textId="77777777" w:rsidTr="00B15DC3">
        <w:trPr>
          <w:trHeight w:val="884"/>
        </w:trPr>
        <w:tc>
          <w:tcPr>
            <w:tcW w:w="1017" w:type="dxa"/>
            <w:shd w:val="clear" w:color="auto" w:fill="D9D9D9"/>
            <w:tcMar>
              <w:top w:w="150" w:type="dxa"/>
              <w:left w:w="150" w:type="dxa"/>
              <w:bottom w:w="150" w:type="dxa"/>
              <w:right w:w="150" w:type="dxa"/>
            </w:tcMar>
            <w:vAlign w:val="center"/>
            <w:hideMark/>
          </w:tcPr>
          <w:p w14:paraId="19F0DEC2" w14:textId="77777777" w:rsidR="0001353A" w:rsidRPr="00B15DC3" w:rsidRDefault="0001353A" w:rsidP="0001353A">
            <w:pP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ARFI (VTQ</w:t>
            </w:r>
            <w:r w:rsidRPr="00B15DC3">
              <w:rPr>
                <w:rFonts w:ascii="Times New Roman" w:hAnsi="Times New Roman" w:cs="Times New Roman"/>
                <w:color w:val="000000" w:themeColor="text1"/>
                <w:sz w:val="18"/>
                <w:szCs w:val="18"/>
                <w:bdr w:val="none" w:sz="0" w:space="0" w:color="auto" w:frame="1"/>
                <w:vertAlign w:val="superscript"/>
                <w:lang w:eastAsia="ru-RU"/>
              </w:rPr>
              <w:t>®</w:t>
            </w:r>
            <w:r w:rsidRPr="00B15DC3">
              <w:rPr>
                <w:rFonts w:ascii="Times New Roman" w:hAnsi="Times New Roman" w:cs="Times New Roman"/>
                <w:color w:val="000000" w:themeColor="text1"/>
                <w:sz w:val="18"/>
                <w:szCs w:val="18"/>
                <w:lang w:eastAsia="ru-RU"/>
              </w:rPr>
              <w:t>)</w:t>
            </w:r>
          </w:p>
        </w:tc>
        <w:tc>
          <w:tcPr>
            <w:tcW w:w="862" w:type="dxa"/>
            <w:shd w:val="clear" w:color="auto" w:fill="D9D9D9"/>
            <w:tcMar>
              <w:top w:w="150" w:type="dxa"/>
              <w:left w:w="150" w:type="dxa"/>
              <w:bottom w:w="150" w:type="dxa"/>
              <w:right w:w="150" w:type="dxa"/>
            </w:tcMar>
            <w:vAlign w:val="center"/>
            <w:hideMark/>
          </w:tcPr>
          <w:p w14:paraId="489E84D4"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F3</w:t>
            </w:r>
          </w:p>
        </w:tc>
        <w:tc>
          <w:tcPr>
            <w:tcW w:w="1174" w:type="dxa"/>
            <w:shd w:val="clear" w:color="auto" w:fill="D9D9D9"/>
            <w:tcMar>
              <w:top w:w="150" w:type="dxa"/>
              <w:left w:w="150" w:type="dxa"/>
              <w:bottom w:w="150" w:type="dxa"/>
              <w:right w:w="150" w:type="dxa"/>
            </w:tcMar>
            <w:vAlign w:val="center"/>
            <w:hideMark/>
          </w:tcPr>
          <w:p w14:paraId="045A9661" w14:textId="0315E59C"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2691 (в тому числі 1428 ВГС</w:t>
            </w:r>
            <w:r w:rsidR="00FC6D8A">
              <w:rPr>
                <w:rFonts w:ascii="Times New Roman" w:hAnsi="Times New Roman" w:cs="Times New Roman"/>
                <w:color w:val="000000" w:themeColor="text1"/>
                <w:sz w:val="18"/>
                <w:szCs w:val="18"/>
                <w:lang w:eastAsia="ru-RU"/>
              </w:rPr>
              <w:t>–</w:t>
            </w:r>
            <w:r w:rsidRPr="00B15DC3">
              <w:rPr>
                <w:rFonts w:ascii="Times New Roman" w:hAnsi="Times New Roman" w:cs="Times New Roman"/>
                <w:color w:val="000000" w:themeColor="text1"/>
                <w:sz w:val="18"/>
                <w:szCs w:val="18"/>
                <w:lang w:eastAsia="ru-RU"/>
              </w:rPr>
              <w:t>інфікованих)</w:t>
            </w:r>
          </w:p>
        </w:tc>
        <w:tc>
          <w:tcPr>
            <w:tcW w:w="997" w:type="dxa"/>
            <w:shd w:val="clear" w:color="auto" w:fill="D9D9D9"/>
            <w:tcMar>
              <w:top w:w="150" w:type="dxa"/>
              <w:left w:w="150" w:type="dxa"/>
              <w:bottom w:w="150" w:type="dxa"/>
              <w:right w:w="150" w:type="dxa"/>
            </w:tcMar>
            <w:vAlign w:val="center"/>
            <w:hideMark/>
          </w:tcPr>
          <w:p w14:paraId="2247C727"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1,60–1,27 м/с</w:t>
            </w:r>
          </w:p>
        </w:tc>
        <w:tc>
          <w:tcPr>
            <w:tcW w:w="1054" w:type="dxa"/>
            <w:shd w:val="clear" w:color="auto" w:fill="D9D9D9"/>
            <w:tcMar>
              <w:top w:w="150" w:type="dxa"/>
              <w:left w:w="150" w:type="dxa"/>
              <w:bottom w:w="150" w:type="dxa"/>
              <w:right w:w="150" w:type="dxa"/>
            </w:tcMar>
            <w:vAlign w:val="center"/>
            <w:hideMark/>
          </w:tcPr>
          <w:p w14:paraId="36AFFAAF"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0,94 (95% ДІ 0,91–0,95)</w:t>
            </w:r>
          </w:p>
        </w:tc>
        <w:tc>
          <w:tcPr>
            <w:tcW w:w="1107" w:type="dxa"/>
            <w:shd w:val="clear" w:color="auto" w:fill="D9D9D9"/>
            <w:tcMar>
              <w:top w:w="150" w:type="dxa"/>
              <w:left w:w="150" w:type="dxa"/>
              <w:bottom w:w="150" w:type="dxa"/>
              <w:right w:w="150" w:type="dxa"/>
            </w:tcMar>
            <w:vAlign w:val="center"/>
            <w:hideMark/>
          </w:tcPr>
          <w:p w14:paraId="1830EB69"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84% (95% ДІ 80–88%)</w:t>
            </w:r>
          </w:p>
        </w:tc>
        <w:tc>
          <w:tcPr>
            <w:tcW w:w="1020" w:type="dxa"/>
            <w:shd w:val="clear" w:color="auto" w:fill="D9D9D9"/>
            <w:tcMar>
              <w:top w:w="150" w:type="dxa"/>
              <w:left w:w="150" w:type="dxa"/>
              <w:bottom w:w="150" w:type="dxa"/>
              <w:right w:w="150" w:type="dxa"/>
            </w:tcMar>
            <w:vAlign w:val="center"/>
            <w:hideMark/>
          </w:tcPr>
          <w:p w14:paraId="27C3DAD6"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90%</w:t>
            </w:r>
          </w:p>
          <w:p w14:paraId="1FAF065B"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(95% ДІ 86–92%)</w:t>
            </w:r>
          </w:p>
        </w:tc>
        <w:tc>
          <w:tcPr>
            <w:tcW w:w="639" w:type="dxa"/>
            <w:shd w:val="clear" w:color="auto" w:fill="D9D9D9"/>
            <w:tcMar>
              <w:top w:w="150" w:type="dxa"/>
              <w:left w:w="150" w:type="dxa"/>
              <w:bottom w:w="150" w:type="dxa"/>
              <w:right w:w="150" w:type="dxa"/>
            </w:tcMar>
            <w:vAlign w:val="center"/>
            <w:hideMark/>
          </w:tcPr>
          <w:p w14:paraId="189396E5"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w:t>
            </w:r>
          </w:p>
        </w:tc>
        <w:tc>
          <w:tcPr>
            <w:tcW w:w="593" w:type="dxa"/>
            <w:shd w:val="clear" w:color="auto" w:fill="D9D9D9"/>
            <w:tcMar>
              <w:top w:w="150" w:type="dxa"/>
              <w:left w:w="150" w:type="dxa"/>
              <w:bottom w:w="150" w:type="dxa"/>
              <w:right w:w="150" w:type="dxa"/>
            </w:tcMar>
            <w:vAlign w:val="center"/>
            <w:hideMark/>
          </w:tcPr>
          <w:p w14:paraId="71108DC1"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w:t>
            </w:r>
          </w:p>
        </w:tc>
        <w:tc>
          <w:tcPr>
            <w:tcW w:w="1135" w:type="dxa"/>
            <w:shd w:val="clear" w:color="auto" w:fill="D9D9D9"/>
            <w:tcMar>
              <w:top w:w="150" w:type="dxa"/>
              <w:left w:w="150" w:type="dxa"/>
              <w:bottom w:w="150" w:type="dxa"/>
              <w:right w:w="150" w:type="dxa"/>
            </w:tcMar>
            <w:vAlign w:val="center"/>
            <w:hideMark/>
          </w:tcPr>
          <w:p w14:paraId="231B18A8" w14:textId="77777777" w:rsidR="0001353A" w:rsidRPr="00B15DC3" w:rsidRDefault="0001353A" w:rsidP="0001353A">
            <w:pPr>
              <w:ind w:right="174"/>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46</w:t>
            </w:r>
          </w:p>
        </w:tc>
      </w:tr>
      <w:tr w:rsidR="0001353A" w:rsidRPr="00B15DC3" w14:paraId="0073B563" w14:textId="77777777" w:rsidTr="00B15DC3">
        <w:trPr>
          <w:trHeight w:val="884"/>
        </w:trPr>
        <w:tc>
          <w:tcPr>
            <w:tcW w:w="1017" w:type="dxa"/>
            <w:tcMar>
              <w:top w:w="150" w:type="dxa"/>
              <w:left w:w="150" w:type="dxa"/>
              <w:bottom w:w="150" w:type="dxa"/>
              <w:right w:w="150" w:type="dxa"/>
            </w:tcMar>
            <w:vAlign w:val="center"/>
            <w:hideMark/>
          </w:tcPr>
          <w:p w14:paraId="10AA7EB2" w14:textId="77777777" w:rsidR="0001353A" w:rsidRPr="00B15DC3" w:rsidRDefault="0001353A" w:rsidP="0001353A">
            <w:pPr>
              <w:rPr>
                <w:rFonts w:ascii="Times New Roman" w:eastAsia="Times New Roman" w:hAnsi="Times New Roman" w:cs="Times New Roman"/>
                <w:color w:val="000000" w:themeColor="text1"/>
                <w:sz w:val="18"/>
                <w:szCs w:val="18"/>
                <w:lang w:eastAsia="ru-RU"/>
              </w:rPr>
            </w:pPr>
            <w:r w:rsidRPr="00B15DC3">
              <w:rPr>
                <w:rFonts w:ascii="Times New Roman" w:eastAsia="Times New Roman" w:hAnsi="Times New Roman" w:cs="Times New Roman"/>
                <w:color w:val="000000" w:themeColor="text1"/>
                <w:sz w:val="18"/>
                <w:szCs w:val="18"/>
                <w:lang w:eastAsia="ru-RU"/>
              </w:rPr>
              <w:t> </w:t>
            </w:r>
          </w:p>
        </w:tc>
        <w:tc>
          <w:tcPr>
            <w:tcW w:w="862" w:type="dxa"/>
            <w:tcMar>
              <w:top w:w="150" w:type="dxa"/>
              <w:left w:w="150" w:type="dxa"/>
              <w:bottom w:w="150" w:type="dxa"/>
              <w:right w:w="150" w:type="dxa"/>
            </w:tcMar>
            <w:vAlign w:val="center"/>
            <w:hideMark/>
          </w:tcPr>
          <w:p w14:paraId="77CB1FB1"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F4</w:t>
            </w:r>
          </w:p>
        </w:tc>
        <w:tc>
          <w:tcPr>
            <w:tcW w:w="1174" w:type="dxa"/>
            <w:tcMar>
              <w:top w:w="150" w:type="dxa"/>
              <w:left w:w="150" w:type="dxa"/>
              <w:bottom w:w="150" w:type="dxa"/>
              <w:right w:w="150" w:type="dxa"/>
            </w:tcMar>
            <w:vAlign w:val="center"/>
            <w:hideMark/>
          </w:tcPr>
          <w:p w14:paraId="468BCFDF" w14:textId="45FCB6BC"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2691 (в тому числі 1428 ВГС</w:t>
            </w:r>
            <w:r w:rsidR="00FC6D8A">
              <w:rPr>
                <w:rFonts w:ascii="Times New Roman" w:hAnsi="Times New Roman" w:cs="Times New Roman"/>
                <w:color w:val="000000" w:themeColor="text1"/>
                <w:sz w:val="18"/>
                <w:szCs w:val="18"/>
                <w:lang w:eastAsia="ru-RU"/>
              </w:rPr>
              <w:t>–</w:t>
            </w:r>
            <w:r w:rsidRPr="00B15DC3">
              <w:rPr>
                <w:rFonts w:ascii="Times New Roman" w:hAnsi="Times New Roman" w:cs="Times New Roman"/>
                <w:color w:val="000000" w:themeColor="text1"/>
                <w:sz w:val="18"/>
                <w:szCs w:val="18"/>
                <w:lang w:eastAsia="ru-RU"/>
              </w:rPr>
              <w:t>інфікованих)</w:t>
            </w:r>
          </w:p>
        </w:tc>
        <w:tc>
          <w:tcPr>
            <w:tcW w:w="997" w:type="dxa"/>
            <w:tcMar>
              <w:top w:w="150" w:type="dxa"/>
              <w:left w:w="150" w:type="dxa"/>
              <w:bottom w:w="150" w:type="dxa"/>
              <w:right w:w="150" w:type="dxa"/>
            </w:tcMar>
            <w:vAlign w:val="center"/>
            <w:hideMark/>
          </w:tcPr>
          <w:p w14:paraId="7CB2808A"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2,19–2,67 м/с</w:t>
            </w:r>
          </w:p>
        </w:tc>
        <w:tc>
          <w:tcPr>
            <w:tcW w:w="1054" w:type="dxa"/>
            <w:tcMar>
              <w:top w:w="150" w:type="dxa"/>
              <w:left w:w="150" w:type="dxa"/>
              <w:bottom w:w="150" w:type="dxa"/>
              <w:right w:w="150" w:type="dxa"/>
            </w:tcMar>
            <w:vAlign w:val="center"/>
            <w:hideMark/>
          </w:tcPr>
          <w:p w14:paraId="66FA28DD"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0,91 (95% ДІ 0,89–0,94)</w:t>
            </w:r>
          </w:p>
        </w:tc>
        <w:tc>
          <w:tcPr>
            <w:tcW w:w="1107" w:type="dxa"/>
            <w:tcMar>
              <w:top w:w="150" w:type="dxa"/>
              <w:left w:w="150" w:type="dxa"/>
              <w:bottom w:w="150" w:type="dxa"/>
              <w:right w:w="150" w:type="dxa"/>
            </w:tcMar>
            <w:vAlign w:val="center"/>
            <w:hideMark/>
          </w:tcPr>
          <w:p w14:paraId="25FE9482"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86% (95% ДІ 80–91%)</w:t>
            </w:r>
          </w:p>
        </w:tc>
        <w:tc>
          <w:tcPr>
            <w:tcW w:w="1020" w:type="dxa"/>
            <w:tcMar>
              <w:top w:w="150" w:type="dxa"/>
              <w:left w:w="150" w:type="dxa"/>
              <w:bottom w:w="150" w:type="dxa"/>
              <w:right w:w="150" w:type="dxa"/>
            </w:tcMar>
            <w:vAlign w:val="center"/>
            <w:hideMark/>
          </w:tcPr>
          <w:p w14:paraId="3293FA1F"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84%</w:t>
            </w:r>
          </w:p>
          <w:p w14:paraId="71EF4842"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(95% ДІ 80–88%)</w:t>
            </w:r>
          </w:p>
        </w:tc>
        <w:tc>
          <w:tcPr>
            <w:tcW w:w="639" w:type="dxa"/>
            <w:tcMar>
              <w:top w:w="150" w:type="dxa"/>
              <w:left w:w="150" w:type="dxa"/>
              <w:bottom w:w="150" w:type="dxa"/>
              <w:right w:w="150" w:type="dxa"/>
            </w:tcMar>
            <w:vAlign w:val="center"/>
            <w:hideMark/>
          </w:tcPr>
          <w:p w14:paraId="03B3F362"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w:t>
            </w:r>
          </w:p>
        </w:tc>
        <w:tc>
          <w:tcPr>
            <w:tcW w:w="593" w:type="dxa"/>
            <w:tcMar>
              <w:top w:w="150" w:type="dxa"/>
              <w:left w:w="150" w:type="dxa"/>
              <w:bottom w:w="150" w:type="dxa"/>
              <w:right w:w="150" w:type="dxa"/>
            </w:tcMar>
            <w:vAlign w:val="center"/>
            <w:hideMark/>
          </w:tcPr>
          <w:p w14:paraId="298C9D31"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w:t>
            </w:r>
          </w:p>
        </w:tc>
        <w:tc>
          <w:tcPr>
            <w:tcW w:w="1135" w:type="dxa"/>
            <w:tcMar>
              <w:top w:w="150" w:type="dxa"/>
              <w:left w:w="150" w:type="dxa"/>
              <w:bottom w:w="150" w:type="dxa"/>
              <w:right w:w="150" w:type="dxa"/>
            </w:tcMar>
            <w:vAlign w:val="center"/>
            <w:hideMark/>
          </w:tcPr>
          <w:p w14:paraId="1277292F" w14:textId="77777777" w:rsidR="0001353A" w:rsidRPr="00B15DC3" w:rsidRDefault="0001353A" w:rsidP="0001353A">
            <w:pPr>
              <w:ind w:right="174"/>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46</w:t>
            </w:r>
          </w:p>
        </w:tc>
      </w:tr>
      <w:tr w:rsidR="0001353A" w:rsidRPr="00B15DC3" w14:paraId="49C0B519" w14:textId="77777777" w:rsidTr="00B15DC3">
        <w:trPr>
          <w:trHeight w:val="667"/>
        </w:trPr>
        <w:tc>
          <w:tcPr>
            <w:tcW w:w="1017" w:type="dxa"/>
            <w:shd w:val="clear" w:color="auto" w:fill="D9D9D9"/>
            <w:tcMar>
              <w:top w:w="150" w:type="dxa"/>
              <w:left w:w="150" w:type="dxa"/>
              <w:bottom w:w="150" w:type="dxa"/>
              <w:right w:w="150" w:type="dxa"/>
            </w:tcMar>
            <w:vAlign w:val="center"/>
            <w:hideMark/>
          </w:tcPr>
          <w:p w14:paraId="72024B1D" w14:textId="77777777" w:rsidR="0001353A" w:rsidRPr="00B15DC3" w:rsidRDefault="0001353A" w:rsidP="0001353A">
            <w:pP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Aixplorer</w:t>
            </w:r>
            <w:r w:rsidRPr="00B15DC3">
              <w:rPr>
                <w:rFonts w:ascii="Times New Roman" w:hAnsi="Times New Roman" w:cs="Times New Roman"/>
                <w:color w:val="000000" w:themeColor="text1"/>
                <w:sz w:val="18"/>
                <w:szCs w:val="18"/>
                <w:bdr w:val="none" w:sz="0" w:space="0" w:color="auto" w:frame="1"/>
                <w:vertAlign w:val="superscript"/>
                <w:lang w:eastAsia="ru-RU"/>
              </w:rPr>
              <w:t>®</w:t>
            </w:r>
          </w:p>
        </w:tc>
        <w:tc>
          <w:tcPr>
            <w:tcW w:w="862" w:type="dxa"/>
            <w:shd w:val="clear" w:color="auto" w:fill="D9D9D9"/>
            <w:tcMar>
              <w:top w:w="150" w:type="dxa"/>
              <w:left w:w="150" w:type="dxa"/>
              <w:bottom w:w="150" w:type="dxa"/>
              <w:right w:w="150" w:type="dxa"/>
            </w:tcMar>
            <w:vAlign w:val="center"/>
            <w:hideMark/>
          </w:tcPr>
          <w:p w14:paraId="5D08818F"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F3</w:t>
            </w:r>
          </w:p>
        </w:tc>
        <w:tc>
          <w:tcPr>
            <w:tcW w:w="1174" w:type="dxa"/>
            <w:shd w:val="clear" w:color="auto" w:fill="D9D9D9"/>
            <w:tcMar>
              <w:top w:w="150" w:type="dxa"/>
              <w:left w:w="150" w:type="dxa"/>
              <w:bottom w:w="150" w:type="dxa"/>
              <w:right w:w="150" w:type="dxa"/>
            </w:tcMar>
            <w:vAlign w:val="center"/>
            <w:hideMark/>
          </w:tcPr>
          <w:p w14:paraId="2A5F313A" w14:textId="5EF9AC25"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379 ВГС</w:t>
            </w:r>
            <w:r w:rsidR="00FC6D8A">
              <w:rPr>
                <w:rFonts w:ascii="Times New Roman" w:hAnsi="Times New Roman" w:cs="Times New Roman"/>
                <w:color w:val="000000" w:themeColor="text1"/>
                <w:sz w:val="18"/>
                <w:szCs w:val="18"/>
                <w:lang w:eastAsia="ru-RU"/>
              </w:rPr>
              <w:t>–</w:t>
            </w:r>
            <w:r w:rsidRPr="00B15DC3">
              <w:rPr>
                <w:rFonts w:ascii="Times New Roman" w:hAnsi="Times New Roman" w:cs="Times New Roman"/>
                <w:color w:val="000000" w:themeColor="text1"/>
                <w:sz w:val="18"/>
                <w:szCs w:val="18"/>
                <w:lang w:eastAsia="ru-RU"/>
              </w:rPr>
              <w:t>інфікованих</w:t>
            </w:r>
          </w:p>
        </w:tc>
        <w:tc>
          <w:tcPr>
            <w:tcW w:w="997" w:type="dxa"/>
            <w:shd w:val="clear" w:color="auto" w:fill="D9D9D9"/>
            <w:tcMar>
              <w:top w:w="150" w:type="dxa"/>
              <w:left w:w="150" w:type="dxa"/>
              <w:bottom w:w="150" w:type="dxa"/>
              <w:right w:w="150" w:type="dxa"/>
            </w:tcMar>
            <w:vAlign w:val="center"/>
            <w:hideMark/>
          </w:tcPr>
          <w:p w14:paraId="20F05597"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9 кПа</w:t>
            </w:r>
            <w:r w:rsidRPr="00B15DC3">
              <w:rPr>
                <w:rFonts w:ascii="Times New Roman" w:hAnsi="Times New Roman" w:cs="Times New Roman"/>
                <w:color w:val="000000" w:themeColor="text1"/>
                <w:sz w:val="18"/>
                <w:szCs w:val="18"/>
                <w:bdr w:val="none" w:sz="0" w:space="0" w:color="auto" w:frame="1"/>
                <w:vertAlign w:val="superscript"/>
                <w:lang w:eastAsia="ru-RU"/>
              </w:rPr>
              <w:t>а</w:t>
            </w:r>
          </w:p>
        </w:tc>
        <w:tc>
          <w:tcPr>
            <w:tcW w:w="1054" w:type="dxa"/>
            <w:shd w:val="clear" w:color="auto" w:fill="D9D9D9"/>
            <w:tcMar>
              <w:top w:w="150" w:type="dxa"/>
              <w:left w:w="150" w:type="dxa"/>
              <w:bottom w:w="150" w:type="dxa"/>
              <w:right w:w="150" w:type="dxa"/>
            </w:tcMar>
            <w:vAlign w:val="center"/>
            <w:hideMark/>
          </w:tcPr>
          <w:p w14:paraId="3F103B53"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0,91</w:t>
            </w:r>
          </w:p>
        </w:tc>
        <w:tc>
          <w:tcPr>
            <w:tcW w:w="1107" w:type="dxa"/>
            <w:shd w:val="clear" w:color="auto" w:fill="D9D9D9"/>
            <w:tcMar>
              <w:top w:w="150" w:type="dxa"/>
              <w:left w:w="150" w:type="dxa"/>
              <w:bottom w:w="150" w:type="dxa"/>
              <w:right w:w="150" w:type="dxa"/>
            </w:tcMar>
            <w:vAlign w:val="center"/>
            <w:hideMark/>
          </w:tcPr>
          <w:p w14:paraId="6CC0C534"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90% (95% ДІ 72–100%)</w:t>
            </w:r>
          </w:p>
        </w:tc>
        <w:tc>
          <w:tcPr>
            <w:tcW w:w="1020" w:type="dxa"/>
            <w:shd w:val="clear" w:color="auto" w:fill="D9D9D9"/>
            <w:tcMar>
              <w:top w:w="150" w:type="dxa"/>
              <w:left w:w="150" w:type="dxa"/>
              <w:bottom w:w="150" w:type="dxa"/>
              <w:right w:w="150" w:type="dxa"/>
            </w:tcMar>
            <w:vAlign w:val="center"/>
            <w:hideMark/>
          </w:tcPr>
          <w:p w14:paraId="3A5A44DE"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77%</w:t>
            </w:r>
          </w:p>
          <w:p w14:paraId="3410BE8F"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(95% ДІ 78–92%)</w:t>
            </w:r>
          </w:p>
        </w:tc>
        <w:tc>
          <w:tcPr>
            <w:tcW w:w="639" w:type="dxa"/>
            <w:shd w:val="clear" w:color="auto" w:fill="D9D9D9"/>
            <w:tcMar>
              <w:top w:w="150" w:type="dxa"/>
              <w:left w:w="150" w:type="dxa"/>
              <w:bottom w:w="150" w:type="dxa"/>
              <w:right w:w="150" w:type="dxa"/>
            </w:tcMar>
            <w:vAlign w:val="center"/>
            <w:hideMark/>
          </w:tcPr>
          <w:p w14:paraId="016B397D"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w:t>
            </w:r>
          </w:p>
        </w:tc>
        <w:tc>
          <w:tcPr>
            <w:tcW w:w="593" w:type="dxa"/>
            <w:shd w:val="clear" w:color="auto" w:fill="D9D9D9"/>
            <w:tcMar>
              <w:top w:w="150" w:type="dxa"/>
              <w:left w:w="150" w:type="dxa"/>
              <w:bottom w:w="150" w:type="dxa"/>
              <w:right w:w="150" w:type="dxa"/>
            </w:tcMar>
            <w:vAlign w:val="center"/>
            <w:hideMark/>
          </w:tcPr>
          <w:p w14:paraId="0989131B"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w:t>
            </w:r>
          </w:p>
        </w:tc>
        <w:tc>
          <w:tcPr>
            <w:tcW w:w="1135" w:type="dxa"/>
            <w:shd w:val="clear" w:color="auto" w:fill="D9D9D9"/>
            <w:tcMar>
              <w:top w:w="150" w:type="dxa"/>
              <w:left w:w="150" w:type="dxa"/>
              <w:bottom w:w="150" w:type="dxa"/>
              <w:right w:w="150" w:type="dxa"/>
            </w:tcMar>
            <w:vAlign w:val="center"/>
            <w:hideMark/>
          </w:tcPr>
          <w:p w14:paraId="6AAEAA1B" w14:textId="77777777" w:rsidR="0001353A" w:rsidRPr="00B15DC3" w:rsidRDefault="0001353A" w:rsidP="0001353A">
            <w:pPr>
              <w:ind w:right="174"/>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45</w:t>
            </w:r>
          </w:p>
        </w:tc>
      </w:tr>
      <w:tr w:rsidR="0001353A" w:rsidRPr="00B15DC3" w14:paraId="22E84B32" w14:textId="77777777" w:rsidTr="00B15DC3">
        <w:trPr>
          <w:trHeight w:val="667"/>
        </w:trPr>
        <w:tc>
          <w:tcPr>
            <w:tcW w:w="1017" w:type="dxa"/>
            <w:tcMar>
              <w:top w:w="150" w:type="dxa"/>
              <w:left w:w="150" w:type="dxa"/>
              <w:bottom w:w="150" w:type="dxa"/>
              <w:right w:w="150" w:type="dxa"/>
            </w:tcMar>
            <w:vAlign w:val="center"/>
            <w:hideMark/>
          </w:tcPr>
          <w:p w14:paraId="00F055CE" w14:textId="77777777" w:rsidR="0001353A" w:rsidRPr="00B15DC3" w:rsidRDefault="0001353A" w:rsidP="0001353A">
            <w:pPr>
              <w:rPr>
                <w:rFonts w:ascii="Times New Roman" w:eastAsia="Times New Roman" w:hAnsi="Times New Roman" w:cs="Times New Roman"/>
                <w:color w:val="000000" w:themeColor="text1"/>
                <w:sz w:val="18"/>
                <w:szCs w:val="18"/>
                <w:lang w:eastAsia="ru-RU"/>
              </w:rPr>
            </w:pPr>
            <w:r w:rsidRPr="00B15DC3">
              <w:rPr>
                <w:rFonts w:ascii="Times New Roman" w:eastAsia="Times New Roman" w:hAnsi="Times New Roman" w:cs="Times New Roman"/>
                <w:color w:val="000000" w:themeColor="text1"/>
                <w:sz w:val="18"/>
                <w:szCs w:val="18"/>
                <w:lang w:eastAsia="ru-RU"/>
              </w:rPr>
              <w:t> </w:t>
            </w:r>
          </w:p>
        </w:tc>
        <w:tc>
          <w:tcPr>
            <w:tcW w:w="862" w:type="dxa"/>
            <w:tcMar>
              <w:top w:w="150" w:type="dxa"/>
              <w:left w:w="150" w:type="dxa"/>
              <w:bottom w:w="150" w:type="dxa"/>
              <w:right w:w="150" w:type="dxa"/>
            </w:tcMar>
            <w:vAlign w:val="center"/>
            <w:hideMark/>
          </w:tcPr>
          <w:p w14:paraId="1F186B85"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F4</w:t>
            </w:r>
          </w:p>
        </w:tc>
        <w:tc>
          <w:tcPr>
            <w:tcW w:w="1174" w:type="dxa"/>
            <w:tcMar>
              <w:top w:w="150" w:type="dxa"/>
              <w:left w:w="150" w:type="dxa"/>
              <w:bottom w:w="150" w:type="dxa"/>
              <w:right w:w="150" w:type="dxa"/>
            </w:tcMar>
            <w:vAlign w:val="center"/>
            <w:hideMark/>
          </w:tcPr>
          <w:p w14:paraId="06E1A330" w14:textId="68467C1E"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379 ВГС</w:t>
            </w:r>
            <w:r w:rsidR="00FC6D8A">
              <w:rPr>
                <w:rFonts w:ascii="Times New Roman" w:hAnsi="Times New Roman" w:cs="Times New Roman"/>
                <w:color w:val="000000" w:themeColor="text1"/>
                <w:sz w:val="18"/>
                <w:szCs w:val="18"/>
                <w:lang w:eastAsia="ru-RU"/>
              </w:rPr>
              <w:t>–</w:t>
            </w:r>
            <w:r w:rsidRPr="00B15DC3">
              <w:rPr>
                <w:rFonts w:ascii="Times New Roman" w:hAnsi="Times New Roman" w:cs="Times New Roman"/>
                <w:color w:val="000000" w:themeColor="text1"/>
                <w:sz w:val="18"/>
                <w:szCs w:val="18"/>
                <w:lang w:eastAsia="ru-RU"/>
              </w:rPr>
              <w:t>інфікованих</w:t>
            </w:r>
          </w:p>
        </w:tc>
        <w:tc>
          <w:tcPr>
            <w:tcW w:w="997" w:type="dxa"/>
            <w:tcMar>
              <w:top w:w="150" w:type="dxa"/>
              <w:left w:w="150" w:type="dxa"/>
              <w:bottom w:w="150" w:type="dxa"/>
              <w:right w:w="150" w:type="dxa"/>
            </w:tcMar>
            <w:vAlign w:val="center"/>
            <w:hideMark/>
          </w:tcPr>
          <w:p w14:paraId="193E2D90"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13 кПа</w:t>
            </w:r>
            <w:r w:rsidRPr="00B15DC3">
              <w:rPr>
                <w:rFonts w:ascii="Times New Roman" w:hAnsi="Times New Roman" w:cs="Times New Roman"/>
                <w:color w:val="000000" w:themeColor="text1"/>
                <w:sz w:val="18"/>
                <w:szCs w:val="18"/>
                <w:bdr w:val="none" w:sz="0" w:space="0" w:color="auto" w:frame="1"/>
                <w:vertAlign w:val="superscript"/>
                <w:lang w:eastAsia="ru-RU"/>
              </w:rPr>
              <w:t>а</w:t>
            </w:r>
          </w:p>
        </w:tc>
        <w:tc>
          <w:tcPr>
            <w:tcW w:w="1054" w:type="dxa"/>
            <w:tcMar>
              <w:top w:w="150" w:type="dxa"/>
              <w:left w:w="150" w:type="dxa"/>
              <w:bottom w:w="150" w:type="dxa"/>
              <w:right w:w="150" w:type="dxa"/>
            </w:tcMar>
            <w:vAlign w:val="center"/>
            <w:hideMark/>
          </w:tcPr>
          <w:p w14:paraId="0166A33A"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0,93</w:t>
            </w:r>
          </w:p>
        </w:tc>
        <w:tc>
          <w:tcPr>
            <w:tcW w:w="1107" w:type="dxa"/>
            <w:tcMar>
              <w:top w:w="150" w:type="dxa"/>
              <w:left w:w="150" w:type="dxa"/>
              <w:bottom w:w="150" w:type="dxa"/>
              <w:right w:w="150" w:type="dxa"/>
            </w:tcMar>
            <w:vAlign w:val="center"/>
            <w:hideMark/>
          </w:tcPr>
          <w:p w14:paraId="5990A2DA"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86% (95% ДІ 74–95%)</w:t>
            </w:r>
          </w:p>
        </w:tc>
        <w:tc>
          <w:tcPr>
            <w:tcW w:w="1020" w:type="dxa"/>
            <w:tcMar>
              <w:top w:w="150" w:type="dxa"/>
              <w:left w:w="150" w:type="dxa"/>
              <w:bottom w:w="150" w:type="dxa"/>
              <w:right w:w="150" w:type="dxa"/>
            </w:tcMar>
            <w:vAlign w:val="center"/>
            <w:hideMark/>
          </w:tcPr>
          <w:p w14:paraId="1CC45EED"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88%</w:t>
            </w:r>
          </w:p>
          <w:p w14:paraId="347A69A3"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(95% ДІ 72–98%)</w:t>
            </w:r>
          </w:p>
        </w:tc>
        <w:tc>
          <w:tcPr>
            <w:tcW w:w="639" w:type="dxa"/>
            <w:tcMar>
              <w:top w:w="150" w:type="dxa"/>
              <w:left w:w="150" w:type="dxa"/>
              <w:bottom w:w="150" w:type="dxa"/>
              <w:right w:w="150" w:type="dxa"/>
            </w:tcMar>
            <w:vAlign w:val="center"/>
            <w:hideMark/>
          </w:tcPr>
          <w:p w14:paraId="57336D40"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w:t>
            </w:r>
          </w:p>
        </w:tc>
        <w:tc>
          <w:tcPr>
            <w:tcW w:w="593" w:type="dxa"/>
            <w:tcMar>
              <w:top w:w="150" w:type="dxa"/>
              <w:left w:w="150" w:type="dxa"/>
              <w:bottom w:w="150" w:type="dxa"/>
              <w:right w:w="150" w:type="dxa"/>
            </w:tcMar>
            <w:vAlign w:val="center"/>
            <w:hideMark/>
          </w:tcPr>
          <w:p w14:paraId="6AF324B0"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w:t>
            </w:r>
          </w:p>
        </w:tc>
        <w:tc>
          <w:tcPr>
            <w:tcW w:w="1135" w:type="dxa"/>
            <w:tcMar>
              <w:top w:w="150" w:type="dxa"/>
              <w:left w:w="150" w:type="dxa"/>
              <w:bottom w:w="150" w:type="dxa"/>
              <w:right w:w="150" w:type="dxa"/>
            </w:tcMar>
            <w:vAlign w:val="center"/>
            <w:hideMark/>
          </w:tcPr>
          <w:p w14:paraId="0CD3581F" w14:textId="77777777" w:rsidR="0001353A" w:rsidRPr="00B15DC3" w:rsidRDefault="0001353A" w:rsidP="0001353A">
            <w:pPr>
              <w:ind w:right="174"/>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45</w:t>
            </w:r>
          </w:p>
        </w:tc>
      </w:tr>
      <w:tr w:rsidR="0001353A" w:rsidRPr="00B15DC3" w14:paraId="58737458" w14:textId="77777777" w:rsidTr="00B15DC3">
        <w:trPr>
          <w:trHeight w:val="1116"/>
        </w:trPr>
        <w:tc>
          <w:tcPr>
            <w:tcW w:w="1017" w:type="dxa"/>
            <w:shd w:val="clear" w:color="auto" w:fill="D9D9D9"/>
            <w:tcMar>
              <w:top w:w="150" w:type="dxa"/>
              <w:left w:w="150" w:type="dxa"/>
              <w:bottom w:w="150" w:type="dxa"/>
              <w:right w:w="150" w:type="dxa"/>
            </w:tcMar>
            <w:vAlign w:val="center"/>
            <w:hideMark/>
          </w:tcPr>
          <w:p w14:paraId="44997DE7" w14:textId="77777777" w:rsidR="0001353A" w:rsidRPr="00B15DC3" w:rsidRDefault="0001353A" w:rsidP="0001353A">
            <w:pP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Fibrotest</w:t>
            </w:r>
            <w:r w:rsidRPr="00B15DC3">
              <w:rPr>
                <w:rFonts w:ascii="Times New Roman" w:hAnsi="Times New Roman" w:cs="Times New Roman"/>
                <w:color w:val="000000" w:themeColor="text1"/>
                <w:sz w:val="18"/>
                <w:szCs w:val="18"/>
                <w:bdr w:val="none" w:sz="0" w:space="0" w:color="auto" w:frame="1"/>
                <w:vertAlign w:val="superscript"/>
                <w:lang w:eastAsia="ru-RU"/>
              </w:rPr>
              <w:t>®</w:t>
            </w:r>
          </w:p>
        </w:tc>
        <w:tc>
          <w:tcPr>
            <w:tcW w:w="862" w:type="dxa"/>
            <w:shd w:val="clear" w:color="auto" w:fill="D9D9D9"/>
            <w:tcMar>
              <w:top w:w="150" w:type="dxa"/>
              <w:left w:w="150" w:type="dxa"/>
              <w:bottom w:w="150" w:type="dxa"/>
              <w:right w:w="150" w:type="dxa"/>
            </w:tcMar>
            <w:vAlign w:val="center"/>
            <w:hideMark/>
          </w:tcPr>
          <w:p w14:paraId="4F7FDE5C"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F4</w:t>
            </w:r>
          </w:p>
        </w:tc>
        <w:tc>
          <w:tcPr>
            <w:tcW w:w="1174" w:type="dxa"/>
            <w:shd w:val="clear" w:color="auto" w:fill="D9D9D9"/>
            <w:tcMar>
              <w:top w:w="150" w:type="dxa"/>
              <w:left w:w="150" w:type="dxa"/>
              <w:bottom w:w="150" w:type="dxa"/>
              <w:right w:w="150" w:type="dxa"/>
            </w:tcMar>
            <w:vAlign w:val="center"/>
            <w:hideMark/>
          </w:tcPr>
          <w:p w14:paraId="77824849" w14:textId="71386F05"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1 579 (в тому числі 1295 ВГС</w:t>
            </w:r>
            <w:r w:rsidR="00FC6D8A">
              <w:rPr>
                <w:rFonts w:ascii="Times New Roman" w:hAnsi="Times New Roman" w:cs="Times New Roman"/>
                <w:color w:val="000000" w:themeColor="text1"/>
                <w:sz w:val="18"/>
                <w:szCs w:val="18"/>
                <w:lang w:eastAsia="ru-RU"/>
              </w:rPr>
              <w:t>–</w:t>
            </w:r>
            <w:r w:rsidRPr="00B15DC3">
              <w:rPr>
                <w:rFonts w:ascii="Times New Roman" w:hAnsi="Times New Roman" w:cs="Times New Roman"/>
                <w:color w:val="000000" w:themeColor="text1"/>
                <w:sz w:val="18"/>
                <w:szCs w:val="18"/>
                <w:lang w:eastAsia="ru-RU"/>
              </w:rPr>
              <w:t>інфікованих)</w:t>
            </w:r>
          </w:p>
        </w:tc>
        <w:tc>
          <w:tcPr>
            <w:tcW w:w="997" w:type="dxa"/>
            <w:shd w:val="clear" w:color="auto" w:fill="D9D9D9"/>
            <w:tcMar>
              <w:top w:w="150" w:type="dxa"/>
              <w:left w:w="150" w:type="dxa"/>
              <w:bottom w:w="150" w:type="dxa"/>
              <w:right w:w="150" w:type="dxa"/>
            </w:tcMar>
            <w:vAlign w:val="center"/>
            <w:hideMark/>
          </w:tcPr>
          <w:p w14:paraId="5C1C02B1"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0,74</w:t>
            </w:r>
          </w:p>
        </w:tc>
        <w:tc>
          <w:tcPr>
            <w:tcW w:w="1054" w:type="dxa"/>
            <w:shd w:val="clear" w:color="auto" w:fill="D9D9D9"/>
            <w:tcMar>
              <w:top w:w="150" w:type="dxa"/>
              <w:left w:w="150" w:type="dxa"/>
              <w:bottom w:w="150" w:type="dxa"/>
              <w:right w:w="150" w:type="dxa"/>
            </w:tcMar>
            <w:vAlign w:val="center"/>
            <w:hideMark/>
          </w:tcPr>
          <w:p w14:paraId="39A028FA"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0,82–0,87</w:t>
            </w:r>
          </w:p>
        </w:tc>
        <w:tc>
          <w:tcPr>
            <w:tcW w:w="1107" w:type="dxa"/>
            <w:shd w:val="clear" w:color="auto" w:fill="D9D9D9"/>
            <w:tcMar>
              <w:top w:w="150" w:type="dxa"/>
              <w:left w:w="150" w:type="dxa"/>
              <w:bottom w:w="150" w:type="dxa"/>
              <w:right w:w="150" w:type="dxa"/>
            </w:tcMar>
            <w:vAlign w:val="center"/>
            <w:hideMark/>
          </w:tcPr>
          <w:p w14:paraId="5050CF25"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63–71%</w:t>
            </w:r>
          </w:p>
        </w:tc>
        <w:tc>
          <w:tcPr>
            <w:tcW w:w="1020" w:type="dxa"/>
            <w:shd w:val="clear" w:color="auto" w:fill="D9D9D9"/>
            <w:tcMar>
              <w:top w:w="150" w:type="dxa"/>
              <w:left w:w="150" w:type="dxa"/>
              <w:bottom w:w="150" w:type="dxa"/>
              <w:right w:w="150" w:type="dxa"/>
            </w:tcMar>
            <w:vAlign w:val="center"/>
            <w:hideMark/>
          </w:tcPr>
          <w:p w14:paraId="47278D7E"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81–84%</w:t>
            </w:r>
          </w:p>
        </w:tc>
        <w:tc>
          <w:tcPr>
            <w:tcW w:w="639" w:type="dxa"/>
            <w:shd w:val="clear" w:color="auto" w:fill="D9D9D9"/>
            <w:tcMar>
              <w:top w:w="150" w:type="dxa"/>
              <w:left w:w="150" w:type="dxa"/>
              <w:bottom w:w="150" w:type="dxa"/>
              <w:right w:w="150" w:type="dxa"/>
            </w:tcMar>
            <w:vAlign w:val="center"/>
            <w:hideMark/>
          </w:tcPr>
          <w:p w14:paraId="536BE673"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39–40</w:t>
            </w:r>
          </w:p>
        </w:tc>
        <w:tc>
          <w:tcPr>
            <w:tcW w:w="593" w:type="dxa"/>
            <w:shd w:val="clear" w:color="auto" w:fill="D9D9D9"/>
            <w:tcMar>
              <w:top w:w="150" w:type="dxa"/>
              <w:left w:w="150" w:type="dxa"/>
              <w:bottom w:w="150" w:type="dxa"/>
              <w:right w:w="150" w:type="dxa"/>
            </w:tcMar>
            <w:vAlign w:val="center"/>
            <w:hideMark/>
          </w:tcPr>
          <w:p w14:paraId="6D74B526"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93–94</w:t>
            </w:r>
          </w:p>
        </w:tc>
        <w:tc>
          <w:tcPr>
            <w:tcW w:w="1135" w:type="dxa"/>
            <w:shd w:val="clear" w:color="auto" w:fill="D9D9D9"/>
            <w:tcMar>
              <w:top w:w="150" w:type="dxa"/>
              <w:left w:w="150" w:type="dxa"/>
              <w:bottom w:w="150" w:type="dxa"/>
              <w:right w:w="150" w:type="dxa"/>
            </w:tcMar>
            <w:vAlign w:val="center"/>
            <w:hideMark/>
          </w:tcPr>
          <w:p w14:paraId="315657CF" w14:textId="77777777" w:rsidR="0001353A" w:rsidRPr="00B15DC3" w:rsidRDefault="0001353A" w:rsidP="0001353A">
            <w:pPr>
              <w:ind w:right="174"/>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44,47</w:t>
            </w:r>
          </w:p>
        </w:tc>
      </w:tr>
      <w:tr w:rsidR="0001353A" w:rsidRPr="00B15DC3" w14:paraId="67C670AE" w14:textId="77777777" w:rsidTr="00B15DC3">
        <w:trPr>
          <w:trHeight w:val="449"/>
        </w:trPr>
        <w:tc>
          <w:tcPr>
            <w:tcW w:w="1017" w:type="dxa"/>
            <w:tcMar>
              <w:top w:w="150" w:type="dxa"/>
              <w:left w:w="150" w:type="dxa"/>
              <w:bottom w:w="150" w:type="dxa"/>
              <w:right w:w="150" w:type="dxa"/>
            </w:tcMar>
            <w:vAlign w:val="center"/>
            <w:hideMark/>
          </w:tcPr>
          <w:p w14:paraId="60432D22" w14:textId="558A29B5" w:rsidR="0001353A" w:rsidRPr="00B15DC3" w:rsidRDefault="0001353A" w:rsidP="0001353A">
            <w:pP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FIB</w:t>
            </w:r>
            <w:r w:rsidR="00FC6D8A">
              <w:rPr>
                <w:rFonts w:ascii="Times New Roman" w:hAnsi="Times New Roman" w:cs="Times New Roman"/>
                <w:color w:val="000000" w:themeColor="text1"/>
                <w:sz w:val="18"/>
                <w:szCs w:val="18"/>
                <w:lang w:eastAsia="ru-RU"/>
              </w:rPr>
              <w:t>–</w:t>
            </w:r>
            <w:r w:rsidRPr="00B15DC3">
              <w:rPr>
                <w:rFonts w:ascii="Times New Roman" w:hAnsi="Times New Roman" w:cs="Times New Roman"/>
                <w:color w:val="000000" w:themeColor="text1"/>
                <w:sz w:val="18"/>
                <w:szCs w:val="18"/>
                <w:lang w:eastAsia="ru-RU"/>
              </w:rPr>
              <w:t>4</w:t>
            </w:r>
          </w:p>
        </w:tc>
        <w:tc>
          <w:tcPr>
            <w:tcW w:w="862" w:type="dxa"/>
            <w:tcMar>
              <w:top w:w="150" w:type="dxa"/>
              <w:left w:w="150" w:type="dxa"/>
              <w:bottom w:w="150" w:type="dxa"/>
              <w:right w:w="150" w:type="dxa"/>
            </w:tcMar>
            <w:vAlign w:val="center"/>
            <w:hideMark/>
          </w:tcPr>
          <w:p w14:paraId="0C27510A"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F4</w:t>
            </w:r>
          </w:p>
        </w:tc>
        <w:tc>
          <w:tcPr>
            <w:tcW w:w="1174" w:type="dxa"/>
            <w:tcMar>
              <w:top w:w="150" w:type="dxa"/>
              <w:left w:w="150" w:type="dxa"/>
              <w:bottom w:w="150" w:type="dxa"/>
              <w:right w:w="150" w:type="dxa"/>
            </w:tcMar>
            <w:vAlign w:val="center"/>
            <w:hideMark/>
          </w:tcPr>
          <w:p w14:paraId="5B5C9E62" w14:textId="284FDF8A"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2 297 ВГС</w:t>
            </w:r>
            <w:r w:rsidR="00FC6D8A">
              <w:rPr>
                <w:rFonts w:ascii="Times New Roman" w:hAnsi="Times New Roman" w:cs="Times New Roman"/>
                <w:color w:val="000000" w:themeColor="text1"/>
                <w:sz w:val="18"/>
                <w:szCs w:val="18"/>
                <w:lang w:eastAsia="ru-RU"/>
              </w:rPr>
              <w:t>–</w:t>
            </w:r>
            <w:r w:rsidRPr="00B15DC3">
              <w:rPr>
                <w:rFonts w:ascii="Times New Roman" w:hAnsi="Times New Roman" w:cs="Times New Roman"/>
                <w:color w:val="000000" w:themeColor="text1"/>
                <w:sz w:val="18"/>
                <w:szCs w:val="18"/>
                <w:lang w:eastAsia="ru-RU"/>
              </w:rPr>
              <w:t>інфікованих</w:t>
            </w:r>
          </w:p>
        </w:tc>
        <w:tc>
          <w:tcPr>
            <w:tcW w:w="997" w:type="dxa"/>
            <w:tcMar>
              <w:top w:w="150" w:type="dxa"/>
              <w:left w:w="150" w:type="dxa"/>
              <w:bottom w:w="150" w:type="dxa"/>
              <w:right w:w="150" w:type="dxa"/>
            </w:tcMar>
            <w:vAlign w:val="center"/>
            <w:hideMark/>
          </w:tcPr>
          <w:p w14:paraId="0B3506D2"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1–45</w:t>
            </w:r>
            <w:r w:rsidRPr="00B15DC3">
              <w:rPr>
                <w:rFonts w:ascii="Times New Roman" w:hAnsi="Times New Roman" w:cs="Times New Roman"/>
                <w:color w:val="000000" w:themeColor="text1"/>
                <w:sz w:val="18"/>
                <w:szCs w:val="18"/>
                <w:bdr w:val="none" w:sz="0" w:space="0" w:color="auto" w:frame="1"/>
                <w:vertAlign w:val="superscript"/>
                <w:lang w:eastAsia="ru-RU"/>
              </w:rPr>
              <w:t>b</w:t>
            </w:r>
            <w:r w:rsidRPr="00B15DC3">
              <w:rPr>
                <w:rFonts w:ascii="Times New Roman" w:hAnsi="Times New Roman" w:cs="Times New Roman"/>
                <w:color w:val="000000" w:themeColor="text1"/>
                <w:sz w:val="18"/>
                <w:szCs w:val="18"/>
                <w:lang w:eastAsia="ru-RU"/>
              </w:rPr>
              <w:t>3.25</w:t>
            </w:r>
            <w:r w:rsidRPr="00B15DC3">
              <w:rPr>
                <w:rFonts w:ascii="Times New Roman" w:hAnsi="Times New Roman" w:cs="Times New Roman"/>
                <w:color w:val="000000" w:themeColor="text1"/>
                <w:sz w:val="18"/>
                <w:szCs w:val="18"/>
                <w:bdr w:val="none" w:sz="0" w:space="0" w:color="auto" w:frame="1"/>
                <w:vertAlign w:val="superscript"/>
                <w:lang w:eastAsia="ru-RU"/>
              </w:rPr>
              <w:t>b</w:t>
            </w:r>
          </w:p>
        </w:tc>
        <w:tc>
          <w:tcPr>
            <w:tcW w:w="1054" w:type="dxa"/>
            <w:tcMar>
              <w:top w:w="150" w:type="dxa"/>
              <w:left w:w="150" w:type="dxa"/>
              <w:bottom w:w="150" w:type="dxa"/>
              <w:right w:w="150" w:type="dxa"/>
            </w:tcMar>
            <w:vAlign w:val="center"/>
            <w:hideMark/>
          </w:tcPr>
          <w:p w14:paraId="0C536B60"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0,87</w:t>
            </w:r>
            <w:r w:rsidRPr="00B15DC3">
              <w:rPr>
                <w:rFonts w:ascii="Times New Roman" w:hAnsi="Times New Roman" w:cs="Times New Roman"/>
                <w:color w:val="000000" w:themeColor="text1"/>
                <w:sz w:val="18"/>
                <w:szCs w:val="18"/>
                <w:bdr w:val="none" w:sz="0" w:space="0" w:color="auto" w:frame="1"/>
                <w:vertAlign w:val="superscript"/>
                <w:lang w:eastAsia="ru-RU"/>
              </w:rPr>
              <w:t>* </w:t>
            </w:r>
            <w:r w:rsidRPr="00B15DC3">
              <w:rPr>
                <w:rFonts w:ascii="Times New Roman" w:hAnsi="Times New Roman" w:cs="Times New Roman"/>
                <w:color w:val="000000" w:themeColor="text1"/>
                <w:sz w:val="18"/>
                <w:szCs w:val="18"/>
                <w:lang w:eastAsia="ru-RU"/>
              </w:rPr>
              <w:t>(0,83–0,92)</w:t>
            </w:r>
          </w:p>
        </w:tc>
        <w:tc>
          <w:tcPr>
            <w:tcW w:w="1107" w:type="dxa"/>
            <w:tcMar>
              <w:top w:w="150" w:type="dxa"/>
              <w:left w:w="150" w:type="dxa"/>
              <w:bottom w:w="150" w:type="dxa"/>
              <w:right w:w="150" w:type="dxa"/>
            </w:tcMar>
            <w:vAlign w:val="center"/>
            <w:hideMark/>
          </w:tcPr>
          <w:p w14:paraId="774B077B"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90%50%</w:t>
            </w:r>
          </w:p>
        </w:tc>
        <w:tc>
          <w:tcPr>
            <w:tcW w:w="1020" w:type="dxa"/>
            <w:tcMar>
              <w:top w:w="150" w:type="dxa"/>
              <w:left w:w="150" w:type="dxa"/>
              <w:bottom w:w="150" w:type="dxa"/>
              <w:right w:w="150" w:type="dxa"/>
            </w:tcMar>
            <w:vAlign w:val="center"/>
            <w:hideMark/>
          </w:tcPr>
          <w:p w14:paraId="146AF013"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58%92%</w:t>
            </w:r>
          </w:p>
        </w:tc>
        <w:tc>
          <w:tcPr>
            <w:tcW w:w="639" w:type="dxa"/>
            <w:tcMar>
              <w:top w:w="150" w:type="dxa"/>
              <w:left w:w="150" w:type="dxa"/>
              <w:bottom w:w="150" w:type="dxa"/>
              <w:right w:w="150" w:type="dxa"/>
            </w:tcMar>
            <w:vAlign w:val="center"/>
            <w:hideMark/>
          </w:tcPr>
          <w:p w14:paraId="6588BC14"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w:t>
            </w:r>
          </w:p>
        </w:tc>
        <w:tc>
          <w:tcPr>
            <w:tcW w:w="593" w:type="dxa"/>
            <w:tcMar>
              <w:top w:w="150" w:type="dxa"/>
              <w:left w:w="150" w:type="dxa"/>
              <w:bottom w:w="150" w:type="dxa"/>
              <w:right w:w="150" w:type="dxa"/>
            </w:tcMar>
            <w:vAlign w:val="center"/>
            <w:hideMark/>
          </w:tcPr>
          <w:p w14:paraId="49A4276D"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w:t>
            </w:r>
          </w:p>
        </w:tc>
        <w:tc>
          <w:tcPr>
            <w:tcW w:w="1135" w:type="dxa"/>
            <w:tcMar>
              <w:top w:w="150" w:type="dxa"/>
              <w:left w:w="150" w:type="dxa"/>
              <w:bottom w:w="150" w:type="dxa"/>
              <w:right w:w="150" w:type="dxa"/>
            </w:tcMar>
            <w:vAlign w:val="center"/>
            <w:hideMark/>
          </w:tcPr>
          <w:p w14:paraId="39896A79" w14:textId="77777777" w:rsidR="0001353A" w:rsidRPr="00B15DC3" w:rsidRDefault="0001353A" w:rsidP="0001353A">
            <w:pPr>
              <w:ind w:right="174"/>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43</w:t>
            </w:r>
          </w:p>
        </w:tc>
      </w:tr>
      <w:tr w:rsidR="0001353A" w:rsidRPr="00B15DC3" w14:paraId="53F08078" w14:textId="77777777" w:rsidTr="00B15DC3">
        <w:trPr>
          <w:trHeight w:val="435"/>
        </w:trPr>
        <w:tc>
          <w:tcPr>
            <w:tcW w:w="1017" w:type="dxa"/>
            <w:shd w:val="clear" w:color="auto" w:fill="D9D9D9"/>
            <w:tcMar>
              <w:top w:w="150" w:type="dxa"/>
              <w:left w:w="150" w:type="dxa"/>
              <w:bottom w:w="150" w:type="dxa"/>
              <w:right w:w="150" w:type="dxa"/>
            </w:tcMar>
            <w:vAlign w:val="center"/>
            <w:hideMark/>
          </w:tcPr>
          <w:p w14:paraId="42DDC36A" w14:textId="77777777" w:rsidR="0001353A" w:rsidRPr="00B15DC3" w:rsidRDefault="0001353A" w:rsidP="0001353A">
            <w:pP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APRI</w:t>
            </w:r>
          </w:p>
        </w:tc>
        <w:tc>
          <w:tcPr>
            <w:tcW w:w="862" w:type="dxa"/>
            <w:shd w:val="clear" w:color="auto" w:fill="D9D9D9"/>
            <w:tcMar>
              <w:top w:w="150" w:type="dxa"/>
              <w:left w:w="150" w:type="dxa"/>
              <w:bottom w:w="150" w:type="dxa"/>
              <w:right w:w="150" w:type="dxa"/>
            </w:tcMar>
            <w:vAlign w:val="center"/>
            <w:hideMark/>
          </w:tcPr>
          <w:p w14:paraId="509E8B2E"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F4</w:t>
            </w:r>
          </w:p>
        </w:tc>
        <w:tc>
          <w:tcPr>
            <w:tcW w:w="1174" w:type="dxa"/>
            <w:shd w:val="clear" w:color="auto" w:fill="D9D9D9"/>
            <w:tcMar>
              <w:top w:w="150" w:type="dxa"/>
              <w:left w:w="150" w:type="dxa"/>
              <w:bottom w:w="150" w:type="dxa"/>
              <w:right w:w="150" w:type="dxa"/>
            </w:tcMar>
            <w:vAlign w:val="center"/>
            <w:hideMark/>
          </w:tcPr>
          <w:p w14:paraId="6D4E3D19" w14:textId="6D08C38D"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16 694 ВГС</w:t>
            </w:r>
            <w:r w:rsidR="00FC6D8A">
              <w:rPr>
                <w:rFonts w:ascii="Times New Roman" w:hAnsi="Times New Roman" w:cs="Times New Roman"/>
                <w:color w:val="000000" w:themeColor="text1"/>
                <w:sz w:val="18"/>
                <w:szCs w:val="18"/>
                <w:lang w:eastAsia="ru-RU"/>
              </w:rPr>
              <w:t>–</w:t>
            </w:r>
            <w:r w:rsidRPr="00B15DC3">
              <w:rPr>
                <w:rFonts w:ascii="Times New Roman" w:hAnsi="Times New Roman" w:cs="Times New Roman"/>
                <w:color w:val="000000" w:themeColor="text1"/>
                <w:sz w:val="18"/>
                <w:szCs w:val="18"/>
                <w:lang w:eastAsia="ru-RU"/>
              </w:rPr>
              <w:t>інфікованих</w:t>
            </w:r>
          </w:p>
        </w:tc>
        <w:tc>
          <w:tcPr>
            <w:tcW w:w="997" w:type="dxa"/>
            <w:shd w:val="clear" w:color="auto" w:fill="D9D9D9"/>
            <w:tcMar>
              <w:top w:w="150" w:type="dxa"/>
              <w:left w:w="150" w:type="dxa"/>
              <w:bottom w:w="150" w:type="dxa"/>
              <w:right w:w="150" w:type="dxa"/>
            </w:tcMar>
            <w:vAlign w:val="center"/>
            <w:hideMark/>
          </w:tcPr>
          <w:p w14:paraId="6D8ADCAB"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1,0</w:t>
            </w:r>
            <w:r w:rsidRPr="00B15DC3">
              <w:rPr>
                <w:rFonts w:ascii="Times New Roman" w:hAnsi="Times New Roman" w:cs="Times New Roman"/>
                <w:color w:val="000000" w:themeColor="text1"/>
                <w:sz w:val="18"/>
                <w:szCs w:val="18"/>
                <w:bdr w:val="none" w:sz="0" w:space="0" w:color="auto" w:frame="1"/>
                <w:vertAlign w:val="superscript"/>
                <w:lang w:eastAsia="ru-RU"/>
              </w:rPr>
              <w:t>b</w:t>
            </w:r>
            <w:r w:rsidRPr="00B15DC3">
              <w:rPr>
                <w:rFonts w:ascii="Times New Roman" w:hAnsi="Times New Roman" w:cs="Times New Roman"/>
                <w:color w:val="000000" w:themeColor="text1"/>
                <w:sz w:val="18"/>
                <w:szCs w:val="18"/>
                <w:lang w:eastAsia="ru-RU"/>
              </w:rPr>
              <w:t>2,0</w:t>
            </w:r>
            <w:r w:rsidRPr="00B15DC3">
              <w:rPr>
                <w:rFonts w:ascii="Times New Roman" w:hAnsi="Times New Roman" w:cs="Times New Roman"/>
                <w:color w:val="000000" w:themeColor="text1"/>
                <w:sz w:val="18"/>
                <w:szCs w:val="18"/>
                <w:bdr w:val="none" w:sz="0" w:space="0" w:color="auto" w:frame="1"/>
                <w:vertAlign w:val="superscript"/>
                <w:lang w:eastAsia="ru-RU"/>
              </w:rPr>
              <w:t>b</w:t>
            </w:r>
          </w:p>
        </w:tc>
        <w:tc>
          <w:tcPr>
            <w:tcW w:w="1054" w:type="dxa"/>
            <w:shd w:val="clear" w:color="auto" w:fill="D9D9D9"/>
            <w:tcMar>
              <w:top w:w="150" w:type="dxa"/>
              <w:left w:w="150" w:type="dxa"/>
              <w:bottom w:w="150" w:type="dxa"/>
              <w:right w:w="150" w:type="dxa"/>
            </w:tcMar>
            <w:vAlign w:val="center"/>
            <w:hideMark/>
          </w:tcPr>
          <w:p w14:paraId="03407E3E"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0,84</w:t>
            </w:r>
            <w:r w:rsidRPr="00B15DC3">
              <w:rPr>
                <w:rFonts w:ascii="Times New Roman" w:hAnsi="Times New Roman" w:cs="Times New Roman"/>
                <w:color w:val="000000" w:themeColor="text1"/>
                <w:sz w:val="18"/>
                <w:szCs w:val="18"/>
                <w:bdr w:val="none" w:sz="0" w:space="0" w:color="auto" w:frame="1"/>
                <w:vertAlign w:val="superscript"/>
                <w:lang w:eastAsia="ru-RU"/>
              </w:rPr>
              <w:t>*</w:t>
            </w:r>
            <w:r w:rsidRPr="00B15DC3">
              <w:rPr>
                <w:rFonts w:ascii="Times New Roman" w:hAnsi="Times New Roman" w:cs="Times New Roman"/>
                <w:color w:val="000000" w:themeColor="text1"/>
                <w:sz w:val="18"/>
                <w:szCs w:val="18"/>
                <w:lang w:eastAsia="ru-RU"/>
              </w:rPr>
              <w:t>(0,54–0,97)</w:t>
            </w:r>
          </w:p>
        </w:tc>
        <w:tc>
          <w:tcPr>
            <w:tcW w:w="1107" w:type="dxa"/>
            <w:shd w:val="clear" w:color="auto" w:fill="D9D9D9"/>
            <w:tcMar>
              <w:top w:w="150" w:type="dxa"/>
              <w:left w:w="150" w:type="dxa"/>
              <w:bottom w:w="150" w:type="dxa"/>
              <w:right w:w="150" w:type="dxa"/>
            </w:tcMar>
            <w:vAlign w:val="center"/>
            <w:hideMark/>
          </w:tcPr>
          <w:p w14:paraId="5C37B636"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77%48%</w:t>
            </w:r>
          </w:p>
        </w:tc>
        <w:tc>
          <w:tcPr>
            <w:tcW w:w="1020" w:type="dxa"/>
            <w:shd w:val="clear" w:color="auto" w:fill="D9D9D9"/>
            <w:tcMar>
              <w:top w:w="150" w:type="dxa"/>
              <w:left w:w="150" w:type="dxa"/>
              <w:bottom w:w="150" w:type="dxa"/>
              <w:right w:w="150" w:type="dxa"/>
            </w:tcMar>
            <w:vAlign w:val="center"/>
            <w:hideMark/>
          </w:tcPr>
          <w:p w14:paraId="60561D78"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75%94%</w:t>
            </w:r>
          </w:p>
        </w:tc>
        <w:tc>
          <w:tcPr>
            <w:tcW w:w="639" w:type="dxa"/>
            <w:shd w:val="clear" w:color="auto" w:fill="D9D9D9"/>
            <w:tcMar>
              <w:top w:w="150" w:type="dxa"/>
              <w:left w:w="150" w:type="dxa"/>
              <w:bottom w:w="150" w:type="dxa"/>
              <w:right w:w="150" w:type="dxa"/>
            </w:tcMar>
            <w:vAlign w:val="center"/>
            <w:hideMark/>
          </w:tcPr>
          <w:p w14:paraId="62B56BFE"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w:t>
            </w:r>
          </w:p>
        </w:tc>
        <w:tc>
          <w:tcPr>
            <w:tcW w:w="593" w:type="dxa"/>
            <w:shd w:val="clear" w:color="auto" w:fill="D9D9D9"/>
            <w:tcMar>
              <w:top w:w="150" w:type="dxa"/>
              <w:left w:w="150" w:type="dxa"/>
              <w:bottom w:w="150" w:type="dxa"/>
              <w:right w:w="150" w:type="dxa"/>
            </w:tcMar>
            <w:vAlign w:val="center"/>
            <w:hideMark/>
          </w:tcPr>
          <w:p w14:paraId="64FCE296" w14:textId="77777777" w:rsidR="0001353A" w:rsidRPr="00B15DC3" w:rsidRDefault="0001353A" w:rsidP="0001353A">
            <w:pPr>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w:t>
            </w:r>
          </w:p>
        </w:tc>
        <w:tc>
          <w:tcPr>
            <w:tcW w:w="1135" w:type="dxa"/>
            <w:shd w:val="clear" w:color="auto" w:fill="D9D9D9"/>
            <w:tcMar>
              <w:top w:w="150" w:type="dxa"/>
              <w:left w:w="150" w:type="dxa"/>
              <w:bottom w:w="150" w:type="dxa"/>
              <w:right w:w="150" w:type="dxa"/>
            </w:tcMar>
            <w:vAlign w:val="center"/>
            <w:hideMark/>
          </w:tcPr>
          <w:p w14:paraId="548D833C" w14:textId="77777777" w:rsidR="0001353A" w:rsidRPr="00B15DC3" w:rsidRDefault="0001353A" w:rsidP="0001353A">
            <w:pPr>
              <w:ind w:right="174"/>
              <w:jc w:val="center"/>
              <w:textAlignment w:val="center"/>
              <w:rPr>
                <w:rFonts w:ascii="Times New Roman" w:hAnsi="Times New Roman" w:cs="Times New Roman"/>
                <w:color w:val="000000" w:themeColor="text1"/>
                <w:sz w:val="18"/>
                <w:szCs w:val="18"/>
                <w:lang w:eastAsia="ru-RU"/>
              </w:rPr>
            </w:pPr>
            <w:r w:rsidRPr="00B15DC3">
              <w:rPr>
                <w:rFonts w:ascii="Times New Roman" w:hAnsi="Times New Roman" w:cs="Times New Roman"/>
                <w:color w:val="000000" w:themeColor="text1"/>
                <w:sz w:val="18"/>
                <w:szCs w:val="18"/>
                <w:lang w:eastAsia="ru-RU"/>
              </w:rPr>
              <w:t>43</w:t>
            </w:r>
          </w:p>
        </w:tc>
      </w:tr>
    </w:tbl>
    <w:p w14:paraId="6468FB09" w14:textId="77777777" w:rsidR="00707E43" w:rsidRDefault="00866BD9" w:rsidP="00707E43">
      <w:pPr>
        <w:spacing w:before="100" w:beforeAutospacing="1" w:after="100" w:afterAutospacing="1" w:line="240" w:lineRule="atLeast"/>
        <w:ind w:firstLine="238"/>
        <w:contextualSpacing/>
        <w:jc w:val="both"/>
        <w:textAlignment w:val="baseline"/>
        <w:rPr>
          <w:rFonts w:ascii="Times New Roman" w:hAnsi="Times New Roman" w:cs="Times New Roman"/>
          <w:i/>
          <w:iCs/>
          <w:color w:val="000000" w:themeColor="text1"/>
          <w:sz w:val="20"/>
          <w:szCs w:val="20"/>
          <w:bdr w:val="none" w:sz="0" w:space="0" w:color="auto" w:frame="1"/>
          <w:lang w:eastAsia="ru-RU"/>
        </w:rPr>
      </w:pPr>
      <w:r w:rsidRPr="00707E43">
        <w:rPr>
          <w:rFonts w:ascii="Times New Roman" w:hAnsi="Times New Roman" w:cs="Times New Roman"/>
          <w:i/>
          <w:iCs/>
          <w:color w:val="000000" w:themeColor="text1"/>
          <w:sz w:val="20"/>
          <w:szCs w:val="20"/>
          <w:bdr w:val="none" w:sz="0" w:space="0" w:color="auto" w:frame="1"/>
          <w:lang w:eastAsia="ru-RU"/>
        </w:rPr>
        <w:t>AUROC – ділянка нижче характерної кривої; FIB</w:t>
      </w:r>
      <w:r w:rsidR="00FC6D8A" w:rsidRPr="00707E43">
        <w:rPr>
          <w:rFonts w:ascii="Times New Roman" w:hAnsi="Times New Roman" w:cs="Times New Roman"/>
          <w:i/>
          <w:iCs/>
          <w:color w:val="000000" w:themeColor="text1"/>
          <w:sz w:val="20"/>
          <w:szCs w:val="20"/>
          <w:bdr w:val="none" w:sz="0" w:space="0" w:color="auto" w:frame="1"/>
          <w:lang w:eastAsia="ru-RU"/>
        </w:rPr>
        <w:t>–</w:t>
      </w:r>
      <w:r w:rsidRPr="00707E43">
        <w:rPr>
          <w:rFonts w:ascii="Times New Roman" w:hAnsi="Times New Roman" w:cs="Times New Roman"/>
          <w:i/>
          <w:iCs/>
          <w:color w:val="000000" w:themeColor="text1"/>
          <w:sz w:val="20"/>
          <w:szCs w:val="20"/>
          <w:bdr w:val="none" w:sz="0" w:space="0" w:color="auto" w:frame="1"/>
          <w:lang w:eastAsia="ru-RU"/>
        </w:rPr>
        <w:t>4 – фіброз</w:t>
      </w:r>
      <w:r w:rsidR="00FC6D8A" w:rsidRPr="00707E43">
        <w:rPr>
          <w:rFonts w:ascii="Times New Roman" w:hAnsi="Times New Roman" w:cs="Times New Roman"/>
          <w:i/>
          <w:iCs/>
          <w:color w:val="000000" w:themeColor="text1"/>
          <w:sz w:val="20"/>
          <w:szCs w:val="20"/>
          <w:bdr w:val="none" w:sz="0" w:space="0" w:color="auto" w:frame="1"/>
          <w:lang w:eastAsia="ru-RU"/>
        </w:rPr>
        <w:t>–</w:t>
      </w:r>
      <w:r w:rsidRPr="00707E43">
        <w:rPr>
          <w:rFonts w:ascii="Times New Roman" w:hAnsi="Times New Roman" w:cs="Times New Roman"/>
          <w:i/>
          <w:iCs/>
          <w:color w:val="000000" w:themeColor="text1"/>
          <w:sz w:val="20"/>
          <w:szCs w:val="20"/>
          <w:bdr w:val="none" w:sz="0" w:space="0" w:color="auto" w:frame="1"/>
          <w:lang w:eastAsia="ru-RU"/>
        </w:rPr>
        <w:t xml:space="preserve">4; NPV – негативна прогностична оцінка; PPV – позитивна прогностична оцінка. </w:t>
      </w:r>
    </w:p>
    <w:p w14:paraId="2ADA7791" w14:textId="77777777" w:rsidR="00707E43" w:rsidRDefault="00866BD9" w:rsidP="00707E43">
      <w:pPr>
        <w:spacing w:before="100" w:beforeAutospacing="1" w:after="100" w:afterAutospacing="1" w:line="240" w:lineRule="atLeast"/>
        <w:ind w:firstLine="238"/>
        <w:contextualSpacing/>
        <w:jc w:val="both"/>
        <w:textAlignment w:val="baseline"/>
        <w:rPr>
          <w:rFonts w:ascii="Times New Roman" w:hAnsi="Times New Roman" w:cs="Times New Roman"/>
          <w:i/>
          <w:iCs/>
          <w:color w:val="000000" w:themeColor="text1"/>
          <w:sz w:val="20"/>
          <w:szCs w:val="20"/>
          <w:bdr w:val="none" w:sz="0" w:space="0" w:color="auto" w:frame="1"/>
          <w:lang w:eastAsia="ru-RU"/>
        </w:rPr>
      </w:pPr>
      <w:r w:rsidRPr="00707E43">
        <w:rPr>
          <w:rFonts w:ascii="Times New Roman" w:hAnsi="Times New Roman" w:cs="Times New Roman"/>
          <w:i/>
          <w:iCs/>
          <w:color w:val="000000" w:themeColor="text1"/>
          <w:sz w:val="20"/>
          <w:szCs w:val="20"/>
          <w:bdr w:val="none" w:sz="0" w:space="0" w:color="auto" w:frame="1"/>
          <w:lang w:eastAsia="ru-RU"/>
        </w:rPr>
        <w:t xml:space="preserve">a Шкали з показниками щільності печінки (у кПа) відрізняються у FibroScan® та Aixplorer®. </w:t>
      </w:r>
    </w:p>
    <w:p w14:paraId="4C64C22A" w14:textId="77777777" w:rsidR="00707E43" w:rsidRDefault="00866BD9" w:rsidP="00707E43">
      <w:pPr>
        <w:spacing w:before="100" w:beforeAutospacing="1" w:after="100" w:afterAutospacing="1" w:line="240" w:lineRule="atLeast"/>
        <w:ind w:firstLine="238"/>
        <w:contextualSpacing/>
        <w:jc w:val="both"/>
        <w:textAlignment w:val="baseline"/>
        <w:rPr>
          <w:rFonts w:ascii="Times New Roman" w:hAnsi="Times New Roman" w:cs="Times New Roman"/>
          <w:i/>
          <w:iCs/>
          <w:color w:val="000000" w:themeColor="text1"/>
          <w:sz w:val="20"/>
          <w:szCs w:val="20"/>
          <w:bdr w:val="none" w:sz="0" w:space="0" w:color="auto" w:frame="1"/>
          <w:lang w:eastAsia="ru-RU"/>
        </w:rPr>
      </w:pPr>
      <w:r w:rsidRPr="00707E43">
        <w:rPr>
          <w:rFonts w:ascii="Times New Roman" w:hAnsi="Times New Roman" w:cs="Times New Roman"/>
          <w:i/>
          <w:iCs/>
          <w:color w:val="000000" w:themeColor="text1"/>
          <w:sz w:val="20"/>
          <w:szCs w:val="20"/>
          <w:bdr w:val="none" w:sz="0" w:space="0" w:color="auto" w:frame="1"/>
          <w:lang w:eastAsia="ru-RU"/>
        </w:rPr>
        <w:t>b Існує два показники для FIB</w:t>
      </w:r>
      <w:r w:rsidR="00FC6D8A" w:rsidRPr="00707E43">
        <w:rPr>
          <w:rFonts w:ascii="Times New Roman" w:hAnsi="Times New Roman" w:cs="Times New Roman"/>
          <w:i/>
          <w:iCs/>
          <w:color w:val="000000" w:themeColor="text1"/>
          <w:sz w:val="20"/>
          <w:szCs w:val="20"/>
          <w:bdr w:val="none" w:sz="0" w:space="0" w:color="auto" w:frame="1"/>
          <w:lang w:eastAsia="ru-RU"/>
        </w:rPr>
        <w:t>–</w:t>
      </w:r>
      <w:r w:rsidRPr="00707E43">
        <w:rPr>
          <w:rFonts w:ascii="Times New Roman" w:hAnsi="Times New Roman" w:cs="Times New Roman"/>
          <w:i/>
          <w:iCs/>
          <w:color w:val="000000" w:themeColor="text1"/>
          <w:sz w:val="20"/>
          <w:szCs w:val="20"/>
          <w:bdr w:val="none" w:sz="0" w:space="0" w:color="auto" w:frame="1"/>
          <w:lang w:eastAsia="ru-RU"/>
        </w:rPr>
        <w:t xml:space="preserve">4 та APRI, відповідно, з їх власними чутливістю та специфічністю. </w:t>
      </w:r>
    </w:p>
    <w:p w14:paraId="72217550" w14:textId="1A29B07F" w:rsidR="0094435B" w:rsidRDefault="00866BD9" w:rsidP="00707E43">
      <w:pPr>
        <w:spacing w:before="100" w:beforeAutospacing="1" w:after="100" w:afterAutospacing="1" w:line="240" w:lineRule="atLeast"/>
        <w:ind w:firstLine="238"/>
        <w:contextualSpacing/>
        <w:jc w:val="both"/>
        <w:textAlignment w:val="baseline"/>
        <w:rPr>
          <w:rFonts w:ascii="Times New Roman" w:hAnsi="Times New Roman" w:cs="Times New Roman"/>
          <w:i/>
          <w:iCs/>
          <w:color w:val="000000" w:themeColor="text1"/>
          <w:sz w:val="20"/>
          <w:szCs w:val="20"/>
          <w:bdr w:val="none" w:sz="0" w:space="0" w:color="auto" w:frame="1"/>
          <w:lang w:eastAsia="ru-RU"/>
        </w:rPr>
      </w:pPr>
      <w:r w:rsidRPr="00707E43">
        <w:rPr>
          <w:rFonts w:ascii="Times New Roman" w:hAnsi="Times New Roman" w:cs="Times New Roman"/>
          <w:i/>
          <w:iCs/>
          <w:color w:val="000000" w:themeColor="text1"/>
          <w:sz w:val="20"/>
          <w:szCs w:val="20"/>
          <w:bdr w:val="none" w:sz="0" w:space="0" w:color="auto" w:frame="1"/>
          <w:lang w:eastAsia="ru-RU"/>
        </w:rPr>
        <w:t>* Медіана.</w:t>
      </w:r>
    </w:p>
    <w:p w14:paraId="404214AD" w14:textId="77777777" w:rsidR="00707E43" w:rsidRPr="00707E43" w:rsidRDefault="00707E43" w:rsidP="00C475EE">
      <w:pPr>
        <w:spacing w:beforeAutospacing="1" w:afterAutospacing="1"/>
        <w:ind w:firstLine="240"/>
        <w:jc w:val="both"/>
        <w:textAlignment w:val="baseline"/>
        <w:rPr>
          <w:rFonts w:ascii="Times New Roman" w:hAnsi="Times New Roman" w:cs="Times New Roman"/>
          <w:i/>
          <w:iCs/>
          <w:color w:val="000000" w:themeColor="text1"/>
          <w:sz w:val="20"/>
          <w:szCs w:val="20"/>
          <w:bdr w:val="none" w:sz="0" w:space="0" w:color="auto" w:frame="1"/>
          <w:lang w:eastAsia="ru-RU"/>
        </w:rPr>
      </w:pPr>
      <w:bookmarkStart w:id="0" w:name="_Hlk5618687"/>
    </w:p>
    <w:p w14:paraId="1C2418E6" w14:textId="78F1B4EB" w:rsidR="0094435B" w:rsidRPr="0094435B" w:rsidRDefault="0094435B" w:rsidP="0094435B">
      <w:pPr>
        <w:spacing w:beforeAutospacing="1" w:afterAutospacing="1"/>
        <w:jc w:val="both"/>
        <w:textAlignment w:val="baseline"/>
        <w:rPr>
          <w:rFonts w:ascii="Times New Roman" w:hAnsi="Times New Roman" w:cs="Times New Roman"/>
          <w:b/>
          <w:color w:val="2E74B5" w:themeColor="accent1" w:themeShade="BF"/>
          <w:lang w:eastAsia="ru-RU"/>
        </w:rPr>
      </w:pPr>
      <w:r w:rsidRPr="0094435B">
        <w:rPr>
          <w:rFonts w:ascii="Times New Roman" w:hAnsi="Times New Roman" w:cs="Times New Roman"/>
          <w:b/>
          <w:color w:val="2E74B5" w:themeColor="accent1" w:themeShade="BF"/>
          <w:lang w:eastAsia="ru-RU"/>
        </w:rPr>
        <w:lastRenderedPageBreak/>
        <w:t xml:space="preserve">Якісні / кількісні аналізи на </w:t>
      </w:r>
      <w:r w:rsidR="00273D89">
        <w:rPr>
          <w:rFonts w:ascii="Times New Roman" w:hAnsi="Times New Roman" w:cs="Times New Roman"/>
          <w:b/>
          <w:color w:val="2E74B5" w:themeColor="accent1" w:themeShade="BF"/>
          <w:lang w:eastAsia="ru-RU"/>
        </w:rPr>
        <w:t xml:space="preserve">ВГС РНК </w:t>
      </w:r>
      <w:r w:rsidRPr="0094435B">
        <w:rPr>
          <w:rFonts w:ascii="Times New Roman" w:hAnsi="Times New Roman" w:cs="Times New Roman"/>
          <w:b/>
          <w:color w:val="2E74B5" w:themeColor="accent1" w:themeShade="BF"/>
          <w:lang w:eastAsia="ru-RU"/>
        </w:rPr>
        <w:t xml:space="preserve">або </w:t>
      </w:r>
      <w:r w:rsidR="00791C56" w:rsidRPr="0094435B">
        <w:rPr>
          <w:rFonts w:ascii="Times New Roman" w:hAnsi="Times New Roman" w:cs="Times New Roman"/>
          <w:b/>
          <w:color w:val="2E74B5" w:themeColor="accent1" w:themeShade="BF"/>
          <w:lang w:eastAsia="ru-RU"/>
        </w:rPr>
        <w:t>core</w:t>
      </w:r>
      <w:r w:rsidR="00791C56">
        <w:rPr>
          <w:rFonts w:ascii="Times New Roman" w:hAnsi="Times New Roman" w:cs="Times New Roman"/>
          <w:b/>
          <w:color w:val="2E74B5" w:themeColor="accent1" w:themeShade="BF"/>
          <w:lang w:val="uk-UA" w:eastAsia="ru-RU"/>
        </w:rPr>
        <w:t xml:space="preserve"> </w:t>
      </w:r>
      <w:r w:rsidR="00791C56" w:rsidRPr="0094435B">
        <w:rPr>
          <w:rFonts w:ascii="Times New Roman" w:hAnsi="Times New Roman" w:cs="Times New Roman"/>
          <w:b/>
          <w:color w:val="2E74B5" w:themeColor="accent1" w:themeShade="BF"/>
          <w:lang w:eastAsia="ru-RU"/>
        </w:rPr>
        <w:t>Ag</w:t>
      </w:r>
      <w:r w:rsidR="00791C56">
        <w:rPr>
          <w:rFonts w:ascii="Times New Roman" w:hAnsi="Times New Roman" w:cs="Times New Roman"/>
          <w:b/>
          <w:color w:val="2E74B5" w:themeColor="accent1" w:themeShade="BF"/>
          <w:lang w:eastAsia="ru-RU"/>
        </w:rPr>
        <w:t xml:space="preserve"> </w:t>
      </w:r>
      <w:r w:rsidR="00273D89">
        <w:rPr>
          <w:rFonts w:ascii="Times New Roman" w:hAnsi="Times New Roman" w:cs="Times New Roman"/>
          <w:b/>
          <w:color w:val="2E74B5" w:themeColor="accent1" w:themeShade="BF"/>
          <w:lang w:eastAsia="ru-RU"/>
        </w:rPr>
        <w:t>ВГС</w:t>
      </w:r>
      <w:r w:rsidRPr="0094435B">
        <w:rPr>
          <w:rFonts w:ascii="Times New Roman" w:hAnsi="Times New Roman" w:cs="Times New Roman"/>
          <w:b/>
          <w:color w:val="2E74B5" w:themeColor="accent1" w:themeShade="BF"/>
          <w:lang w:eastAsia="ru-RU"/>
        </w:rPr>
        <w:t xml:space="preserve"> </w:t>
      </w:r>
    </w:p>
    <w:p w14:paraId="245EDC06" w14:textId="6C4F906F" w:rsidR="0094435B" w:rsidRPr="0094435B" w:rsidRDefault="0094435B" w:rsidP="0094435B">
      <w:pPr>
        <w:spacing w:beforeAutospacing="1" w:afterAutospacing="1"/>
        <w:jc w:val="both"/>
        <w:textAlignment w:val="baseline"/>
        <w:rPr>
          <w:rFonts w:ascii="Times New Roman" w:hAnsi="Times New Roman" w:cs="Times New Roman"/>
          <w:color w:val="000000" w:themeColor="text1"/>
          <w:lang w:eastAsia="ru-RU"/>
        </w:rPr>
      </w:pPr>
      <w:r w:rsidRPr="0094435B">
        <w:rPr>
          <w:rFonts w:ascii="Times New Roman" w:hAnsi="Times New Roman" w:cs="Times New Roman"/>
          <w:color w:val="000000" w:themeColor="text1"/>
          <w:lang w:eastAsia="ru-RU"/>
        </w:rPr>
        <w:t xml:space="preserve">Якісне/кількісне визначення </w:t>
      </w:r>
      <w:r w:rsidR="00273D89">
        <w:rPr>
          <w:rFonts w:ascii="Times New Roman" w:hAnsi="Times New Roman" w:cs="Times New Roman"/>
          <w:color w:val="000000" w:themeColor="text1"/>
          <w:lang w:eastAsia="ru-RU"/>
        </w:rPr>
        <w:t xml:space="preserve">ВГС РНК </w:t>
      </w:r>
      <w:r w:rsidRPr="0094435B">
        <w:rPr>
          <w:rFonts w:ascii="Times New Roman" w:hAnsi="Times New Roman" w:cs="Times New Roman"/>
          <w:color w:val="000000" w:themeColor="text1"/>
          <w:lang w:eastAsia="ru-RU"/>
        </w:rPr>
        <w:t xml:space="preserve">у сироватці або плазмі крові призначене для пацієнтів, які отримують </w:t>
      </w:r>
      <w:r w:rsidR="000C4087">
        <w:rPr>
          <w:rFonts w:ascii="Times New Roman" w:hAnsi="Times New Roman" w:cs="Times New Roman"/>
          <w:color w:val="000000" w:themeColor="text1"/>
          <w:lang w:val="uk-UA" w:eastAsia="ru-RU"/>
        </w:rPr>
        <w:t>проти</w:t>
      </w:r>
      <w:r w:rsidRPr="0094435B">
        <w:rPr>
          <w:rFonts w:ascii="Times New Roman" w:hAnsi="Times New Roman" w:cs="Times New Roman"/>
          <w:color w:val="000000" w:themeColor="text1"/>
          <w:lang w:eastAsia="ru-RU"/>
        </w:rPr>
        <w:t xml:space="preserve">вірусне лікування. Визначення </w:t>
      </w:r>
      <w:r w:rsidR="00273D89">
        <w:rPr>
          <w:rFonts w:ascii="Times New Roman" w:hAnsi="Times New Roman" w:cs="Times New Roman"/>
          <w:color w:val="000000" w:themeColor="text1"/>
          <w:lang w:eastAsia="ru-RU"/>
        </w:rPr>
        <w:t xml:space="preserve">ВГС РНК </w:t>
      </w:r>
      <w:r w:rsidRPr="0094435B">
        <w:rPr>
          <w:rFonts w:ascii="Times New Roman" w:hAnsi="Times New Roman" w:cs="Times New Roman"/>
          <w:color w:val="000000" w:themeColor="text1"/>
          <w:lang w:eastAsia="ru-RU"/>
        </w:rPr>
        <w:t xml:space="preserve">повинно проводитися за допомогою достовірного чутливого аналізу, рівні </w:t>
      </w:r>
      <w:r w:rsidR="00791C56">
        <w:rPr>
          <w:rFonts w:ascii="Times New Roman" w:hAnsi="Times New Roman" w:cs="Times New Roman"/>
          <w:color w:val="000000" w:themeColor="text1"/>
          <w:lang w:eastAsia="ru-RU"/>
        </w:rPr>
        <w:t xml:space="preserve">РНК </w:t>
      </w:r>
      <w:r w:rsidR="00273D89">
        <w:rPr>
          <w:rFonts w:ascii="Times New Roman" w:hAnsi="Times New Roman" w:cs="Times New Roman"/>
          <w:color w:val="000000" w:themeColor="text1"/>
          <w:lang w:eastAsia="ru-RU"/>
        </w:rPr>
        <w:t xml:space="preserve">ВГС </w:t>
      </w:r>
      <w:r w:rsidRPr="0094435B">
        <w:rPr>
          <w:rFonts w:ascii="Times New Roman" w:hAnsi="Times New Roman" w:cs="Times New Roman"/>
          <w:color w:val="000000" w:themeColor="text1"/>
          <w:lang w:eastAsia="ru-RU"/>
        </w:rPr>
        <w:t>повинні бути виражені в МО/мл.</w:t>
      </w:r>
    </w:p>
    <w:p w14:paraId="3BA3804D" w14:textId="4259B89C" w:rsidR="00F9216A" w:rsidRPr="00D005A1" w:rsidRDefault="0094435B" w:rsidP="0094435B">
      <w:pPr>
        <w:spacing w:beforeAutospacing="1" w:afterAutospacing="1"/>
        <w:jc w:val="both"/>
        <w:textAlignment w:val="baseline"/>
        <w:rPr>
          <w:rFonts w:ascii="Times New Roman" w:hAnsi="Times New Roman" w:cs="Times New Roman"/>
          <w:color w:val="000000" w:themeColor="text1"/>
          <w:lang w:val="uk-UA" w:eastAsia="ru-RU"/>
        </w:rPr>
      </w:pPr>
      <w:r w:rsidRPr="0094435B">
        <w:rPr>
          <w:rFonts w:ascii="Times New Roman" w:hAnsi="Times New Roman" w:cs="Times New Roman"/>
          <w:color w:val="000000" w:themeColor="text1"/>
          <w:lang w:eastAsia="ru-RU"/>
        </w:rPr>
        <w:t>Якісний та кількісний аналіз на виявлення core</w:t>
      </w:r>
      <w:r w:rsidR="00690065" w:rsidRPr="00690065">
        <w:rPr>
          <w:rFonts w:ascii="Times New Roman" w:hAnsi="Times New Roman" w:cs="Times New Roman"/>
          <w:color w:val="000000" w:themeColor="text1"/>
          <w:lang w:eastAsia="ru-RU"/>
        </w:rPr>
        <w:t xml:space="preserve"> </w:t>
      </w:r>
      <w:r w:rsidRPr="0094435B">
        <w:rPr>
          <w:rFonts w:ascii="Times New Roman" w:hAnsi="Times New Roman" w:cs="Times New Roman"/>
          <w:color w:val="000000" w:themeColor="text1"/>
          <w:lang w:eastAsia="ru-RU"/>
        </w:rPr>
        <w:t xml:space="preserve">Ag </w:t>
      </w:r>
      <w:r w:rsidR="00273D89">
        <w:rPr>
          <w:rFonts w:ascii="Times New Roman" w:hAnsi="Times New Roman" w:cs="Times New Roman"/>
          <w:color w:val="000000" w:themeColor="text1"/>
          <w:lang w:eastAsia="ru-RU"/>
        </w:rPr>
        <w:t>ВГС</w:t>
      </w:r>
      <w:r w:rsidRPr="0094435B">
        <w:rPr>
          <w:rFonts w:ascii="Times New Roman" w:hAnsi="Times New Roman" w:cs="Times New Roman"/>
          <w:color w:val="000000" w:themeColor="text1"/>
          <w:lang w:eastAsia="ru-RU"/>
        </w:rPr>
        <w:t xml:space="preserve"> за допомогою ІФА може бути виконаний, коли тести на </w:t>
      </w:r>
      <w:r w:rsidR="00791C56">
        <w:rPr>
          <w:rFonts w:ascii="Times New Roman" w:hAnsi="Times New Roman" w:cs="Times New Roman"/>
          <w:color w:val="000000" w:themeColor="text1"/>
          <w:lang w:eastAsia="ru-RU"/>
        </w:rPr>
        <w:t xml:space="preserve">РНК </w:t>
      </w:r>
      <w:r w:rsidR="00273D89">
        <w:rPr>
          <w:rFonts w:ascii="Times New Roman" w:hAnsi="Times New Roman" w:cs="Times New Roman"/>
          <w:color w:val="000000" w:themeColor="text1"/>
          <w:lang w:eastAsia="ru-RU"/>
        </w:rPr>
        <w:t xml:space="preserve">ВГС </w:t>
      </w:r>
      <w:r w:rsidRPr="0094435B">
        <w:rPr>
          <w:rFonts w:ascii="Times New Roman" w:hAnsi="Times New Roman" w:cs="Times New Roman"/>
          <w:color w:val="000000" w:themeColor="text1"/>
          <w:lang w:eastAsia="ru-RU"/>
        </w:rPr>
        <w:t xml:space="preserve">недоступні і/або занадто дорогі. Визначення </w:t>
      </w:r>
      <w:r w:rsidR="00791C56">
        <w:rPr>
          <w:rFonts w:ascii="Times New Roman" w:hAnsi="Times New Roman" w:cs="Times New Roman"/>
          <w:color w:val="000000" w:themeColor="text1"/>
          <w:lang w:val="uk-UA" w:eastAsia="ru-RU"/>
        </w:rPr>
        <w:t>рівня</w:t>
      </w:r>
      <w:r w:rsidRPr="0094435B">
        <w:rPr>
          <w:rFonts w:ascii="Times New Roman" w:hAnsi="Times New Roman" w:cs="Times New Roman"/>
          <w:color w:val="000000" w:themeColor="text1"/>
          <w:lang w:eastAsia="ru-RU"/>
        </w:rPr>
        <w:t xml:space="preserve"> core</w:t>
      </w:r>
      <w:r w:rsidR="00791C56">
        <w:rPr>
          <w:rFonts w:ascii="Times New Roman" w:hAnsi="Times New Roman" w:cs="Times New Roman"/>
          <w:color w:val="000000" w:themeColor="text1"/>
          <w:lang w:val="uk-UA" w:eastAsia="ru-RU"/>
        </w:rPr>
        <w:t xml:space="preserve"> </w:t>
      </w:r>
      <w:r w:rsidRPr="0094435B">
        <w:rPr>
          <w:rFonts w:ascii="Times New Roman" w:hAnsi="Times New Roman" w:cs="Times New Roman"/>
          <w:color w:val="000000" w:themeColor="text1"/>
          <w:lang w:eastAsia="ru-RU"/>
        </w:rPr>
        <w:t xml:space="preserve">Ag </w:t>
      </w:r>
      <w:r w:rsidR="00273D89">
        <w:rPr>
          <w:rFonts w:ascii="Times New Roman" w:hAnsi="Times New Roman" w:cs="Times New Roman"/>
          <w:color w:val="000000" w:themeColor="text1"/>
          <w:lang w:eastAsia="ru-RU"/>
        </w:rPr>
        <w:t>ВГС</w:t>
      </w:r>
      <w:r w:rsidRPr="0094435B">
        <w:rPr>
          <w:rFonts w:ascii="Times New Roman" w:hAnsi="Times New Roman" w:cs="Times New Roman"/>
          <w:color w:val="000000" w:themeColor="text1"/>
          <w:lang w:eastAsia="ru-RU"/>
        </w:rPr>
        <w:t xml:space="preserve"> повинно виконуватися за допомогою достовірного аналізу і відображати рівні антигену в моль/л</w:t>
      </w:r>
      <w:r w:rsidR="00861BC1">
        <w:rPr>
          <w:rFonts w:ascii="Times New Roman" w:hAnsi="Times New Roman" w:cs="Times New Roman"/>
          <w:color w:val="000000" w:themeColor="text1"/>
          <w:lang w:val="uk-UA" w:eastAsia="ru-RU"/>
        </w:rPr>
        <w:t>.</w:t>
      </w:r>
    </w:p>
    <w:p w14:paraId="7F8EC894" w14:textId="049859DB" w:rsidR="0094435B" w:rsidRPr="00D005A1" w:rsidRDefault="0094435B" w:rsidP="0094435B">
      <w:pPr>
        <w:spacing w:beforeAutospacing="1" w:afterAutospacing="1"/>
        <w:jc w:val="both"/>
        <w:textAlignment w:val="baseline"/>
        <w:rPr>
          <w:rFonts w:ascii="Times New Roman" w:hAnsi="Times New Roman" w:cs="Times New Roman"/>
          <w:b/>
          <w:color w:val="2E74B5" w:themeColor="accent1" w:themeShade="BF"/>
          <w:lang w:val="uk-UA" w:eastAsia="ru-RU"/>
        </w:rPr>
      </w:pPr>
      <w:r w:rsidRPr="00D005A1">
        <w:rPr>
          <w:rFonts w:ascii="Times New Roman" w:hAnsi="Times New Roman" w:cs="Times New Roman"/>
          <w:b/>
          <w:color w:val="2E74B5" w:themeColor="accent1" w:themeShade="BF"/>
          <w:lang w:val="uk-UA" w:eastAsia="ru-RU"/>
        </w:rPr>
        <w:t xml:space="preserve">Визначення генотипу </w:t>
      </w:r>
      <w:r w:rsidR="00273D89" w:rsidRPr="00D005A1">
        <w:rPr>
          <w:rFonts w:ascii="Times New Roman" w:hAnsi="Times New Roman" w:cs="Times New Roman"/>
          <w:b/>
          <w:color w:val="2E74B5" w:themeColor="accent1" w:themeShade="BF"/>
          <w:lang w:val="uk-UA" w:eastAsia="ru-RU"/>
        </w:rPr>
        <w:t>ВГС</w:t>
      </w:r>
    </w:p>
    <w:p w14:paraId="78FA165F" w14:textId="4C30BBB0" w:rsidR="0094435B" w:rsidRPr="00652F9A" w:rsidRDefault="0094435B" w:rsidP="0094435B">
      <w:pPr>
        <w:spacing w:beforeAutospacing="1" w:afterAutospacing="1"/>
        <w:jc w:val="both"/>
        <w:textAlignment w:val="baseline"/>
        <w:rPr>
          <w:rFonts w:ascii="Times New Roman" w:hAnsi="Times New Roman" w:cs="Times New Roman"/>
          <w:color w:val="000000" w:themeColor="text1"/>
          <w:lang w:val="uk-UA" w:eastAsia="ru-RU"/>
        </w:rPr>
      </w:pPr>
      <w:r w:rsidRPr="00D005A1">
        <w:rPr>
          <w:rFonts w:ascii="Times New Roman" w:hAnsi="Times New Roman" w:cs="Times New Roman"/>
          <w:color w:val="000000" w:themeColor="text1"/>
          <w:lang w:val="uk-UA" w:eastAsia="ru-RU"/>
        </w:rPr>
        <w:t xml:space="preserve">Зважаючи на попередній досвід лікування та наявність цирозу печінки, для того щоб підібрати лікування та </w:t>
      </w:r>
      <w:r w:rsidR="00A47B42">
        <w:rPr>
          <w:rFonts w:ascii="Times New Roman" w:hAnsi="Times New Roman" w:cs="Times New Roman"/>
          <w:color w:val="000000" w:themeColor="text1"/>
          <w:lang w:val="uk-UA" w:eastAsia="ru-RU"/>
        </w:rPr>
        <w:t xml:space="preserve">визначити </w:t>
      </w:r>
      <w:r w:rsidRPr="00D005A1">
        <w:rPr>
          <w:rFonts w:ascii="Times New Roman" w:hAnsi="Times New Roman" w:cs="Times New Roman"/>
          <w:color w:val="000000" w:themeColor="text1"/>
          <w:lang w:val="uk-UA" w:eastAsia="ru-RU"/>
        </w:rPr>
        <w:t xml:space="preserve">його тривалість, </w:t>
      </w:r>
      <w:r w:rsidR="00A47B42">
        <w:rPr>
          <w:rFonts w:ascii="Times New Roman" w:hAnsi="Times New Roman" w:cs="Times New Roman"/>
          <w:color w:val="000000" w:themeColor="text1"/>
          <w:lang w:val="uk-UA" w:eastAsia="ru-RU"/>
        </w:rPr>
        <w:t>необхідне</w:t>
      </w:r>
      <w:r w:rsidRPr="00D005A1">
        <w:rPr>
          <w:rFonts w:ascii="Times New Roman" w:hAnsi="Times New Roman" w:cs="Times New Roman"/>
          <w:color w:val="000000" w:themeColor="text1"/>
          <w:lang w:val="uk-UA" w:eastAsia="ru-RU"/>
        </w:rPr>
        <w:t xml:space="preserve"> визначення генотипу </w:t>
      </w:r>
      <w:r w:rsidR="00273D89" w:rsidRPr="00D005A1">
        <w:rPr>
          <w:rFonts w:ascii="Times New Roman" w:hAnsi="Times New Roman" w:cs="Times New Roman"/>
          <w:color w:val="000000" w:themeColor="text1"/>
          <w:lang w:val="uk-UA" w:eastAsia="ru-RU"/>
        </w:rPr>
        <w:t>ВГС</w:t>
      </w:r>
      <w:r w:rsidRPr="00D005A1">
        <w:rPr>
          <w:rFonts w:ascii="Times New Roman" w:hAnsi="Times New Roman" w:cs="Times New Roman"/>
          <w:color w:val="000000" w:themeColor="text1"/>
          <w:lang w:val="uk-UA" w:eastAsia="ru-RU"/>
        </w:rPr>
        <w:t>, у тому числі субтипу 1</w:t>
      </w:r>
      <w:r w:rsidR="00FC6D8A">
        <w:rPr>
          <w:rFonts w:ascii="Times New Roman" w:hAnsi="Times New Roman" w:cs="Times New Roman"/>
          <w:color w:val="000000" w:themeColor="text1"/>
          <w:lang w:val="uk-UA" w:eastAsia="ru-RU"/>
        </w:rPr>
        <w:t>–</w:t>
      </w:r>
      <w:r w:rsidRPr="00D005A1">
        <w:rPr>
          <w:rFonts w:ascii="Times New Roman" w:hAnsi="Times New Roman" w:cs="Times New Roman"/>
          <w:color w:val="000000" w:themeColor="text1"/>
          <w:lang w:val="uk-UA" w:eastAsia="ru-RU"/>
        </w:rPr>
        <w:t>го генотипу (1а або 1</w:t>
      </w:r>
      <w:r w:rsidRPr="0094435B">
        <w:rPr>
          <w:rFonts w:ascii="Times New Roman" w:hAnsi="Times New Roman" w:cs="Times New Roman"/>
          <w:color w:val="000000" w:themeColor="text1"/>
          <w:lang w:eastAsia="ru-RU"/>
        </w:rPr>
        <w:t>b</w:t>
      </w:r>
      <w:r w:rsidRPr="00D005A1">
        <w:rPr>
          <w:rFonts w:ascii="Times New Roman" w:hAnsi="Times New Roman" w:cs="Times New Roman"/>
          <w:color w:val="000000" w:themeColor="text1"/>
          <w:lang w:val="uk-UA" w:eastAsia="ru-RU"/>
        </w:rPr>
        <w:t>). Генотипування/субтипування слід виконувати за допомогою аналізу, який дає змогу точно розрізнити субтипи 1</w:t>
      </w:r>
      <w:r w:rsidRPr="0094435B">
        <w:rPr>
          <w:rFonts w:ascii="Times New Roman" w:hAnsi="Times New Roman" w:cs="Times New Roman"/>
          <w:color w:val="000000" w:themeColor="text1"/>
          <w:lang w:eastAsia="ru-RU"/>
        </w:rPr>
        <w:t>a</w:t>
      </w:r>
      <w:r w:rsidRPr="00D005A1">
        <w:rPr>
          <w:rFonts w:ascii="Times New Roman" w:hAnsi="Times New Roman" w:cs="Times New Roman"/>
          <w:color w:val="000000" w:themeColor="text1"/>
          <w:lang w:val="uk-UA" w:eastAsia="ru-RU"/>
        </w:rPr>
        <w:t xml:space="preserve"> та 1</w:t>
      </w:r>
      <w:r w:rsidRPr="0094435B">
        <w:rPr>
          <w:rFonts w:ascii="Times New Roman" w:hAnsi="Times New Roman" w:cs="Times New Roman"/>
          <w:color w:val="000000" w:themeColor="text1"/>
          <w:lang w:eastAsia="ru-RU"/>
        </w:rPr>
        <w:t>b</w:t>
      </w:r>
      <w:r w:rsidRPr="00D005A1">
        <w:rPr>
          <w:rFonts w:ascii="Times New Roman" w:hAnsi="Times New Roman" w:cs="Times New Roman"/>
          <w:color w:val="000000" w:themeColor="text1"/>
          <w:lang w:val="uk-UA" w:eastAsia="ru-RU"/>
        </w:rPr>
        <w:t xml:space="preserve">, тобто аналізу, в якому використовується 5’ нетрансльована ділянка плюс частина іншої ділянки геному, як правило, та, що кодує </w:t>
      </w:r>
      <w:r w:rsidRPr="0094435B">
        <w:rPr>
          <w:rFonts w:ascii="Times New Roman" w:hAnsi="Times New Roman" w:cs="Times New Roman"/>
          <w:color w:val="000000" w:themeColor="text1"/>
          <w:lang w:eastAsia="ru-RU"/>
        </w:rPr>
        <w:t>core</w:t>
      </w:r>
      <w:r w:rsidR="00690065" w:rsidRPr="00690065">
        <w:rPr>
          <w:rFonts w:ascii="Times New Roman" w:hAnsi="Times New Roman" w:cs="Times New Roman"/>
          <w:color w:val="000000" w:themeColor="text1"/>
          <w:lang w:val="uk-UA" w:eastAsia="ru-RU"/>
        </w:rPr>
        <w:t xml:space="preserve"> </w:t>
      </w:r>
      <w:r w:rsidRPr="007C2563">
        <w:rPr>
          <w:rFonts w:ascii="Times New Roman" w:hAnsi="Times New Roman" w:cs="Times New Roman"/>
          <w:color w:val="000000" w:themeColor="text1"/>
          <w:lang w:eastAsia="ru-RU"/>
        </w:rPr>
        <w:t>Ag</w:t>
      </w:r>
      <w:r w:rsidRPr="007C2563">
        <w:rPr>
          <w:rFonts w:ascii="Times New Roman" w:hAnsi="Times New Roman" w:cs="Times New Roman"/>
          <w:color w:val="000000" w:themeColor="text1"/>
          <w:lang w:val="uk-UA" w:eastAsia="ru-RU"/>
        </w:rPr>
        <w:t xml:space="preserve"> або </w:t>
      </w:r>
      <w:r w:rsidR="000C4087" w:rsidRPr="007C2563">
        <w:rPr>
          <w:rFonts w:ascii="Times New Roman" w:hAnsi="Times New Roman" w:cs="Times New Roman"/>
          <w:color w:val="000000" w:themeColor="text1"/>
          <w:lang w:val="uk-UA" w:eastAsia="ru-RU"/>
        </w:rPr>
        <w:t>ділянки</w:t>
      </w:r>
      <w:r w:rsidRPr="007C2563">
        <w:rPr>
          <w:rFonts w:ascii="Times New Roman" w:hAnsi="Times New Roman" w:cs="Times New Roman"/>
          <w:color w:val="000000" w:themeColor="text1"/>
          <w:lang w:val="uk-UA" w:eastAsia="ru-RU"/>
        </w:rPr>
        <w:t xml:space="preserve">, що кодують </w:t>
      </w:r>
      <w:r w:rsidRPr="007C2563">
        <w:rPr>
          <w:rFonts w:ascii="Times New Roman" w:hAnsi="Times New Roman" w:cs="Times New Roman"/>
          <w:color w:val="000000" w:themeColor="text1"/>
          <w:lang w:eastAsia="ru-RU"/>
        </w:rPr>
        <w:t>NS</w:t>
      </w:r>
      <w:r w:rsidRPr="007C2563">
        <w:rPr>
          <w:rFonts w:ascii="Times New Roman" w:hAnsi="Times New Roman" w:cs="Times New Roman"/>
          <w:color w:val="000000" w:themeColor="text1"/>
          <w:lang w:val="uk-UA" w:eastAsia="ru-RU"/>
        </w:rPr>
        <w:t>5</w:t>
      </w:r>
      <w:r w:rsidRPr="007C2563">
        <w:rPr>
          <w:rFonts w:ascii="Times New Roman" w:hAnsi="Times New Roman" w:cs="Times New Roman"/>
          <w:color w:val="000000" w:themeColor="text1"/>
          <w:lang w:eastAsia="ru-RU"/>
        </w:rPr>
        <w:t>B</w:t>
      </w:r>
      <w:r w:rsidRPr="007C2563">
        <w:rPr>
          <w:rFonts w:ascii="Times New Roman" w:hAnsi="Times New Roman" w:cs="Times New Roman"/>
          <w:color w:val="000000" w:themeColor="text1"/>
          <w:lang w:val="uk-UA" w:eastAsia="ru-RU"/>
        </w:rPr>
        <w:t xml:space="preserve"> (не структурний</w:t>
      </w:r>
      <w:r w:rsidRPr="00D005A1">
        <w:rPr>
          <w:rFonts w:ascii="Times New Roman" w:hAnsi="Times New Roman" w:cs="Times New Roman"/>
          <w:color w:val="000000" w:themeColor="text1"/>
          <w:lang w:val="uk-UA" w:eastAsia="ru-RU"/>
        </w:rPr>
        <w:t xml:space="preserve"> білок 5В)</w:t>
      </w:r>
      <w:r w:rsidR="00861BC1" w:rsidRPr="00D005A1">
        <w:rPr>
          <w:rFonts w:ascii="Times New Roman" w:hAnsi="Times New Roman" w:cs="Times New Roman"/>
          <w:b/>
          <w:color w:val="000000" w:themeColor="text1"/>
          <w:vertAlign w:val="superscript"/>
          <w:lang w:val="uk-UA" w:eastAsia="ru-RU"/>
        </w:rPr>
        <w:t>50</w:t>
      </w:r>
      <w:r w:rsidRPr="00D005A1">
        <w:rPr>
          <w:rFonts w:ascii="Times New Roman" w:hAnsi="Times New Roman" w:cs="Times New Roman"/>
          <w:color w:val="000000" w:themeColor="text1"/>
          <w:lang w:val="uk-UA" w:eastAsia="ru-RU"/>
        </w:rPr>
        <w:t xml:space="preserve">. Найбільш широко використовується метод, що грунтується на зворотній гібридизації за допомогою аналізу з використанням олігонуклеотидних зондів. </w:t>
      </w:r>
      <w:r w:rsidRPr="00652F9A">
        <w:rPr>
          <w:rFonts w:ascii="Times New Roman" w:hAnsi="Times New Roman" w:cs="Times New Roman"/>
          <w:color w:val="000000" w:themeColor="text1"/>
          <w:lang w:val="uk-UA" w:eastAsia="ru-RU"/>
        </w:rPr>
        <w:t>Незабаром також буде доступним</w:t>
      </w:r>
      <w:r w:rsidR="000C4087">
        <w:rPr>
          <w:rFonts w:ascii="Times New Roman" w:hAnsi="Times New Roman" w:cs="Times New Roman"/>
          <w:color w:val="000000" w:themeColor="text1"/>
          <w:lang w:val="uk-UA" w:eastAsia="ru-RU"/>
        </w:rPr>
        <w:t xml:space="preserve"> </w:t>
      </w:r>
      <w:r w:rsidRPr="00652F9A">
        <w:rPr>
          <w:rFonts w:ascii="Times New Roman" w:hAnsi="Times New Roman" w:cs="Times New Roman"/>
          <w:color w:val="000000" w:themeColor="text1"/>
          <w:lang w:val="uk-UA" w:eastAsia="ru-RU"/>
        </w:rPr>
        <w:t>аналіз на основі глибокого секвенування</w:t>
      </w:r>
      <w:r w:rsidRPr="00652F9A">
        <w:rPr>
          <w:rFonts w:ascii="Times New Roman" w:hAnsi="Times New Roman" w:cs="Times New Roman"/>
          <w:b/>
          <w:color w:val="000000" w:themeColor="text1"/>
          <w:vertAlign w:val="superscript"/>
          <w:lang w:val="uk-UA" w:eastAsia="ru-RU"/>
        </w:rPr>
        <w:t>51</w:t>
      </w:r>
      <w:r w:rsidRPr="00652F9A">
        <w:rPr>
          <w:rFonts w:ascii="Times New Roman" w:hAnsi="Times New Roman" w:cs="Times New Roman"/>
          <w:color w:val="000000" w:themeColor="text1"/>
          <w:lang w:val="uk-UA" w:eastAsia="ru-RU"/>
        </w:rPr>
        <w:t>.</w:t>
      </w:r>
    </w:p>
    <w:p w14:paraId="06663D7A" w14:textId="6B735924" w:rsidR="0094435B" w:rsidRPr="00652F9A" w:rsidRDefault="0094435B" w:rsidP="00BF5DF2">
      <w:pPr>
        <w:spacing w:beforeAutospacing="1" w:afterAutospacing="1"/>
        <w:jc w:val="both"/>
        <w:textAlignment w:val="baseline"/>
        <w:rPr>
          <w:rFonts w:ascii="Times New Roman" w:hAnsi="Times New Roman" w:cs="Times New Roman"/>
          <w:color w:val="000000" w:themeColor="text1"/>
          <w:lang w:val="uk-UA" w:eastAsia="ru-RU"/>
        </w:rPr>
      </w:pPr>
      <w:r w:rsidRPr="00652F9A">
        <w:rPr>
          <w:rFonts w:ascii="Times New Roman" w:hAnsi="Times New Roman" w:cs="Times New Roman"/>
          <w:color w:val="000000" w:themeColor="text1"/>
          <w:lang w:val="uk-UA" w:eastAsia="ru-RU"/>
        </w:rPr>
        <w:t>У зв’язку з наявністю пангенотип</w:t>
      </w:r>
      <w:r w:rsidR="00861BC1">
        <w:rPr>
          <w:rFonts w:ascii="Times New Roman" w:hAnsi="Times New Roman" w:cs="Times New Roman"/>
          <w:color w:val="000000" w:themeColor="text1"/>
          <w:lang w:val="uk-UA" w:eastAsia="ru-RU"/>
        </w:rPr>
        <w:t>н</w:t>
      </w:r>
      <w:r w:rsidRPr="00652F9A">
        <w:rPr>
          <w:rFonts w:ascii="Times New Roman" w:hAnsi="Times New Roman" w:cs="Times New Roman"/>
          <w:color w:val="000000" w:themeColor="text1"/>
          <w:lang w:val="uk-UA" w:eastAsia="ru-RU"/>
        </w:rPr>
        <w:t>их режимів лікування гепатиту С</w:t>
      </w:r>
      <w:r w:rsidR="00861BC1">
        <w:rPr>
          <w:rFonts w:ascii="Times New Roman" w:hAnsi="Times New Roman" w:cs="Times New Roman"/>
          <w:color w:val="000000" w:themeColor="text1"/>
          <w:lang w:val="uk-UA" w:eastAsia="ru-RU"/>
        </w:rPr>
        <w:t>,</w:t>
      </w:r>
      <w:r w:rsidRPr="00652F9A">
        <w:rPr>
          <w:rFonts w:ascii="Times New Roman" w:hAnsi="Times New Roman" w:cs="Times New Roman"/>
          <w:color w:val="000000" w:themeColor="text1"/>
          <w:lang w:val="uk-UA" w:eastAsia="ru-RU"/>
        </w:rPr>
        <w:t xml:space="preserve"> можливо проводити лікування пацієнтів без ідентифікації генотипу та субтипу </w:t>
      </w:r>
      <w:r w:rsidR="00273D89" w:rsidRPr="00652F9A">
        <w:rPr>
          <w:rFonts w:ascii="Times New Roman" w:hAnsi="Times New Roman" w:cs="Times New Roman"/>
          <w:color w:val="000000" w:themeColor="text1"/>
          <w:lang w:val="uk-UA" w:eastAsia="ru-RU"/>
        </w:rPr>
        <w:t>ВГС</w:t>
      </w:r>
      <w:r w:rsidRPr="00652F9A">
        <w:rPr>
          <w:rFonts w:ascii="Times New Roman" w:hAnsi="Times New Roman" w:cs="Times New Roman"/>
          <w:color w:val="000000" w:themeColor="text1"/>
          <w:lang w:val="uk-UA" w:eastAsia="ru-RU"/>
        </w:rPr>
        <w:t xml:space="preserve">. Така можливість буде особливо корисною </w:t>
      </w:r>
      <w:r w:rsidR="00861BC1">
        <w:rPr>
          <w:rFonts w:ascii="Times New Roman" w:hAnsi="Times New Roman" w:cs="Times New Roman"/>
          <w:color w:val="000000" w:themeColor="text1"/>
          <w:lang w:val="uk-UA" w:eastAsia="ru-RU"/>
        </w:rPr>
        <w:t>у</w:t>
      </w:r>
      <w:r w:rsidRPr="00652F9A">
        <w:rPr>
          <w:rFonts w:ascii="Times New Roman" w:hAnsi="Times New Roman" w:cs="Times New Roman"/>
          <w:color w:val="000000" w:themeColor="text1"/>
          <w:lang w:val="uk-UA" w:eastAsia="ru-RU"/>
        </w:rPr>
        <w:t xml:space="preserve"> регіонах, де вірусологічні тести недоступні, або їх вартість перевищує вартість противірусного лікування, або для спрощення терапії в інших регіонах, для того щоб збільшити доступність медичної допомоги.</w:t>
      </w:r>
    </w:p>
    <w:p w14:paraId="134B144B" w14:textId="6CED6EEF" w:rsidR="0094435B" w:rsidRPr="00BF5DF2" w:rsidRDefault="0094435B" w:rsidP="00BF5DF2">
      <w:pPr>
        <w:spacing w:beforeAutospacing="1" w:afterAutospacing="1"/>
        <w:jc w:val="both"/>
        <w:textAlignment w:val="baseline"/>
        <w:rPr>
          <w:rFonts w:ascii="Times New Roman" w:hAnsi="Times New Roman" w:cs="Times New Roman"/>
          <w:b/>
          <w:color w:val="2E74B5" w:themeColor="accent1" w:themeShade="BF"/>
          <w:lang w:eastAsia="ru-RU"/>
        </w:rPr>
      </w:pPr>
      <w:r w:rsidRPr="00BF5DF2">
        <w:rPr>
          <w:rFonts w:ascii="Times New Roman" w:hAnsi="Times New Roman" w:cs="Times New Roman"/>
          <w:b/>
          <w:color w:val="2E74B5" w:themeColor="accent1" w:themeShade="BF"/>
          <w:lang w:eastAsia="ru-RU"/>
        </w:rPr>
        <w:t xml:space="preserve">Аналізи для визначення резистентності </w:t>
      </w:r>
      <w:r w:rsidR="00273D89">
        <w:rPr>
          <w:rFonts w:ascii="Times New Roman" w:hAnsi="Times New Roman" w:cs="Times New Roman"/>
          <w:b/>
          <w:color w:val="2E74B5" w:themeColor="accent1" w:themeShade="BF"/>
          <w:lang w:eastAsia="ru-RU"/>
        </w:rPr>
        <w:t>ВГС</w:t>
      </w:r>
    </w:p>
    <w:p w14:paraId="00B2C910" w14:textId="5C4E1D76" w:rsidR="0094435B" w:rsidRPr="0094435B" w:rsidRDefault="0094435B" w:rsidP="00BF5DF2">
      <w:pPr>
        <w:spacing w:beforeAutospacing="1" w:afterAutospacing="1"/>
        <w:jc w:val="both"/>
        <w:textAlignment w:val="baseline"/>
        <w:rPr>
          <w:rFonts w:ascii="Times New Roman" w:hAnsi="Times New Roman" w:cs="Times New Roman"/>
          <w:color w:val="000000" w:themeColor="text1"/>
          <w:lang w:eastAsia="ru-RU"/>
        </w:rPr>
      </w:pPr>
      <w:r w:rsidRPr="0094435B">
        <w:rPr>
          <w:rFonts w:ascii="Times New Roman" w:hAnsi="Times New Roman" w:cs="Times New Roman"/>
          <w:color w:val="000000" w:themeColor="text1"/>
          <w:lang w:eastAsia="ru-RU"/>
        </w:rPr>
        <w:t xml:space="preserve">Немає стандартизованих </w:t>
      </w:r>
      <w:r w:rsidR="000C4087">
        <w:rPr>
          <w:rFonts w:ascii="Times New Roman" w:hAnsi="Times New Roman" w:cs="Times New Roman"/>
          <w:color w:val="000000" w:themeColor="text1"/>
          <w:lang w:val="uk-UA" w:eastAsia="ru-RU"/>
        </w:rPr>
        <w:t>обстежень</w:t>
      </w:r>
      <w:r w:rsidRPr="0094435B">
        <w:rPr>
          <w:rFonts w:ascii="Times New Roman" w:hAnsi="Times New Roman" w:cs="Times New Roman"/>
          <w:color w:val="000000" w:themeColor="text1"/>
          <w:lang w:eastAsia="ru-RU"/>
        </w:rPr>
        <w:t xml:space="preserve"> для визначення стійкості </w:t>
      </w:r>
      <w:r w:rsidR="00273D89">
        <w:rPr>
          <w:rFonts w:ascii="Times New Roman" w:hAnsi="Times New Roman" w:cs="Times New Roman"/>
          <w:color w:val="000000" w:themeColor="text1"/>
          <w:lang w:eastAsia="ru-RU"/>
        </w:rPr>
        <w:t>ВГС</w:t>
      </w:r>
      <w:r w:rsidRPr="0094435B">
        <w:rPr>
          <w:rFonts w:ascii="Times New Roman" w:hAnsi="Times New Roman" w:cs="Times New Roman"/>
          <w:color w:val="000000" w:themeColor="text1"/>
          <w:lang w:eastAsia="ru-RU"/>
        </w:rPr>
        <w:t xml:space="preserve"> до лік</w:t>
      </w:r>
      <w:r w:rsidR="000C4087">
        <w:rPr>
          <w:rFonts w:ascii="Times New Roman" w:hAnsi="Times New Roman" w:cs="Times New Roman"/>
          <w:color w:val="000000" w:themeColor="text1"/>
          <w:lang w:val="uk-UA" w:eastAsia="ru-RU"/>
        </w:rPr>
        <w:t>арських засобів</w:t>
      </w:r>
      <w:r w:rsidRPr="0094435B">
        <w:rPr>
          <w:rFonts w:ascii="Times New Roman" w:hAnsi="Times New Roman" w:cs="Times New Roman"/>
          <w:color w:val="000000" w:themeColor="text1"/>
          <w:lang w:eastAsia="ru-RU"/>
        </w:rPr>
        <w:t xml:space="preserve"> у вигляді спеціальних наборів, які можна було </w:t>
      </w:r>
      <w:r w:rsidR="000C4087">
        <w:rPr>
          <w:rFonts w:ascii="Times New Roman" w:hAnsi="Times New Roman" w:cs="Times New Roman"/>
          <w:color w:val="000000" w:themeColor="text1"/>
          <w:lang w:val="uk-UA" w:eastAsia="ru-RU"/>
        </w:rPr>
        <w:t xml:space="preserve">б </w:t>
      </w:r>
      <w:r w:rsidRPr="0094435B">
        <w:rPr>
          <w:rFonts w:ascii="Times New Roman" w:hAnsi="Times New Roman" w:cs="Times New Roman"/>
          <w:color w:val="000000" w:themeColor="text1"/>
          <w:lang w:eastAsia="ru-RU"/>
        </w:rPr>
        <w:t xml:space="preserve">придбати. </w:t>
      </w:r>
      <w:r w:rsidRPr="007C2563">
        <w:rPr>
          <w:rFonts w:ascii="Times New Roman" w:hAnsi="Times New Roman" w:cs="Times New Roman"/>
          <w:color w:val="000000" w:themeColor="text1"/>
          <w:lang w:eastAsia="ru-RU"/>
        </w:rPr>
        <w:t>Перевірка резистентності переважно полягає у внутрішньолабораторних методиках, що грунтуються на популяційному секвенуванні (секвенування за методом Sang</w:t>
      </w:r>
      <w:r w:rsidR="00BE3753" w:rsidRPr="007C2563">
        <w:rPr>
          <w:rFonts w:ascii="Times New Roman" w:hAnsi="Times New Roman" w:cs="Times New Roman"/>
          <w:color w:val="000000" w:themeColor="text1"/>
          <w:lang w:eastAsia="ru-RU"/>
        </w:rPr>
        <w:t>er) або глибокому секвенуванні</w:t>
      </w:r>
      <w:r w:rsidR="00ED60B9" w:rsidRPr="007C2563">
        <w:rPr>
          <w:rFonts w:ascii="Times New Roman" w:hAnsi="Times New Roman" w:cs="Times New Roman"/>
          <w:color w:val="000000" w:themeColor="text1"/>
          <w:lang w:val="uk-UA" w:eastAsia="ru-RU"/>
        </w:rPr>
        <w:t>.</w:t>
      </w:r>
      <w:r w:rsidR="00BE3753" w:rsidRPr="007C2563">
        <w:rPr>
          <w:rFonts w:ascii="Times New Roman" w:hAnsi="Times New Roman" w:cs="Times New Roman"/>
          <w:b/>
          <w:color w:val="000000" w:themeColor="text1"/>
          <w:vertAlign w:val="superscript"/>
          <w:lang w:eastAsia="ru-RU"/>
        </w:rPr>
        <w:t>52</w:t>
      </w:r>
      <w:r w:rsidR="00ED60B9" w:rsidRPr="007C2563">
        <w:rPr>
          <w:rFonts w:ascii="Times New Roman" w:hAnsi="Times New Roman" w:cs="Times New Roman"/>
          <w:b/>
          <w:color w:val="000000" w:themeColor="text1"/>
          <w:vertAlign w:val="superscript"/>
          <w:lang w:val="uk-UA" w:eastAsia="ru-RU"/>
        </w:rPr>
        <w:t xml:space="preserve"> </w:t>
      </w:r>
      <w:r w:rsidRPr="007C2563">
        <w:rPr>
          <w:rFonts w:ascii="Times New Roman" w:hAnsi="Times New Roman" w:cs="Times New Roman"/>
          <w:color w:val="000000" w:themeColor="text1"/>
          <w:lang w:eastAsia="ru-RU"/>
        </w:rPr>
        <w:t>Такі тести доступні лише в обмеженій кількості лабораторій в Європі та ще кількох місцях у світі</w:t>
      </w:r>
      <w:r w:rsidRPr="0094435B">
        <w:rPr>
          <w:rFonts w:ascii="Times New Roman" w:hAnsi="Times New Roman" w:cs="Times New Roman"/>
          <w:color w:val="000000" w:themeColor="text1"/>
          <w:lang w:eastAsia="ru-RU"/>
        </w:rPr>
        <w:t xml:space="preserve">. Аналіз на резистентність </w:t>
      </w:r>
      <w:r w:rsidR="00273D89">
        <w:rPr>
          <w:rFonts w:ascii="Times New Roman" w:hAnsi="Times New Roman" w:cs="Times New Roman"/>
          <w:color w:val="000000" w:themeColor="text1"/>
          <w:lang w:eastAsia="ru-RU"/>
        </w:rPr>
        <w:t>ВГС</w:t>
      </w:r>
      <w:r w:rsidRPr="0094435B">
        <w:rPr>
          <w:rFonts w:ascii="Times New Roman" w:hAnsi="Times New Roman" w:cs="Times New Roman"/>
          <w:color w:val="000000" w:themeColor="text1"/>
          <w:lang w:eastAsia="ru-RU"/>
        </w:rPr>
        <w:t xml:space="preserve"> може бути технічно складним, зокрема, для інших генотипів, окрім 1 та 4, а параметри наявних внутрішньолабораторних аналізів значно відрізняються. Комплект для виконання аналізу на основі вивчення глибокого секвенування в даний час перебуває на етапі розробки.</w:t>
      </w:r>
    </w:p>
    <w:p w14:paraId="2FF1E457" w14:textId="165AF256" w:rsidR="0094435B" w:rsidRPr="0094435B" w:rsidRDefault="0094435B" w:rsidP="00BF5DF2">
      <w:pPr>
        <w:spacing w:beforeAutospacing="1" w:afterAutospacing="1"/>
        <w:jc w:val="both"/>
        <w:textAlignment w:val="baseline"/>
        <w:rPr>
          <w:rFonts w:ascii="Times New Roman" w:hAnsi="Times New Roman" w:cs="Times New Roman"/>
          <w:color w:val="000000" w:themeColor="text1"/>
          <w:lang w:eastAsia="ru-RU"/>
        </w:rPr>
      </w:pPr>
      <w:r w:rsidRPr="0094435B">
        <w:rPr>
          <w:rFonts w:ascii="Times New Roman" w:hAnsi="Times New Roman" w:cs="Times New Roman"/>
          <w:color w:val="000000" w:themeColor="text1"/>
          <w:lang w:eastAsia="ru-RU"/>
        </w:rPr>
        <w:t xml:space="preserve">Доступність достовірного тесту на резистентність </w:t>
      </w:r>
      <w:r w:rsidR="00273D89">
        <w:rPr>
          <w:rFonts w:ascii="Times New Roman" w:hAnsi="Times New Roman" w:cs="Times New Roman"/>
          <w:color w:val="000000" w:themeColor="text1"/>
          <w:lang w:eastAsia="ru-RU"/>
        </w:rPr>
        <w:t>ВГС</w:t>
      </w:r>
      <w:r w:rsidRPr="0094435B">
        <w:rPr>
          <w:rFonts w:ascii="Times New Roman" w:hAnsi="Times New Roman" w:cs="Times New Roman"/>
          <w:color w:val="000000" w:themeColor="text1"/>
          <w:lang w:eastAsia="ru-RU"/>
        </w:rPr>
        <w:t xml:space="preserve"> обмежена, немає єдиної думки щодо техніки виконання, інтерпретації та звітності про результати цих тестів. Окрім того, на даний час існують високоефективні методи лікування пацієнтів зі встановленою до лікування резистентністю вірусу. Таким чином, не рекомендовано виконувати систематичне тестування на резистентність </w:t>
      </w:r>
      <w:r w:rsidR="00273D89">
        <w:rPr>
          <w:rFonts w:ascii="Times New Roman" w:hAnsi="Times New Roman" w:cs="Times New Roman"/>
          <w:color w:val="000000" w:themeColor="text1"/>
          <w:lang w:eastAsia="ru-RU"/>
        </w:rPr>
        <w:t>ВГС</w:t>
      </w:r>
      <w:r w:rsidRPr="0094435B">
        <w:rPr>
          <w:rFonts w:ascii="Times New Roman" w:hAnsi="Times New Roman" w:cs="Times New Roman"/>
          <w:color w:val="000000" w:themeColor="text1"/>
          <w:lang w:eastAsia="ru-RU"/>
        </w:rPr>
        <w:t xml:space="preserve"> до початку лікування противірусними препаратами прямої дії у пацієнтів, які раніше не </w:t>
      </w:r>
      <w:r w:rsidR="00BE3753">
        <w:rPr>
          <w:rFonts w:ascii="Times New Roman" w:hAnsi="Times New Roman" w:cs="Times New Roman"/>
          <w:color w:val="000000" w:themeColor="text1"/>
          <w:lang w:eastAsia="ru-RU"/>
        </w:rPr>
        <w:t xml:space="preserve">отримували жодних </w:t>
      </w:r>
      <w:r w:rsidR="00DD7838">
        <w:rPr>
          <w:rFonts w:ascii="Times New Roman" w:hAnsi="Times New Roman" w:cs="Times New Roman"/>
          <w:color w:val="000000" w:themeColor="text1"/>
          <w:lang w:val="uk-UA" w:eastAsia="ru-RU"/>
        </w:rPr>
        <w:t xml:space="preserve">лікарських засобів </w:t>
      </w:r>
      <w:r w:rsidR="00ED60B9">
        <w:rPr>
          <w:rFonts w:ascii="Times New Roman" w:hAnsi="Times New Roman" w:cs="Times New Roman"/>
          <w:color w:val="000000" w:themeColor="text1"/>
          <w:lang w:val="uk-UA" w:eastAsia="ru-RU"/>
        </w:rPr>
        <w:t>для лікування ВГС</w:t>
      </w:r>
      <w:r w:rsidR="00BE3753">
        <w:rPr>
          <w:rFonts w:ascii="Times New Roman" w:hAnsi="Times New Roman" w:cs="Times New Roman"/>
          <w:color w:val="000000" w:themeColor="text1"/>
          <w:lang w:eastAsia="ru-RU"/>
        </w:rPr>
        <w:t xml:space="preserve"> </w:t>
      </w:r>
      <w:r w:rsidR="00BE3753" w:rsidRPr="00BE3753">
        <w:rPr>
          <w:rFonts w:ascii="Times New Roman" w:hAnsi="Times New Roman" w:cs="Times New Roman"/>
          <w:b/>
          <w:color w:val="000000" w:themeColor="text1"/>
          <w:vertAlign w:val="superscript"/>
          <w:lang w:eastAsia="ru-RU"/>
        </w:rPr>
        <w:t>53</w:t>
      </w:r>
      <w:r w:rsidRPr="0094435B">
        <w:rPr>
          <w:rFonts w:ascii="Times New Roman" w:hAnsi="Times New Roman" w:cs="Times New Roman"/>
          <w:color w:val="000000" w:themeColor="text1"/>
          <w:lang w:eastAsia="ru-RU"/>
        </w:rPr>
        <w:t>.</w:t>
      </w:r>
    </w:p>
    <w:p w14:paraId="4CECC677" w14:textId="5247345C" w:rsidR="0094435B" w:rsidRPr="003F121A" w:rsidRDefault="0094435B" w:rsidP="003F121A">
      <w:pPr>
        <w:spacing w:beforeAutospacing="1" w:afterAutospacing="1"/>
        <w:jc w:val="both"/>
        <w:textAlignment w:val="baseline"/>
        <w:rPr>
          <w:rFonts w:ascii="Times New Roman" w:hAnsi="Times New Roman" w:cs="Times New Roman"/>
          <w:color w:val="000000" w:themeColor="text1"/>
          <w:lang w:eastAsia="ru-RU"/>
        </w:rPr>
      </w:pPr>
      <w:r w:rsidRPr="0094435B">
        <w:rPr>
          <w:rFonts w:ascii="Times New Roman" w:hAnsi="Times New Roman" w:cs="Times New Roman"/>
          <w:color w:val="000000" w:themeColor="text1"/>
          <w:lang w:eastAsia="ru-RU"/>
        </w:rPr>
        <w:t xml:space="preserve">Поточні рекомендації EASL пропонують використовувати режими лікування, які не потребують </w:t>
      </w:r>
      <w:r w:rsidR="00ED60B9">
        <w:rPr>
          <w:rFonts w:ascii="Times New Roman" w:hAnsi="Times New Roman" w:cs="Times New Roman"/>
          <w:color w:val="000000" w:themeColor="text1"/>
          <w:lang w:val="uk-UA" w:eastAsia="ru-RU"/>
        </w:rPr>
        <w:t xml:space="preserve">проведення </w:t>
      </w:r>
      <w:r w:rsidRPr="0094435B">
        <w:rPr>
          <w:rFonts w:ascii="Times New Roman" w:hAnsi="Times New Roman" w:cs="Times New Roman"/>
          <w:color w:val="000000" w:themeColor="text1"/>
          <w:lang w:eastAsia="ru-RU"/>
        </w:rPr>
        <w:t>будь</w:t>
      </w:r>
      <w:r w:rsidR="002A356C">
        <w:rPr>
          <w:rFonts w:ascii="Times New Roman" w:hAnsi="Times New Roman" w:cs="Times New Roman"/>
          <w:color w:val="000000" w:themeColor="text1"/>
          <w:lang w:val="uk-UA" w:eastAsia="ru-RU"/>
        </w:rPr>
        <w:t>-</w:t>
      </w:r>
      <w:r w:rsidRPr="0094435B">
        <w:rPr>
          <w:rFonts w:ascii="Times New Roman" w:hAnsi="Times New Roman" w:cs="Times New Roman"/>
          <w:color w:val="000000" w:themeColor="text1"/>
          <w:lang w:eastAsia="ru-RU"/>
        </w:rPr>
        <w:t>яких аналізів на резистентність вірусу до початку лікування препаратами першої лінії. Відповідно до Рекомендацій EASL щодо лікув</w:t>
      </w:r>
      <w:r w:rsidR="00BE3753">
        <w:rPr>
          <w:rFonts w:ascii="Times New Roman" w:hAnsi="Times New Roman" w:cs="Times New Roman"/>
          <w:color w:val="000000" w:themeColor="text1"/>
          <w:lang w:eastAsia="ru-RU"/>
        </w:rPr>
        <w:t>ання гепатиту С редакції 2016</w:t>
      </w:r>
      <w:r w:rsidRPr="0094435B">
        <w:rPr>
          <w:rFonts w:ascii="Times New Roman" w:hAnsi="Times New Roman" w:cs="Times New Roman"/>
          <w:color w:val="000000" w:themeColor="text1"/>
          <w:lang w:eastAsia="ru-RU"/>
        </w:rPr>
        <w:t xml:space="preserve">, у тих регіонах, де такі схеми лікування недоступні або не відшкодовуються, а лікарі мають доступ до </w:t>
      </w:r>
      <w:r w:rsidRPr="0094435B">
        <w:rPr>
          <w:rFonts w:ascii="Times New Roman" w:hAnsi="Times New Roman" w:cs="Times New Roman"/>
          <w:color w:val="000000" w:themeColor="text1"/>
          <w:lang w:eastAsia="ru-RU"/>
        </w:rPr>
        <w:lastRenderedPageBreak/>
        <w:t>достовірних тестів на резистентність, для прийняття рішень щодо лікування можна керува</w:t>
      </w:r>
      <w:r w:rsidR="00BE3753">
        <w:rPr>
          <w:rFonts w:ascii="Times New Roman" w:hAnsi="Times New Roman" w:cs="Times New Roman"/>
          <w:color w:val="000000" w:themeColor="text1"/>
          <w:lang w:eastAsia="ru-RU"/>
        </w:rPr>
        <w:t xml:space="preserve">тися результатами цих аналізів </w:t>
      </w:r>
      <w:r w:rsidR="00BE3753" w:rsidRPr="00BE3753">
        <w:rPr>
          <w:rFonts w:ascii="Times New Roman" w:hAnsi="Times New Roman" w:cs="Times New Roman"/>
          <w:b/>
          <w:color w:val="000000" w:themeColor="text1"/>
          <w:vertAlign w:val="superscript"/>
          <w:lang w:eastAsia="ru-RU"/>
        </w:rPr>
        <w:t>54</w:t>
      </w:r>
      <w:r w:rsidRPr="00BE3753">
        <w:rPr>
          <w:rFonts w:ascii="Times New Roman" w:hAnsi="Times New Roman" w:cs="Times New Roman"/>
          <w:b/>
          <w:color w:val="000000" w:themeColor="text1"/>
          <w:vertAlign w:val="superscript"/>
          <w:lang w:eastAsia="ru-RU"/>
        </w:rPr>
        <w:t>.</w:t>
      </w:r>
    </w:p>
    <w:tbl>
      <w:tblPr>
        <w:tblStyle w:val="a6"/>
        <w:tblW w:w="0" w:type="auto"/>
        <w:tblLook w:val="04A0" w:firstRow="1" w:lastRow="0" w:firstColumn="1" w:lastColumn="0" w:noHBand="0" w:noVBand="1"/>
      </w:tblPr>
      <w:tblGrid>
        <w:gridCol w:w="9906"/>
      </w:tblGrid>
      <w:tr w:rsidR="003F121A" w:rsidRPr="00652F9A" w14:paraId="03FFBE66" w14:textId="77777777" w:rsidTr="003F121A">
        <w:tc>
          <w:tcPr>
            <w:tcW w:w="9906" w:type="dxa"/>
            <w:shd w:val="clear" w:color="auto" w:fill="DEEAF6" w:themeFill="accent1" w:themeFillTint="33"/>
          </w:tcPr>
          <w:p w14:paraId="48E7E54D" w14:textId="520BE96A" w:rsidR="003F121A" w:rsidRPr="003F121A" w:rsidRDefault="003F121A" w:rsidP="003F121A">
            <w:pPr>
              <w:spacing w:before="100" w:beforeAutospacing="1" w:after="100" w:afterAutospacing="1" w:line="240" w:lineRule="atLeast"/>
              <w:jc w:val="both"/>
              <w:textAlignment w:val="baseline"/>
              <w:rPr>
                <w:rFonts w:ascii="Times New Roman" w:hAnsi="Times New Roman" w:cs="Times New Roman"/>
                <w:b/>
                <w:color w:val="404040" w:themeColor="text1" w:themeTint="BF"/>
                <w:lang w:val="uk-UA" w:eastAsia="ru-RU"/>
              </w:rPr>
            </w:pPr>
            <w:r>
              <w:rPr>
                <w:rFonts w:ascii="Times New Roman" w:hAnsi="Times New Roman" w:cs="Times New Roman"/>
                <w:b/>
                <w:color w:val="404040" w:themeColor="text1" w:themeTint="BF"/>
                <w:lang w:val="uk-UA" w:eastAsia="ru-RU"/>
              </w:rPr>
              <w:t>Рекомендації</w:t>
            </w:r>
          </w:p>
          <w:p w14:paraId="2DE9F4FA" w14:textId="77777777" w:rsidR="00A47B42" w:rsidRDefault="003F121A" w:rsidP="00A47B42">
            <w:pPr>
              <w:pStyle w:val="a9"/>
              <w:numPr>
                <w:ilvl w:val="0"/>
                <w:numId w:val="65"/>
              </w:numPr>
              <w:spacing w:before="100" w:beforeAutospacing="1" w:after="100" w:afterAutospacing="1" w:line="240" w:lineRule="atLeast"/>
              <w:jc w:val="both"/>
              <w:textAlignment w:val="baseline"/>
              <w:rPr>
                <w:rFonts w:ascii="Times New Roman" w:hAnsi="Times New Roman" w:cs="Times New Roman"/>
                <w:color w:val="404040" w:themeColor="text1" w:themeTint="BF"/>
                <w:lang w:val="uk-UA" w:eastAsia="ru-RU"/>
              </w:rPr>
            </w:pPr>
            <w:r w:rsidRPr="00A47B42">
              <w:rPr>
                <w:rFonts w:ascii="Times New Roman" w:hAnsi="Times New Roman" w:cs="Times New Roman"/>
                <w:color w:val="404040" w:themeColor="text1" w:themeTint="BF"/>
                <w:lang w:eastAsia="ru-RU"/>
              </w:rPr>
              <w:t xml:space="preserve">Якісне/кількісне визначення ВГС РНК у сироватці або плазмі крові повинно проводитися за допомогою чутливого аналізу з нижньою межею виявлення ≤ 15 МО/мл </w:t>
            </w:r>
            <w:r w:rsidRPr="00A47B42">
              <w:rPr>
                <w:rFonts w:ascii="Times New Roman" w:hAnsi="Times New Roman" w:cs="Times New Roman"/>
                <w:b/>
                <w:color w:val="404040" w:themeColor="text1" w:themeTint="BF"/>
                <w:lang w:eastAsia="ru-RU"/>
              </w:rPr>
              <w:t>(А1).</w:t>
            </w:r>
            <w:r w:rsidRPr="00A47B42">
              <w:rPr>
                <w:rFonts w:ascii="Times New Roman" w:hAnsi="Times New Roman" w:cs="Times New Roman"/>
                <w:color w:val="404040" w:themeColor="text1" w:themeTint="BF"/>
                <w:lang w:val="uk-UA" w:eastAsia="ru-RU"/>
              </w:rPr>
              <w:t xml:space="preserve"> </w:t>
            </w:r>
          </w:p>
          <w:p w14:paraId="22862480" w14:textId="45A72286" w:rsidR="00A47B42" w:rsidRPr="00A47B42" w:rsidRDefault="003F121A" w:rsidP="00A47B42">
            <w:pPr>
              <w:pStyle w:val="a9"/>
              <w:numPr>
                <w:ilvl w:val="0"/>
                <w:numId w:val="65"/>
              </w:numPr>
              <w:spacing w:before="100" w:beforeAutospacing="1" w:after="100" w:afterAutospacing="1" w:line="240" w:lineRule="atLeast"/>
              <w:jc w:val="both"/>
              <w:textAlignment w:val="baseline"/>
              <w:rPr>
                <w:rFonts w:ascii="Times New Roman" w:hAnsi="Times New Roman" w:cs="Times New Roman"/>
                <w:color w:val="404040" w:themeColor="text1" w:themeTint="BF"/>
                <w:lang w:val="uk-UA" w:eastAsia="ru-RU"/>
              </w:rPr>
            </w:pPr>
            <w:r w:rsidRPr="00A47B42">
              <w:rPr>
                <w:rFonts w:ascii="Times New Roman" w:hAnsi="Times New Roman" w:cs="Times New Roman"/>
                <w:color w:val="404040" w:themeColor="text1" w:themeTint="BF"/>
                <w:lang w:val="uk-UA" w:eastAsia="ru-RU"/>
              </w:rPr>
              <w:t>У країнах з низьким і середнім рівнем доходу, а також за певних умов</w:t>
            </w:r>
            <w:r w:rsidR="003A2EEA">
              <w:rPr>
                <w:rFonts w:ascii="Times New Roman" w:hAnsi="Times New Roman" w:cs="Times New Roman"/>
                <w:color w:val="404040" w:themeColor="text1" w:themeTint="BF"/>
                <w:lang w:val="uk-UA" w:eastAsia="ru-RU"/>
              </w:rPr>
              <w:t>,</w:t>
            </w:r>
            <w:r w:rsidRPr="00A47B42">
              <w:rPr>
                <w:rFonts w:ascii="Times New Roman" w:hAnsi="Times New Roman" w:cs="Times New Roman"/>
                <w:color w:val="404040" w:themeColor="text1" w:themeTint="BF"/>
                <w:lang w:val="uk-UA" w:eastAsia="ru-RU"/>
              </w:rPr>
              <w:t xml:space="preserve"> у країнах з високим рівнем доходу</w:t>
            </w:r>
            <w:r w:rsidR="003A2EEA">
              <w:rPr>
                <w:rFonts w:ascii="Times New Roman" w:hAnsi="Times New Roman" w:cs="Times New Roman"/>
                <w:color w:val="404040" w:themeColor="text1" w:themeTint="BF"/>
                <w:lang w:val="uk-UA" w:eastAsia="ru-RU"/>
              </w:rPr>
              <w:t>,</w:t>
            </w:r>
            <w:r w:rsidRPr="00A47B42">
              <w:rPr>
                <w:rFonts w:ascii="Times New Roman" w:hAnsi="Times New Roman" w:cs="Times New Roman"/>
                <w:color w:val="404040" w:themeColor="text1" w:themeTint="BF"/>
                <w:lang w:val="uk-UA" w:eastAsia="ru-RU"/>
              </w:rPr>
              <w:t xml:space="preserve"> може використовуватися якісний аналіз на ВГС РНК з нижньою межею виявлення ≤ 1000 МО/мл, якщо більш чутливі кількісні аналізи недоступні і/або занадто дорогі </w:t>
            </w:r>
            <w:r w:rsidRPr="00A47B42">
              <w:rPr>
                <w:rFonts w:ascii="Times New Roman" w:hAnsi="Times New Roman" w:cs="Times New Roman"/>
                <w:b/>
                <w:color w:val="404040" w:themeColor="text1" w:themeTint="BF"/>
                <w:lang w:val="uk-UA" w:eastAsia="ru-RU"/>
              </w:rPr>
              <w:t>(</w:t>
            </w:r>
            <w:r w:rsidRPr="00A47B42">
              <w:rPr>
                <w:rFonts w:ascii="Times New Roman" w:hAnsi="Times New Roman" w:cs="Times New Roman"/>
                <w:b/>
                <w:color w:val="404040" w:themeColor="text1" w:themeTint="BF"/>
                <w:lang w:eastAsia="ru-RU"/>
              </w:rPr>
              <w:t>B</w:t>
            </w:r>
            <w:r w:rsidRPr="00A47B42">
              <w:rPr>
                <w:rFonts w:ascii="Times New Roman" w:hAnsi="Times New Roman" w:cs="Times New Roman"/>
                <w:b/>
                <w:color w:val="404040" w:themeColor="text1" w:themeTint="BF"/>
                <w:lang w:val="uk-UA" w:eastAsia="ru-RU"/>
              </w:rPr>
              <w:t>1).</w:t>
            </w:r>
          </w:p>
          <w:p w14:paraId="5DF82A3D" w14:textId="7409CA73" w:rsidR="00A47B42" w:rsidRPr="00A47B42" w:rsidRDefault="003F121A" w:rsidP="00A47B42">
            <w:pPr>
              <w:pStyle w:val="a9"/>
              <w:numPr>
                <w:ilvl w:val="0"/>
                <w:numId w:val="65"/>
              </w:numPr>
              <w:spacing w:before="100" w:beforeAutospacing="1" w:after="100" w:afterAutospacing="1" w:line="240" w:lineRule="atLeast"/>
              <w:jc w:val="both"/>
              <w:textAlignment w:val="baseline"/>
              <w:rPr>
                <w:rFonts w:ascii="Times New Roman" w:hAnsi="Times New Roman" w:cs="Times New Roman"/>
                <w:color w:val="404040" w:themeColor="text1" w:themeTint="BF"/>
                <w:lang w:val="uk-UA" w:eastAsia="ru-RU"/>
              </w:rPr>
            </w:pPr>
            <w:r w:rsidRPr="00A47B42">
              <w:rPr>
                <w:rFonts w:ascii="Times New Roman" w:hAnsi="Times New Roman" w:cs="Times New Roman"/>
                <w:color w:val="404040" w:themeColor="text1" w:themeTint="BF"/>
                <w:lang w:val="uk-UA" w:eastAsia="ru-RU"/>
              </w:rPr>
              <w:t xml:space="preserve">Якщо аналіз на ВГС РНК недоступний та/або занадто дорогий, може бути використано якісне/кількісне виявлення </w:t>
            </w:r>
            <w:r w:rsidRPr="00A47B42">
              <w:rPr>
                <w:rFonts w:ascii="Times New Roman" w:hAnsi="Times New Roman" w:cs="Times New Roman"/>
                <w:color w:val="404040" w:themeColor="text1" w:themeTint="BF"/>
                <w:lang w:eastAsia="ru-RU"/>
              </w:rPr>
              <w:t>core</w:t>
            </w:r>
            <w:r w:rsidR="00690065" w:rsidRPr="00690065">
              <w:rPr>
                <w:rFonts w:ascii="Times New Roman" w:hAnsi="Times New Roman" w:cs="Times New Roman"/>
                <w:color w:val="404040" w:themeColor="text1" w:themeTint="BF"/>
                <w:lang w:val="uk-UA" w:eastAsia="ru-RU"/>
              </w:rPr>
              <w:t xml:space="preserve"> </w:t>
            </w:r>
            <w:r w:rsidRPr="00A47B42">
              <w:rPr>
                <w:rFonts w:ascii="Times New Roman" w:hAnsi="Times New Roman" w:cs="Times New Roman"/>
                <w:color w:val="404040" w:themeColor="text1" w:themeTint="BF"/>
                <w:lang w:eastAsia="ru-RU"/>
              </w:rPr>
              <w:t>Ag</w:t>
            </w:r>
            <w:r w:rsidRPr="00A47B42">
              <w:rPr>
                <w:rFonts w:ascii="Times New Roman" w:hAnsi="Times New Roman" w:cs="Times New Roman"/>
                <w:color w:val="404040" w:themeColor="text1" w:themeTint="BF"/>
                <w:lang w:val="uk-UA" w:eastAsia="ru-RU"/>
              </w:rPr>
              <w:t xml:space="preserve"> ВГС як сурогатного маркера реплікації вірусу методом ІФА </w:t>
            </w:r>
            <w:r w:rsidRPr="00A47B42">
              <w:rPr>
                <w:rFonts w:ascii="Times New Roman" w:hAnsi="Times New Roman" w:cs="Times New Roman"/>
                <w:b/>
                <w:color w:val="404040" w:themeColor="text1" w:themeTint="BF"/>
                <w:lang w:val="uk-UA" w:eastAsia="ru-RU"/>
              </w:rPr>
              <w:t>(</w:t>
            </w:r>
            <w:r w:rsidRPr="00A47B42">
              <w:rPr>
                <w:rFonts w:ascii="Times New Roman" w:hAnsi="Times New Roman" w:cs="Times New Roman"/>
                <w:b/>
                <w:color w:val="404040" w:themeColor="text1" w:themeTint="BF"/>
                <w:lang w:eastAsia="ru-RU"/>
              </w:rPr>
              <w:t>A</w:t>
            </w:r>
            <w:r w:rsidRPr="00A47B42">
              <w:rPr>
                <w:rFonts w:ascii="Times New Roman" w:hAnsi="Times New Roman" w:cs="Times New Roman"/>
                <w:b/>
                <w:color w:val="404040" w:themeColor="text1" w:themeTint="BF"/>
                <w:lang w:val="uk-UA" w:eastAsia="ru-RU"/>
              </w:rPr>
              <w:t xml:space="preserve">1). </w:t>
            </w:r>
          </w:p>
          <w:p w14:paraId="5CEC0ED9" w14:textId="1DBD551B" w:rsidR="00A47B42" w:rsidRDefault="003F121A" w:rsidP="00A47B42">
            <w:pPr>
              <w:pStyle w:val="a9"/>
              <w:numPr>
                <w:ilvl w:val="0"/>
                <w:numId w:val="65"/>
              </w:numPr>
              <w:spacing w:before="100" w:beforeAutospacing="1" w:after="100" w:afterAutospacing="1" w:line="240" w:lineRule="atLeast"/>
              <w:jc w:val="both"/>
              <w:textAlignment w:val="baseline"/>
              <w:rPr>
                <w:rFonts w:ascii="Times New Roman" w:hAnsi="Times New Roman" w:cs="Times New Roman"/>
                <w:color w:val="404040" w:themeColor="text1" w:themeTint="BF"/>
                <w:lang w:val="uk-UA" w:eastAsia="ru-RU"/>
              </w:rPr>
            </w:pPr>
            <w:r w:rsidRPr="00A47B42">
              <w:rPr>
                <w:rFonts w:ascii="Times New Roman" w:hAnsi="Times New Roman" w:cs="Times New Roman"/>
                <w:color w:val="404040" w:themeColor="text1" w:themeTint="BF"/>
                <w:lang w:eastAsia="ru-RU"/>
              </w:rPr>
              <w:t xml:space="preserve">Для </w:t>
            </w:r>
            <w:r w:rsidRPr="00A47B42">
              <w:rPr>
                <w:rFonts w:ascii="Times New Roman" w:hAnsi="Times New Roman" w:cs="Times New Roman"/>
                <w:color w:val="404040" w:themeColor="text1" w:themeTint="BF"/>
                <w:lang w:val="uk-UA" w:eastAsia="ru-RU"/>
              </w:rPr>
              <w:t>того щоб підібрати лікування та його тривалість, окрім інших параметрів до початку терапії слід визначити генотип ВГС, у тому числі субтип 1</w:t>
            </w:r>
            <w:r w:rsidR="00FC6D8A">
              <w:rPr>
                <w:rFonts w:ascii="Times New Roman" w:hAnsi="Times New Roman" w:cs="Times New Roman"/>
                <w:color w:val="404040" w:themeColor="text1" w:themeTint="BF"/>
                <w:lang w:val="uk-UA" w:eastAsia="ru-RU"/>
              </w:rPr>
              <w:t>–</w:t>
            </w:r>
            <w:r w:rsidRPr="00A47B42">
              <w:rPr>
                <w:rFonts w:ascii="Times New Roman" w:hAnsi="Times New Roman" w:cs="Times New Roman"/>
                <w:color w:val="404040" w:themeColor="text1" w:themeTint="BF"/>
                <w:lang w:val="uk-UA" w:eastAsia="ru-RU"/>
              </w:rPr>
              <w:t>го генотипу (1а або 1</w:t>
            </w:r>
            <w:r w:rsidRPr="00A47B42">
              <w:rPr>
                <w:rFonts w:ascii="Times New Roman" w:hAnsi="Times New Roman" w:cs="Times New Roman"/>
                <w:color w:val="404040" w:themeColor="text1" w:themeTint="BF"/>
                <w:lang w:eastAsia="ru-RU"/>
              </w:rPr>
              <w:t>b</w:t>
            </w:r>
            <w:r w:rsidRPr="00A47B42">
              <w:rPr>
                <w:rFonts w:ascii="Times New Roman" w:hAnsi="Times New Roman" w:cs="Times New Roman"/>
                <w:color w:val="404040" w:themeColor="text1" w:themeTint="BF"/>
                <w:lang w:val="uk-UA" w:eastAsia="ru-RU"/>
              </w:rPr>
              <w:t xml:space="preserve">) </w:t>
            </w:r>
            <w:r w:rsidRPr="00A47B42">
              <w:rPr>
                <w:rFonts w:ascii="Times New Roman" w:hAnsi="Times New Roman" w:cs="Times New Roman"/>
                <w:b/>
                <w:color w:val="404040" w:themeColor="text1" w:themeTint="BF"/>
                <w:lang w:val="uk-UA" w:eastAsia="ru-RU"/>
              </w:rPr>
              <w:t>(</w:t>
            </w:r>
            <w:r w:rsidRPr="00A47B42">
              <w:rPr>
                <w:rFonts w:ascii="Times New Roman" w:hAnsi="Times New Roman" w:cs="Times New Roman"/>
                <w:b/>
                <w:color w:val="404040" w:themeColor="text1" w:themeTint="BF"/>
                <w:lang w:eastAsia="ru-RU"/>
              </w:rPr>
              <w:t>A</w:t>
            </w:r>
            <w:r w:rsidRPr="00A47B42">
              <w:rPr>
                <w:rFonts w:ascii="Times New Roman" w:hAnsi="Times New Roman" w:cs="Times New Roman"/>
                <w:b/>
                <w:color w:val="404040" w:themeColor="text1" w:themeTint="BF"/>
                <w:lang w:val="uk-UA" w:eastAsia="ru-RU"/>
              </w:rPr>
              <w:t>1).</w:t>
            </w:r>
            <w:r w:rsidRPr="00A47B42">
              <w:rPr>
                <w:rFonts w:ascii="Times New Roman" w:hAnsi="Times New Roman" w:cs="Times New Roman"/>
                <w:color w:val="404040" w:themeColor="text1" w:themeTint="BF"/>
                <w:lang w:val="uk-UA" w:eastAsia="ru-RU"/>
              </w:rPr>
              <w:t xml:space="preserve"> </w:t>
            </w:r>
          </w:p>
          <w:p w14:paraId="3AF68FC8" w14:textId="006A140F" w:rsidR="00A47B42" w:rsidRDefault="003F121A" w:rsidP="00A47B42">
            <w:pPr>
              <w:pStyle w:val="a9"/>
              <w:numPr>
                <w:ilvl w:val="0"/>
                <w:numId w:val="65"/>
              </w:numPr>
              <w:spacing w:before="100" w:beforeAutospacing="1" w:after="100" w:afterAutospacing="1" w:line="240" w:lineRule="atLeast"/>
              <w:jc w:val="both"/>
              <w:textAlignment w:val="baseline"/>
              <w:rPr>
                <w:rFonts w:ascii="Times New Roman" w:hAnsi="Times New Roman" w:cs="Times New Roman"/>
                <w:color w:val="404040" w:themeColor="text1" w:themeTint="BF"/>
                <w:lang w:val="uk-UA" w:eastAsia="ru-RU"/>
              </w:rPr>
            </w:pPr>
            <w:r w:rsidRPr="00A47B42">
              <w:rPr>
                <w:rFonts w:ascii="Times New Roman" w:hAnsi="Times New Roman" w:cs="Times New Roman"/>
                <w:color w:val="404040" w:themeColor="text1" w:themeTint="BF"/>
                <w:lang w:eastAsia="ru-RU"/>
              </w:rPr>
              <w:t>Може бути призначено пангенотип</w:t>
            </w:r>
            <w:r w:rsidR="00ED60B9">
              <w:rPr>
                <w:rFonts w:ascii="Times New Roman" w:hAnsi="Times New Roman" w:cs="Times New Roman"/>
                <w:color w:val="404040" w:themeColor="text1" w:themeTint="BF"/>
                <w:lang w:val="uk-UA" w:eastAsia="ru-RU"/>
              </w:rPr>
              <w:t>н</w:t>
            </w:r>
            <w:r w:rsidRPr="00A47B42">
              <w:rPr>
                <w:rFonts w:ascii="Times New Roman" w:hAnsi="Times New Roman" w:cs="Times New Roman"/>
                <w:color w:val="404040" w:themeColor="text1" w:themeTint="BF"/>
                <w:lang w:eastAsia="ru-RU"/>
              </w:rPr>
              <w:t xml:space="preserve">ий режим лікування гепатиту С у пацієнтів без ідентифікації генотипу та субтипу ВГС у тих регіонах, де генотипування є недоступним або занадто дорогим, а також для того, щоб полегшити доступність лікування </w:t>
            </w:r>
            <w:r w:rsidRPr="00A47B42">
              <w:rPr>
                <w:rFonts w:ascii="Times New Roman" w:hAnsi="Times New Roman" w:cs="Times New Roman"/>
                <w:b/>
                <w:color w:val="404040" w:themeColor="text1" w:themeTint="BF"/>
                <w:lang w:eastAsia="ru-RU"/>
              </w:rPr>
              <w:t>(B1).</w:t>
            </w:r>
            <w:r w:rsidRPr="00A47B42">
              <w:rPr>
                <w:rFonts w:ascii="Times New Roman" w:hAnsi="Times New Roman" w:cs="Times New Roman"/>
                <w:color w:val="404040" w:themeColor="text1" w:themeTint="BF"/>
                <w:lang w:val="uk-UA" w:eastAsia="ru-RU"/>
              </w:rPr>
              <w:t xml:space="preserve">                                                </w:t>
            </w:r>
          </w:p>
          <w:p w14:paraId="57F536F7" w14:textId="5042622E" w:rsidR="00A47B42" w:rsidRDefault="003F121A" w:rsidP="00A47B42">
            <w:pPr>
              <w:pStyle w:val="a9"/>
              <w:numPr>
                <w:ilvl w:val="0"/>
                <w:numId w:val="65"/>
              </w:numPr>
              <w:spacing w:before="100" w:beforeAutospacing="1" w:after="100" w:afterAutospacing="1" w:line="240" w:lineRule="atLeast"/>
              <w:jc w:val="both"/>
              <w:textAlignment w:val="baseline"/>
              <w:rPr>
                <w:rFonts w:ascii="Times New Roman" w:hAnsi="Times New Roman" w:cs="Times New Roman"/>
                <w:color w:val="404040" w:themeColor="text1" w:themeTint="BF"/>
                <w:lang w:val="uk-UA" w:eastAsia="ru-RU"/>
              </w:rPr>
            </w:pPr>
            <w:r w:rsidRPr="00A47B42">
              <w:rPr>
                <w:rFonts w:ascii="Times New Roman" w:hAnsi="Times New Roman" w:cs="Times New Roman"/>
                <w:color w:val="404040" w:themeColor="text1" w:themeTint="BF"/>
                <w:lang w:val="uk-UA" w:eastAsia="ru-RU"/>
              </w:rPr>
              <w:t xml:space="preserve"> </w:t>
            </w:r>
            <w:r w:rsidRPr="00A47B42">
              <w:rPr>
                <w:rFonts w:ascii="Times New Roman" w:hAnsi="Times New Roman" w:cs="Times New Roman"/>
                <w:color w:val="404040" w:themeColor="text1" w:themeTint="BF"/>
                <w:lang w:eastAsia="ru-RU"/>
              </w:rPr>
              <w:t xml:space="preserve">Виконання аналізів на резистентність ВГС до початку лікування не рекомендується </w:t>
            </w:r>
            <w:r w:rsidRPr="00A47B42">
              <w:rPr>
                <w:rFonts w:ascii="Times New Roman" w:hAnsi="Times New Roman" w:cs="Times New Roman"/>
                <w:b/>
                <w:color w:val="404040" w:themeColor="text1" w:themeTint="BF"/>
                <w:lang w:eastAsia="ru-RU"/>
              </w:rPr>
              <w:t>(B1).</w:t>
            </w:r>
          </w:p>
          <w:p w14:paraId="239AC837" w14:textId="454CC6E9" w:rsidR="003F121A" w:rsidRPr="00A47B42" w:rsidRDefault="003F121A" w:rsidP="00A47B42">
            <w:pPr>
              <w:pStyle w:val="a9"/>
              <w:numPr>
                <w:ilvl w:val="0"/>
                <w:numId w:val="65"/>
              </w:numPr>
              <w:spacing w:before="100" w:beforeAutospacing="1" w:after="100" w:afterAutospacing="1" w:line="240" w:lineRule="atLeast"/>
              <w:jc w:val="both"/>
              <w:textAlignment w:val="baseline"/>
              <w:rPr>
                <w:rFonts w:ascii="Times New Roman" w:hAnsi="Times New Roman" w:cs="Times New Roman"/>
                <w:color w:val="404040" w:themeColor="text1" w:themeTint="BF"/>
                <w:lang w:val="uk-UA" w:eastAsia="ru-RU"/>
              </w:rPr>
            </w:pPr>
            <w:r w:rsidRPr="00A47B42">
              <w:rPr>
                <w:rFonts w:ascii="Times New Roman" w:hAnsi="Times New Roman" w:cs="Times New Roman"/>
                <w:color w:val="404040" w:themeColor="text1" w:themeTint="BF"/>
                <w:lang w:val="uk-UA" w:eastAsia="ru-RU"/>
              </w:rPr>
              <w:t xml:space="preserve">Відповідно до Рекомендацій </w:t>
            </w:r>
            <w:r w:rsidRPr="00A47B42">
              <w:rPr>
                <w:rFonts w:ascii="Times New Roman" w:hAnsi="Times New Roman" w:cs="Times New Roman"/>
                <w:color w:val="404040" w:themeColor="text1" w:themeTint="BF"/>
                <w:lang w:eastAsia="ru-RU"/>
              </w:rPr>
              <w:t>EASL</w:t>
            </w:r>
            <w:r w:rsidRPr="00A47B42">
              <w:rPr>
                <w:rFonts w:ascii="Times New Roman" w:hAnsi="Times New Roman" w:cs="Times New Roman"/>
                <w:color w:val="404040" w:themeColor="text1" w:themeTint="BF"/>
                <w:lang w:val="uk-UA" w:eastAsia="ru-RU"/>
              </w:rPr>
              <w:t xml:space="preserve"> щодо лікування гепатиту С редакції 2016 р., у тих регіонах, де доступні лише схеми лікування, що потребують попереднього визначення резистентності вірусу, а лікарі мають доступ до достовірних тестів, які визначають резистентність вірусу до інгібіторів </w:t>
            </w:r>
            <w:r w:rsidRPr="00A47B42">
              <w:rPr>
                <w:rFonts w:ascii="Times New Roman" w:hAnsi="Times New Roman" w:cs="Times New Roman"/>
                <w:color w:val="404040" w:themeColor="text1" w:themeTint="BF"/>
                <w:lang w:eastAsia="ru-RU"/>
              </w:rPr>
              <w:t>NS</w:t>
            </w:r>
            <w:r w:rsidRPr="00A47B42">
              <w:rPr>
                <w:rFonts w:ascii="Times New Roman" w:hAnsi="Times New Roman" w:cs="Times New Roman"/>
                <w:color w:val="404040" w:themeColor="text1" w:themeTint="BF"/>
                <w:lang w:val="uk-UA" w:eastAsia="ru-RU"/>
              </w:rPr>
              <w:t>5</w:t>
            </w:r>
            <w:r w:rsidRPr="00A47B42">
              <w:rPr>
                <w:rFonts w:ascii="Times New Roman" w:hAnsi="Times New Roman" w:cs="Times New Roman"/>
                <w:color w:val="404040" w:themeColor="text1" w:themeTint="BF"/>
                <w:lang w:eastAsia="ru-RU"/>
              </w:rPr>
              <w:t>A</w:t>
            </w:r>
            <w:r w:rsidRPr="00A47B42">
              <w:rPr>
                <w:rFonts w:ascii="Times New Roman" w:hAnsi="Times New Roman" w:cs="Times New Roman"/>
                <w:color w:val="404040" w:themeColor="text1" w:themeTint="BF"/>
                <w:lang w:val="uk-UA" w:eastAsia="ru-RU"/>
              </w:rPr>
              <w:t xml:space="preserve"> (охоплюючи амінокислоти з 24 до 93), для прийняття рішень щодо лікування можна керуватися результатами цих аналізів </w:t>
            </w:r>
            <w:r w:rsidRPr="00A47B42">
              <w:rPr>
                <w:rFonts w:ascii="Times New Roman" w:hAnsi="Times New Roman" w:cs="Times New Roman"/>
                <w:b/>
                <w:color w:val="404040" w:themeColor="text1" w:themeTint="BF"/>
                <w:lang w:val="uk-UA" w:eastAsia="ru-RU"/>
              </w:rPr>
              <w:t>(В2).</w:t>
            </w:r>
          </w:p>
        </w:tc>
      </w:tr>
    </w:tbl>
    <w:bookmarkEnd w:id="0"/>
    <w:p w14:paraId="1C7DC7F1" w14:textId="607B520A" w:rsidR="00BD42F1" w:rsidRPr="00BD42F1" w:rsidRDefault="00BD42F1" w:rsidP="00BD42F1">
      <w:pPr>
        <w:spacing w:beforeAutospacing="1" w:afterAutospacing="1"/>
        <w:jc w:val="both"/>
        <w:textAlignment w:val="baseline"/>
        <w:rPr>
          <w:rFonts w:ascii="Times New Roman" w:hAnsi="Times New Roman" w:cs="Times New Roman"/>
          <w:b/>
          <w:color w:val="2E74B5" w:themeColor="accent1" w:themeShade="BF"/>
          <w:lang w:eastAsia="ru-RU"/>
        </w:rPr>
      </w:pPr>
      <w:r w:rsidRPr="00BD42F1">
        <w:rPr>
          <w:rFonts w:ascii="Times New Roman" w:hAnsi="Times New Roman" w:cs="Times New Roman"/>
          <w:b/>
          <w:color w:val="2E74B5" w:themeColor="accent1" w:themeShade="BF"/>
          <w:lang w:eastAsia="ru-RU"/>
        </w:rPr>
        <w:t>Протипоказ</w:t>
      </w:r>
      <w:r w:rsidR="0045236C">
        <w:rPr>
          <w:rFonts w:ascii="Times New Roman" w:hAnsi="Times New Roman" w:cs="Times New Roman"/>
          <w:b/>
          <w:color w:val="2E74B5" w:themeColor="accent1" w:themeShade="BF"/>
          <w:lang w:val="uk-UA" w:eastAsia="ru-RU"/>
        </w:rPr>
        <w:t>и</w:t>
      </w:r>
      <w:r w:rsidRPr="00BD42F1">
        <w:rPr>
          <w:rFonts w:ascii="Times New Roman" w:hAnsi="Times New Roman" w:cs="Times New Roman"/>
          <w:b/>
          <w:color w:val="2E74B5" w:themeColor="accent1" w:themeShade="BF"/>
          <w:lang w:eastAsia="ru-RU"/>
        </w:rPr>
        <w:t xml:space="preserve"> до терапії</w:t>
      </w:r>
    </w:p>
    <w:p w14:paraId="6DC9D23B" w14:textId="42C68143" w:rsidR="00BD42F1" w:rsidRPr="00BD42F1" w:rsidRDefault="00BD42F1" w:rsidP="00BD42F1">
      <w:pPr>
        <w:spacing w:beforeAutospacing="1" w:afterAutospacing="1"/>
        <w:jc w:val="both"/>
        <w:textAlignment w:val="baseline"/>
        <w:rPr>
          <w:rFonts w:ascii="Times New Roman" w:hAnsi="Times New Roman" w:cs="Times New Roman"/>
          <w:color w:val="000000" w:themeColor="text1"/>
          <w:lang w:eastAsia="ru-RU"/>
        </w:rPr>
      </w:pPr>
      <w:r w:rsidRPr="00BD42F1">
        <w:rPr>
          <w:rFonts w:ascii="Times New Roman" w:hAnsi="Times New Roman" w:cs="Times New Roman"/>
          <w:color w:val="000000" w:themeColor="text1"/>
          <w:lang w:eastAsia="ru-RU"/>
        </w:rPr>
        <w:t>Протипоказ</w:t>
      </w:r>
      <w:r w:rsidR="00DB27F9">
        <w:rPr>
          <w:rFonts w:ascii="Times New Roman" w:hAnsi="Times New Roman" w:cs="Times New Roman"/>
          <w:color w:val="000000" w:themeColor="text1"/>
          <w:lang w:val="uk-UA" w:eastAsia="ru-RU"/>
        </w:rPr>
        <w:t>ів</w:t>
      </w:r>
      <w:r w:rsidRPr="00BD42F1">
        <w:rPr>
          <w:rFonts w:ascii="Times New Roman" w:hAnsi="Times New Roman" w:cs="Times New Roman"/>
          <w:color w:val="000000" w:themeColor="text1"/>
          <w:lang w:eastAsia="ru-RU"/>
        </w:rPr>
        <w:t xml:space="preserve"> до лікування противірусними препаратами прямої дії небагато. Використання певних препаратів, які індукують цитохром P450 (CYP) / P</w:t>
      </w:r>
      <w:r w:rsidR="00FC6D8A">
        <w:rPr>
          <w:rFonts w:ascii="Times New Roman" w:hAnsi="Times New Roman" w:cs="Times New Roman"/>
          <w:color w:val="000000" w:themeColor="text1"/>
          <w:lang w:eastAsia="ru-RU"/>
        </w:rPr>
        <w:t>–</w:t>
      </w:r>
      <w:r w:rsidRPr="00BD42F1">
        <w:rPr>
          <w:rFonts w:ascii="Times New Roman" w:hAnsi="Times New Roman" w:cs="Times New Roman"/>
          <w:color w:val="000000" w:themeColor="text1"/>
          <w:lang w:eastAsia="ru-RU"/>
        </w:rPr>
        <w:t>глікопротеїн (P</w:t>
      </w:r>
      <w:r w:rsidR="00FC6D8A">
        <w:rPr>
          <w:rFonts w:ascii="Times New Roman" w:hAnsi="Times New Roman" w:cs="Times New Roman"/>
          <w:color w:val="000000" w:themeColor="text1"/>
          <w:lang w:eastAsia="ru-RU"/>
        </w:rPr>
        <w:t>–</w:t>
      </w:r>
      <w:r w:rsidRPr="00BD42F1">
        <w:rPr>
          <w:rFonts w:ascii="Times New Roman" w:hAnsi="Times New Roman" w:cs="Times New Roman"/>
          <w:color w:val="000000" w:themeColor="text1"/>
          <w:lang w:eastAsia="ru-RU"/>
        </w:rPr>
        <w:t xml:space="preserve">gp) (такі як карбамазепін та фенітоїн), протипоказане у всіх схемах лікування через ризик значного зменшення концентрації противірусних препаратів, а тому, відповідно, високий ризик неефективності лікування. Про інші протипоказання, пов’язані з </w:t>
      </w:r>
      <w:r w:rsidR="00DD7838">
        <w:rPr>
          <w:rFonts w:ascii="Times New Roman" w:hAnsi="Times New Roman" w:cs="Times New Roman"/>
          <w:color w:val="000000" w:themeColor="text1"/>
          <w:lang w:val="uk-UA" w:eastAsia="ru-RU"/>
        </w:rPr>
        <w:t>лікарськими засобами</w:t>
      </w:r>
      <w:r w:rsidRPr="00BD42F1">
        <w:rPr>
          <w:rFonts w:ascii="Times New Roman" w:hAnsi="Times New Roman" w:cs="Times New Roman"/>
          <w:color w:val="000000" w:themeColor="text1"/>
          <w:lang w:eastAsia="ru-RU"/>
        </w:rPr>
        <w:t xml:space="preserve">, йдеться нижче. Схеми лікування, що включають інгібітори протеази NS3–4A, такі як потенційовані за допомогою ритонавіру </w:t>
      </w:r>
      <w:r w:rsidR="00E76D74">
        <w:rPr>
          <w:rFonts w:ascii="Times New Roman" w:hAnsi="Times New Roman" w:cs="Times New Roman"/>
          <w:color w:val="000000" w:themeColor="text1"/>
          <w:lang w:eastAsia="ru-RU"/>
        </w:rPr>
        <w:t>паритапревір</w:t>
      </w:r>
      <w:r w:rsidRPr="00BD42F1">
        <w:rPr>
          <w:rFonts w:ascii="Times New Roman" w:hAnsi="Times New Roman" w:cs="Times New Roman"/>
          <w:color w:val="000000" w:themeColor="text1"/>
          <w:lang w:eastAsia="ru-RU"/>
        </w:rPr>
        <w:t>, гразопревір, глекпревір або воксілапревір, не повинні використовуватися у пацієнтів з декомпенсованим цирозом печінки, B або C за Чайлдом–П’ю, через істотне підвищення концентрації інгібіторів протеаз у цих пацієнтів та пов’язаний з цим ризик токсичності.</w:t>
      </w:r>
    </w:p>
    <w:p w14:paraId="0F78D33E" w14:textId="6FDF39CA" w:rsidR="00BD42F1" w:rsidRPr="00BD42F1" w:rsidRDefault="00BD42F1" w:rsidP="0048387D">
      <w:pPr>
        <w:spacing w:beforeAutospacing="1" w:afterAutospacing="1"/>
        <w:jc w:val="both"/>
        <w:textAlignment w:val="baseline"/>
        <w:rPr>
          <w:rFonts w:ascii="Times New Roman" w:hAnsi="Times New Roman" w:cs="Times New Roman"/>
          <w:color w:val="000000" w:themeColor="text1"/>
          <w:lang w:eastAsia="ru-RU"/>
        </w:rPr>
      </w:pPr>
      <w:r w:rsidRPr="00BD42F1">
        <w:rPr>
          <w:rFonts w:ascii="Times New Roman" w:hAnsi="Times New Roman" w:cs="Times New Roman"/>
          <w:color w:val="000000" w:themeColor="text1"/>
          <w:lang w:eastAsia="ru-RU"/>
        </w:rPr>
        <w:t xml:space="preserve">Софосбувір слід використовувати з обережністю у хворих з </w:t>
      </w:r>
      <w:r w:rsidR="00D628F0">
        <w:rPr>
          <w:rFonts w:ascii="Times New Roman" w:hAnsi="Times New Roman" w:cs="Times New Roman"/>
          <w:color w:val="000000" w:themeColor="text1"/>
          <w:lang w:val="uk-UA" w:eastAsia="ru-RU"/>
        </w:rPr>
        <w:t>вираженою</w:t>
      </w:r>
      <w:r w:rsidRPr="00BD42F1">
        <w:rPr>
          <w:rFonts w:ascii="Times New Roman" w:hAnsi="Times New Roman" w:cs="Times New Roman"/>
          <w:color w:val="000000" w:themeColor="text1"/>
          <w:lang w:eastAsia="ru-RU"/>
        </w:rPr>
        <w:t xml:space="preserve"> нирковою недостатністю (ШКФ&lt;30 мл/хв/1,73 м2), якщо немає альтернативного варіанту лікування, оскільки фармакокінетика та безпека метаболітів софосбувіру у пацієнтів з тяжкою дисфункцією нирок усе ще встановлюється.</w:t>
      </w:r>
    </w:p>
    <w:p w14:paraId="294CB87B" w14:textId="77777777" w:rsidR="00BD42F1" w:rsidRPr="00BD42F1" w:rsidRDefault="00BD42F1" w:rsidP="00BD42F1">
      <w:pPr>
        <w:spacing w:beforeAutospacing="1" w:afterAutospacing="1"/>
        <w:ind w:firstLine="240"/>
        <w:jc w:val="both"/>
        <w:textAlignment w:val="baseline"/>
        <w:rPr>
          <w:rFonts w:ascii="Times New Roman" w:hAnsi="Times New Roman" w:cs="Times New Roman"/>
          <w:color w:val="000000" w:themeColor="text1"/>
          <w:lang w:eastAsia="ru-RU"/>
        </w:rPr>
      </w:pPr>
    </w:p>
    <w:p w14:paraId="49907D8B" w14:textId="77777777" w:rsidR="0048387D" w:rsidRDefault="0048387D" w:rsidP="00BD42F1">
      <w:pPr>
        <w:spacing w:beforeAutospacing="1" w:afterAutospacing="1"/>
        <w:ind w:firstLine="240"/>
        <w:jc w:val="both"/>
        <w:textAlignment w:val="baseline"/>
        <w:rPr>
          <w:rFonts w:ascii="Times New Roman" w:hAnsi="Times New Roman" w:cs="Times New Roman"/>
          <w:color w:val="000000" w:themeColor="text1"/>
          <w:lang w:eastAsia="ru-RU"/>
        </w:rPr>
      </w:pPr>
    </w:p>
    <w:p w14:paraId="7F4E210B" w14:textId="77777777" w:rsidR="00BD42F1" w:rsidRPr="0048387D" w:rsidRDefault="00BD42F1" w:rsidP="0048387D">
      <w:pPr>
        <w:shd w:val="clear" w:color="auto" w:fill="BDD6EE" w:themeFill="accent1" w:themeFillTint="66"/>
        <w:spacing w:beforeAutospacing="1" w:afterAutospacing="1"/>
        <w:jc w:val="both"/>
        <w:textAlignment w:val="baseline"/>
        <w:rPr>
          <w:rFonts w:ascii="Times New Roman" w:hAnsi="Times New Roman" w:cs="Times New Roman"/>
          <w:b/>
          <w:color w:val="000000" w:themeColor="text1"/>
          <w:lang w:eastAsia="ru-RU"/>
        </w:rPr>
      </w:pPr>
      <w:r w:rsidRPr="000D3C3C">
        <w:rPr>
          <w:rFonts w:ascii="Times New Roman" w:hAnsi="Times New Roman" w:cs="Times New Roman"/>
          <w:b/>
          <w:color w:val="000000" w:themeColor="text1"/>
          <w:lang w:eastAsia="ru-RU"/>
        </w:rPr>
        <w:lastRenderedPageBreak/>
        <w:t>Рекомендації</w:t>
      </w:r>
    </w:p>
    <w:p w14:paraId="5E15E965" w14:textId="1875E931" w:rsidR="00BD42F1" w:rsidRPr="0048387D" w:rsidRDefault="00BD42F1" w:rsidP="00015E3B">
      <w:pPr>
        <w:pStyle w:val="a9"/>
        <w:numPr>
          <w:ilvl w:val="0"/>
          <w:numId w:val="3"/>
        </w:numPr>
        <w:shd w:val="clear" w:color="auto" w:fill="BDD6EE" w:themeFill="accent1" w:themeFillTint="66"/>
        <w:spacing w:beforeAutospacing="1" w:afterAutospacing="1"/>
        <w:jc w:val="both"/>
        <w:textAlignment w:val="baseline"/>
        <w:rPr>
          <w:rFonts w:ascii="Times New Roman" w:hAnsi="Times New Roman" w:cs="Times New Roman"/>
          <w:color w:val="000000" w:themeColor="text1"/>
          <w:lang w:eastAsia="ru-RU"/>
        </w:rPr>
      </w:pPr>
      <w:r w:rsidRPr="0048387D">
        <w:rPr>
          <w:rFonts w:ascii="Times New Roman" w:hAnsi="Times New Roman" w:cs="Times New Roman"/>
          <w:color w:val="000000" w:themeColor="text1"/>
          <w:lang w:eastAsia="ru-RU"/>
        </w:rPr>
        <w:t>Використання препаратів, які індукують цитохром P450 (CYP) / P</w:t>
      </w:r>
      <w:r w:rsidR="00FC6D8A">
        <w:rPr>
          <w:rFonts w:ascii="Times New Roman" w:hAnsi="Times New Roman" w:cs="Times New Roman"/>
          <w:color w:val="000000" w:themeColor="text1"/>
          <w:lang w:eastAsia="ru-RU"/>
        </w:rPr>
        <w:t>–</w:t>
      </w:r>
      <w:r w:rsidRPr="0048387D">
        <w:rPr>
          <w:rFonts w:ascii="Times New Roman" w:hAnsi="Times New Roman" w:cs="Times New Roman"/>
          <w:color w:val="000000" w:themeColor="text1"/>
          <w:lang w:eastAsia="ru-RU"/>
        </w:rPr>
        <w:t>глікопротеїн (P</w:t>
      </w:r>
      <w:r w:rsidR="00FC6D8A">
        <w:rPr>
          <w:rFonts w:ascii="Times New Roman" w:hAnsi="Times New Roman" w:cs="Times New Roman"/>
          <w:color w:val="000000" w:themeColor="text1"/>
          <w:lang w:eastAsia="ru-RU"/>
        </w:rPr>
        <w:t>–</w:t>
      </w:r>
      <w:r w:rsidRPr="0048387D">
        <w:rPr>
          <w:rFonts w:ascii="Times New Roman" w:hAnsi="Times New Roman" w:cs="Times New Roman"/>
          <w:color w:val="000000" w:themeColor="text1"/>
          <w:lang w:eastAsia="ru-RU"/>
        </w:rPr>
        <w:t xml:space="preserve">gp) (такі як карбамазепін та фенітоїн), протипоказано у всіх схемах лікування через ризик значного зменшення концентрації противірусних препаратів </w:t>
      </w:r>
      <w:r w:rsidRPr="00FF03A4">
        <w:rPr>
          <w:rFonts w:ascii="Times New Roman" w:hAnsi="Times New Roman" w:cs="Times New Roman"/>
          <w:b/>
          <w:color w:val="000000" w:themeColor="text1"/>
          <w:lang w:eastAsia="ru-RU"/>
        </w:rPr>
        <w:t>(A1).</w:t>
      </w:r>
    </w:p>
    <w:p w14:paraId="09A79F96" w14:textId="07568AD8" w:rsidR="00BD42F1" w:rsidRPr="0048387D" w:rsidRDefault="00BD42F1" w:rsidP="00015E3B">
      <w:pPr>
        <w:pStyle w:val="a9"/>
        <w:numPr>
          <w:ilvl w:val="0"/>
          <w:numId w:val="3"/>
        </w:numPr>
        <w:shd w:val="clear" w:color="auto" w:fill="BDD6EE" w:themeFill="accent1" w:themeFillTint="66"/>
        <w:spacing w:beforeAutospacing="1" w:afterAutospacing="1"/>
        <w:jc w:val="both"/>
        <w:textAlignment w:val="baseline"/>
        <w:rPr>
          <w:rFonts w:ascii="Times New Roman" w:hAnsi="Times New Roman" w:cs="Times New Roman"/>
          <w:color w:val="000000" w:themeColor="text1"/>
          <w:lang w:eastAsia="ru-RU"/>
        </w:rPr>
      </w:pPr>
      <w:r w:rsidRPr="0048387D">
        <w:rPr>
          <w:rFonts w:ascii="Times New Roman" w:hAnsi="Times New Roman" w:cs="Times New Roman"/>
          <w:color w:val="000000" w:themeColor="text1"/>
          <w:lang w:eastAsia="ru-RU"/>
        </w:rPr>
        <w:t>Схеми лікування, що містять інгібітори протеаз, не повинні використовуватися у пацієнтів з декомпенсованим цирозом печінки,</w:t>
      </w:r>
      <w:r w:rsidR="008C5715">
        <w:rPr>
          <w:rFonts w:ascii="Times New Roman" w:hAnsi="Times New Roman" w:cs="Times New Roman"/>
          <w:color w:val="000000" w:themeColor="text1"/>
          <w:lang w:val="uk-UA" w:eastAsia="ru-RU"/>
        </w:rPr>
        <w:t xml:space="preserve"> класу</w:t>
      </w:r>
      <w:r w:rsidRPr="0048387D">
        <w:rPr>
          <w:rFonts w:ascii="Times New Roman" w:hAnsi="Times New Roman" w:cs="Times New Roman"/>
          <w:color w:val="000000" w:themeColor="text1"/>
          <w:lang w:eastAsia="ru-RU"/>
        </w:rPr>
        <w:t xml:space="preserve"> B або C за Чайлдом–П’ю, а також у пацієнтів з епізодами декомпенсації захворювання в минулому </w:t>
      </w:r>
      <w:r w:rsidRPr="00FF03A4">
        <w:rPr>
          <w:rFonts w:ascii="Times New Roman" w:hAnsi="Times New Roman" w:cs="Times New Roman"/>
          <w:b/>
          <w:color w:val="000000" w:themeColor="text1"/>
          <w:lang w:eastAsia="ru-RU"/>
        </w:rPr>
        <w:t>(А1).</w:t>
      </w:r>
    </w:p>
    <w:p w14:paraId="7EA1F370" w14:textId="1E1941BC" w:rsidR="00BD42F1" w:rsidRPr="0048387D" w:rsidRDefault="00BD42F1" w:rsidP="00015E3B">
      <w:pPr>
        <w:pStyle w:val="a9"/>
        <w:numPr>
          <w:ilvl w:val="0"/>
          <w:numId w:val="3"/>
        </w:numPr>
        <w:shd w:val="clear" w:color="auto" w:fill="BDD6EE" w:themeFill="accent1" w:themeFillTint="66"/>
        <w:spacing w:beforeAutospacing="1" w:afterAutospacing="1"/>
        <w:jc w:val="both"/>
        <w:textAlignment w:val="baseline"/>
        <w:rPr>
          <w:rFonts w:ascii="Times New Roman" w:hAnsi="Times New Roman" w:cs="Times New Roman"/>
          <w:color w:val="000000" w:themeColor="text1"/>
          <w:lang w:eastAsia="ru-RU"/>
        </w:rPr>
      </w:pPr>
      <w:r w:rsidRPr="0048387D">
        <w:rPr>
          <w:rFonts w:ascii="Times New Roman" w:hAnsi="Times New Roman" w:cs="Times New Roman"/>
          <w:color w:val="000000" w:themeColor="text1"/>
          <w:lang w:eastAsia="ru-RU"/>
        </w:rPr>
        <w:t xml:space="preserve">У пацієнтів з ШКФ&lt;30 мл/хв/1,73 м2 софосбувір слід використовувати лише у випадках, якщо немає альтернативного варіанту лікування, який був затверджений для застосування у пацієнтів з тяжкими порушеннями функції нирок </w:t>
      </w:r>
      <w:r w:rsidRPr="00FF03A4">
        <w:rPr>
          <w:rFonts w:ascii="Times New Roman" w:hAnsi="Times New Roman" w:cs="Times New Roman"/>
          <w:b/>
          <w:color w:val="000000" w:themeColor="text1"/>
          <w:lang w:eastAsia="ru-RU"/>
        </w:rPr>
        <w:t>(В1)</w:t>
      </w:r>
    </w:p>
    <w:p w14:paraId="26050780" w14:textId="77777777" w:rsidR="00BD42F1" w:rsidRPr="0048387D" w:rsidRDefault="00BD42F1" w:rsidP="0048387D">
      <w:pPr>
        <w:spacing w:beforeAutospacing="1" w:afterAutospacing="1"/>
        <w:jc w:val="both"/>
        <w:textAlignment w:val="baseline"/>
        <w:rPr>
          <w:rFonts w:ascii="Times New Roman" w:hAnsi="Times New Roman" w:cs="Times New Roman"/>
          <w:b/>
          <w:color w:val="2E74B5" w:themeColor="accent1" w:themeShade="BF"/>
          <w:lang w:eastAsia="ru-RU"/>
        </w:rPr>
      </w:pPr>
      <w:r w:rsidRPr="0048387D">
        <w:rPr>
          <w:rFonts w:ascii="Times New Roman" w:hAnsi="Times New Roman" w:cs="Times New Roman"/>
          <w:b/>
          <w:color w:val="2E74B5" w:themeColor="accent1" w:themeShade="BF"/>
          <w:lang w:eastAsia="ru-RU"/>
        </w:rPr>
        <w:t>Показання для лікування: кому слід призначати лікування?</w:t>
      </w:r>
    </w:p>
    <w:p w14:paraId="7CD9E701" w14:textId="4C91FED4" w:rsidR="00BD42F1" w:rsidRPr="00BD42F1" w:rsidRDefault="00BD42F1" w:rsidP="0048387D">
      <w:pPr>
        <w:spacing w:beforeAutospacing="1" w:afterAutospacing="1"/>
        <w:jc w:val="both"/>
        <w:textAlignment w:val="baseline"/>
        <w:rPr>
          <w:rFonts w:ascii="Times New Roman" w:hAnsi="Times New Roman" w:cs="Times New Roman"/>
          <w:color w:val="000000" w:themeColor="text1"/>
          <w:lang w:eastAsia="ru-RU"/>
        </w:rPr>
      </w:pPr>
      <w:r w:rsidRPr="00BD42F1">
        <w:rPr>
          <w:rFonts w:ascii="Times New Roman" w:hAnsi="Times New Roman" w:cs="Times New Roman"/>
          <w:color w:val="000000" w:themeColor="text1"/>
          <w:lang w:eastAsia="ru-RU"/>
        </w:rPr>
        <w:t xml:space="preserve">Усі </w:t>
      </w:r>
      <w:r w:rsidR="0048387D">
        <w:rPr>
          <w:rFonts w:ascii="Times New Roman" w:hAnsi="Times New Roman" w:cs="Times New Roman"/>
          <w:color w:val="000000" w:themeColor="text1"/>
          <w:lang w:eastAsia="ru-RU"/>
        </w:rPr>
        <w:t>ВГС</w:t>
      </w:r>
      <w:r w:rsidR="00FC6D8A">
        <w:rPr>
          <w:rFonts w:ascii="Times New Roman" w:hAnsi="Times New Roman" w:cs="Times New Roman"/>
          <w:color w:val="000000" w:themeColor="text1"/>
          <w:lang w:eastAsia="ru-RU"/>
        </w:rPr>
        <w:t>–</w:t>
      </w:r>
      <w:r w:rsidRPr="00BD42F1">
        <w:rPr>
          <w:rFonts w:ascii="Times New Roman" w:hAnsi="Times New Roman" w:cs="Times New Roman"/>
          <w:color w:val="000000" w:themeColor="text1"/>
          <w:lang w:eastAsia="ru-RU"/>
        </w:rPr>
        <w:t>інфіковані пацієнти</w:t>
      </w:r>
      <w:r w:rsidR="00D92753">
        <w:rPr>
          <w:rFonts w:ascii="Times New Roman" w:hAnsi="Times New Roman" w:cs="Times New Roman"/>
          <w:color w:val="000000" w:themeColor="text1"/>
          <w:lang w:val="uk-UA" w:eastAsia="ru-RU"/>
        </w:rPr>
        <w:t xml:space="preserve"> (</w:t>
      </w:r>
      <w:r w:rsidR="00DC3BDB" w:rsidRPr="00652F9A">
        <w:rPr>
          <w:rFonts w:ascii="Times New Roman" w:hAnsi="Times New Roman" w:cs="Times New Roman"/>
          <w:color w:val="000000" w:themeColor="text1"/>
          <w:lang w:eastAsia="ru-RU"/>
        </w:rPr>
        <w:t>“</w:t>
      </w:r>
      <w:r w:rsidR="00DC3BDB">
        <w:rPr>
          <w:rFonts w:ascii="Times New Roman" w:hAnsi="Times New Roman" w:cs="Times New Roman"/>
          <w:color w:val="000000" w:themeColor="text1"/>
          <w:lang w:val="uk-UA" w:eastAsia="ru-RU"/>
        </w:rPr>
        <w:t>наївні</w:t>
      </w:r>
      <w:r w:rsidR="00652F9A" w:rsidRPr="00652F9A">
        <w:rPr>
          <w:rFonts w:ascii="Times New Roman" w:hAnsi="Times New Roman" w:cs="Times New Roman"/>
          <w:color w:val="000000" w:themeColor="text1"/>
          <w:lang w:eastAsia="ru-RU"/>
        </w:rPr>
        <w:t>”</w:t>
      </w:r>
      <w:r w:rsidR="00813832">
        <w:rPr>
          <w:rFonts w:ascii="Times New Roman" w:hAnsi="Times New Roman" w:cs="Times New Roman"/>
          <w:color w:val="000000" w:themeColor="text1"/>
          <w:lang w:val="uk-UA" w:eastAsia="ru-RU"/>
        </w:rPr>
        <w:t xml:space="preserve"> та із досвідом лікування),</w:t>
      </w:r>
      <w:r w:rsidRPr="00BD42F1">
        <w:rPr>
          <w:rFonts w:ascii="Times New Roman" w:hAnsi="Times New Roman" w:cs="Times New Roman"/>
          <w:color w:val="000000" w:themeColor="text1"/>
          <w:lang w:eastAsia="ru-RU"/>
        </w:rPr>
        <w:t xml:space="preserve"> які бажають лікуватися і не мають протипоказань до лікування, повинні </w:t>
      </w:r>
      <w:r w:rsidR="004C642F">
        <w:rPr>
          <w:rFonts w:ascii="Times New Roman" w:hAnsi="Times New Roman" w:cs="Times New Roman"/>
          <w:color w:val="000000" w:themeColor="text1"/>
          <w:lang w:val="uk-UA" w:eastAsia="ru-RU"/>
        </w:rPr>
        <w:t>отримувати</w:t>
      </w:r>
      <w:r w:rsidRPr="00BD42F1">
        <w:rPr>
          <w:rFonts w:ascii="Times New Roman" w:hAnsi="Times New Roman" w:cs="Times New Roman"/>
          <w:color w:val="000000" w:themeColor="text1"/>
          <w:lang w:eastAsia="ru-RU"/>
        </w:rPr>
        <w:t xml:space="preserve"> лікування.</w:t>
      </w:r>
    </w:p>
    <w:p w14:paraId="1F491ACA" w14:textId="63C6E668" w:rsidR="00BD42F1" w:rsidRPr="00BD42F1" w:rsidRDefault="00BD42F1" w:rsidP="0048387D">
      <w:pPr>
        <w:spacing w:beforeAutospacing="1" w:afterAutospacing="1"/>
        <w:jc w:val="both"/>
        <w:textAlignment w:val="baseline"/>
        <w:rPr>
          <w:rFonts w:ascii="Times New Roman" w:hAnsi="Times New Roman" w:cs="Times New Roman"/>
          <w:color w:val="000000" w:themeColor="text1"/>
          <w:lang w:eastAsia="ru-RU"/>
        </w:rPr>
      </w:pPr>
      <w:r w:rsidRPr="00BD42F1">
        <w:rPr>
          <w:rFonts w:ascii="Times New Roman" w:hAnsi="Times New Roman" w:cs="Times New Roman"/>
          <w:color w:val="000000" w:themeColor="text1"/>
          <w:lang w:eastAsia="ru-RU"/>
        </w:rPr>
        <w:t xml:space="preserve">Можливість </w:t>
      </w:r>
      <w:r w:rsidR="003857C5">
        <w:rPr>
          <w:rFonts w:ascii="Times New Roman" w:hAnsi="Times New Roman" w:cs="Times New Roman"/>
          <w:color w:val="000000" w:themeColor="text1"/>
          <w:lang w:val="uk-UA" w:eastAsia="ru-RU"/>
        </w:rPr>
        <w:t xml:space="preserve">термінового </w:t>
      </w:r>
      <w:r w:rsidRPr="00BD42F1">
        <w:rPr>
          <w:rFonts w:ascii="Times New Roman" w:hAnsi="Times New Roman" w:cs="Times New Roman"/>
          <w:color w:val="000000" w:themeColor="text1"/>
          <w:lang w:eastAsia="ru-RU"/>
        </w:rPr>
        <w:t xml:space="preserve">лікування слід розглядати у пацієнтів з вираженим фіброзом (за шкалою METAVIR F2 або F3) або цирозом печінки (за шкалою МЕТАVIR F4), у тому числі </w:t>
      </w:r>
      <w:r w:rsidR="00813832">
        <w:rPr>
          <w:rFonts w:ascii="Times New Roman" w:hAnsi="Times New Roman" w:cs="Times New Roman"/>
          <w:color w:val="000000" w:themeColor="text1"/>
          <w:lang w:val="uk-UA" w:eastAsia="ru-RU"/>
        </w:rPr>
        <w:t xml:space="preserve">з </w:t>
      </w:r>
      <w:r w:rsidRPr="00BD42F1">
        <w:rPr>
          <w:rFonts w:ascii="Times New Roman" w:hAnsi="Times New Roman" w:cs="Times New Roman"/>
          <w:color w:val="000000" w:themeColor="text1"/>
          <w:lang w:eastAsia="ru-RU"/>
        </w:rPr>
        <w:t xml:space="preserve">декомпенсованим цирозом печінки; пацієнтів з клінічно </w:t>
      </w:r>
      <w:r w:rsidR="00813832">
        <w:rPr>
          <w:rFonts w:ascii="Times New Roman" w:hAnsi="Times New Roman" w:cs="Times New Roman"/>
          <w:color w:val="000000" w:themeColor="text1"/>
          <w:lang w:val="uk-UA" w:eastAsia="ru-RU"/>
        </w:rPr>
        <w:t>вираженими</w:t>
      </w:r>
      <w:r w:rsidRPr="00BD42F1">
        <w:rPr>
          <w:rFonts w:ascii="Times New Roman" w:hAnsi="Times New Roman" w:cs="Times New Roman"/>
          <w:color w:val="000000" w:themeColor="text1"/>
          <w:lang w:eastAsia="ru-RU"/>
        </w:rPr>
        <w:t xml:space="preserve"> позапечінковими проявами (наприклад, у випадку безсимптомного васкуліту, пов’язаного з </w:t>
      </w:r>
      <w:r w:rsidR="0048387D">
        <w:rPr>
          <w:rFonts w:ascii="Times New Roman" w:hAnsi="Times New Roman" w:cs="Times New Roman"/>
          <w:color w:val="000000" w:themeColor="text1"/>
          <w:lang w:eastAsia="ru-RU"/>
        </w:rPr>
        <w:t>ВГС</w:t>
      </w:r>
      <w:r w:rsidR="00FC6D8A">
        <w:rPr>
          <w:rFonts w:ascii="Times New Roman" w:hAnsi="Times New Roman" w:cs="Times New Roman"/>
          <w:color w:val="000000" w:themeColor="text1"/>
          <w:lang w:eastAsia="ru-RU"/>
        </w:rPr>
        <w:t>–</w:t>
      </w:r>
      <w:r w:rsidRPr="00BD42F1">
        <w:rPr>
          <w:rFonts w:ascii="Times New Roman" w:hAnsi="Times New Roman" w:cs="Times New Roman"/>
          <w:color w:val="000000" w:themeColor="text1"/>
          <w:lang w:eastAsia="ru-RU"/>
        </w:rPr>
        <w:t xml:space="preserve">кріоглобулінемією, нефропатії, пов’язаної з </w:t>
      </w:r>
      <w:r w:rsidR="0048387D">
        <w:rPr>
          <w:rFonts w:ascii="Times New Roman" w:hAnsi="Times New Roman" w:cs="Times New Roman"/>
          <w:color w:val="000000" w:themeColor="text1"/>
          <w:lang w:eastAsia="ru-RU"/>
        </w:rPr>
        <w:t>ВГС</w:t>
      </w:r>
      <w:r w:rsidR="00FC6D8A">
        <w:rPr>
          <w:rFonts w:ascii="Times New Roman" w:hAnsi="Times New Roman" w:cs="Times New Roman"/>
          <w:color w:val="000000" w:themeColor="text1"/>
          <w:lang w:eastAsia="ru-RU"/>
        </w:rPr>
        <w:t>–</w:t>
      </w:r>
      <w:r w:rsidRPr="00BD42F1">
        <w:rPr>
          <w:rFonts w:ascii="Times New Roman" w:hAnsi="Times New Roman" w:cs="Times New Roman"/>
          <w:color w:val="000000" w:themeColor="text1"/>
          <w:lang w:eastAsia="ru-RU"/>
        </w:rPr>
        <w:t>імунними комплексами і неходжкінсько</w:t>
      </w:r>
      <w:r w:rsidR="00813832">
        <w:rPr>
          <w:rFonts w:ascii="Times New Roman" w:hAnsi="Times New Roman" w:cs="Times New Roman"/>
          <w:color w:val="000000" w:themeColor="text1"/>
          <w:lang w:val="uk-UA" w:eastAsia="ru-RU"/>
        </w:rPr>
        <w:t>ю</w:t>
      </w:r>
      <w:r w:rsidRPr="00BD42F1">
        <w:rPr>
          <w:rFonts w:ascii="Times New Roman" w:hAnsi="Times New Roman" w:cs="Times New Roman"/>
          <w:color w:val="000000" w:themeColor="text1"/>
          <w:lang w:eastAsia="ru-RU"/>
        </w:rPr>
        <w:t xml:space="preserve"> В</w:t>
      </w:r>
      <w:r w:rsidR="00FC6D8A">
        <w:rPr>
          <w:rFonts w:ascii="Times New Roman" w:hAnsi="Times New Roman" w:cs="Times New Roman"/>
          <w:color w:val="000000" w:themeColor="text1"/>
          <w:lang w:eastAsia="ru-RU"/>
        </w:rPr>
        <w:t>–</w:t>
      </w:r>
      <w:r w:rsidRPr="00BD42F1">
        <w:rPr>
          <w:rFonts w:ascii="Times New Roman" w:hAnsi="Times New Roman" w:cs="Times New Roman"/>
          <w:color w:val="000000" w:themeColor="text1"/>
          <w:lang w:eastAsia="ru-RU"/>
        </w:rPr>
        <w:t>клітинно</w:t>
      </w:r>
      <w:r w:rsidR="00813832">
        <w:rPr>
          <w:rFonts w:ascii="Times New Roman" w:hAnsi="Times New Roman" w:cs="Times New Roman"/>
          <w:color w:val="000000" w:themeColor="text1"/>
          <w:lang w:val="uk-UA" w:eastAsia="ru-RU"/>
        </w:rPr>
        <w:t>ю</w:t>
      </w:r>
      <w:r w:rsidRPr="00BD42F1">
        <w:rPr>
          <w:rFonts w:ascii="Times New Roman" w:hAnsi="Times New Roman" w:cs="Times New Roman"/>
          <w:color w:val="000000" w:themeColor="text1"/>
          <w:lang w:eastAsia="ru-RU"/>
        </w:rPr>
        <w:t xml:space="preserve"> лімфом</w:t>
      </w:r>
      <w:r w:rsidR="00813832">
        <w:rPr>
          <w:rFonts w:ascii="Times New Roman" w:hAnsi="Times New Roman" w:cs="Times New Roman"/>
          <w:color w:val="000000" w:themeColor="text1"/>
          <w:lang w:val="uk-UA" w:eastAsia="ru-RU"/>
        </w:rPr>
        <w:t>ою</w:t>
      </w:r>
      <w:r w:rsidRPr="00BD42F1">
        <w:rPr>
          <w:rFonts w:ascii="Times New Roman" w:hAnsi="Times New Roman" w:cs="Times New Roman"/>
          <w:color w:val="000000" w:themeColor="text1"/>
          <w:lang w:eastAsia="ru-RU"/>
        </w:rPr>
        <w:t xml:space="preserve">); пацієнтів з рецидивом </w:t>
      </w:r>
      <w:r w:rsidR="0048387D">
        <w:rPr>
          <w:rFonts w:ascii="Times New Roman" w:hAnsi="Times New Roman" w:cs="Times New Roman"/>
          <w:color w:val="000000" w:themeColor="text1"/>
          <w:lang w:eastAsia="ru-RU"/>
        </w:rPr>
        <w:t>ВГС</w:t>
      </w:r>
      <w:r w:rsidRPr="00BD42F1">
        <w:rPr>
          <w:rFonts w:ascii="Times New Roman" w:hAnsi="Times New Roman" w:cs="Times New Roman"/>
          <w:color w:val="000000" w:themeColor="text1"/>
          <w:lang w:eastAsia="ru-RU"/>
        </w:rPr>
        <w:t xml:space="preserve"> після трансплантації печінки; пацієнтів з ризиком швидкого розвитку захворювання печінки внаслідок супутніх захворювань (реципієнти </w:t>
      </w:r>
      <w:r w:rsidR="00C07829">
        <w:rPr>
          <w:rFonts w:ascii="Times New Roman" w:hAnsi="Times New Roman" w:cs="Times New Roman"/>
          <w:color w:val="000000" w:themeColor="text1"/>
          <w:lang w:val="uk-UA" w:eastAsia="ru-RU"/>
        </w:rPr>
        <w:t xml:space="preserve">трансплантатів </w:t>
      </w:r>
      <w:r w:rsidRPr="00BD42F1">
        <w:rPr>
          <w:rFonts w:ascii="Times New Roman" w:hAnsi="Times New Roman" w:cs="Times New Roman"/>
          <w:color w:val="000000" w:themeColor="text1"/>
          <w:lang w:eastAsia="ru-RU"/>
        </w:rPr>
        <w:t xml:space="preserve">інших органів, окрім печінки, або стовбурових клітин, </w:t>
      </w:r>
      <w:r w:rsidR="0048387D">
        <w:rPr>
          <w:rFonts w:ascii="Times New Roman" w:hAnsi="Times New Roman" w:cs="Times New Roman"/>
          <w:color w:val="000000" w:themeColor="text1"/>
          <w:lang w:eastAsia="ru-RU"/>
        </w:rPr>
        <w:t>ВГВ</w:t>
      </w:r>
      <w:r w:rsidR="00FC6D8A">
        <w:rPr>
          <w:rFonts w:ascii="Times New Roman" w:hAnsi="Times New Roman" w:cs="Times New Roman"/>
          <w:color w:val="000000" w:themeColor="text1"/>
          <w:lang w:eastAsia="ru-RU"/>
        </w:rPr>
        <w:t>–</w:t>
      </w:r>
      <w:r w:rsidRPr="00BD42F1">
        <w:rPr>
          <w:rFonts w:ascii="Times New Roman" w:hAnsi="Times New Roman" w:cs="Times New Roman"/>
          <w:color w:val="000000" w:themeColor="text1"/>
          <w:lang w:eastAsia="ru-RU"/>
        </w:rPr>
        <w:t xml:space="preserve">коінфекція, цукровий діабет); а також осіб, які належать до групи ризику щодо передачі </w:t>
      </w:r>
      <w:r w:rsidR="0048387D">
        <w:rPr>
          <w:rFonts w:ascii="Times New Roman" w:hAnsi="Times New Roman" w:cs="Times New Roman"/>
          <w:color w:val="000000" w:themeColor="text1"/>
          <w:lang w:eastAsia="ru-RU"/>
        </w:rPr>
        <w:t>ВГС</w:t>
      </w:r>
      <w:r w:rsidRPr="00BD42F1">
        <w:rPr>
          <w:rFonts w:ascii="Times New Roman" w:hAnsi="Times New Roman" w:cs="Times New Roman"/>
          <w:color w:val="000000" w:themeColor="text1"/>
          <w:lang w:eastAsia="ru-RU"/>
        </w:rPr>
        <w:t xml:space="preserve"> (</w:t>
      </w:r>
      <w:r w:rsidR="00813832">
        <w:rPr>
          <w:rFonts w:ascii="Times New Roman" w:hAnsi="Times New Roman" w:cs="Times New Roman"/>
          <w:color w:val="000000" w:themeColor="text1"/>
          <w:lang w:val="uk-UA" w:eastAsia="ru-RU"/>
        </w:rPr>
        <w:t>люди, які вживають наркотики ін’єкційним шляхом (далі – ЛВІН)</w:t>
      </w:r>
      <w:r w:rsidRPr="00BD42F1">
        <w:rPr>
          <w:rFonts w:ascii="Times New Roman" w:hAnsi="Times New Roman" w:cs="Times New Roman"/>
          <w:color w:val="000000" w:themeColor="text1"/>
          <w:lang w:eastAsia="ru-RU"/>
        </w:rPr>
        <w:t xml:space="preserve">, чоловіки, які мають статеві </w:t>
      </w:r>
      <w:r w:rsidR="007431D7">
        <w:rPr>
          <w:rFonts w:ascii="Times New Roman" w:hAnsi="Times New Roman" w:cs="Times New Roman"/>
          <w:color w:val="000000" w:themeColor="text1"/>
          <w:lang w:val="uk-UA" w:eastAsia="ru-RU"/>
        </w:rPr>
        <w:t>стосунки</w:t>
      </w:r>
      <w:r w:rsidRPr="00BD42F1">
        <w:rPr>
          <w:rFonts w:ascii="Times New Roman" w:hAnsi="Times New Roman" w:cs="Times New Roman"/>
          <w:color w:val="000000" w:themeColor="text1"/>
          <w:lang w:eastAsia="ru-RU"/>
        </w:rPr>
        <w:t xml:space="preserve"> з чоловіками</w:t>
      </w:r>
      <w:r w:rsidR="00813832">
        <w:rPr>
          <w:rFonts w:ascii="Times New Roman" w:hAnsi="Times New Roman" w:cs="Times New Roman"/>
          <w:color w:val="000000" w:themeColor="text1"/>
          <w:lang w:val="uk-UA" w:eastAsia="ru-RU"/>
        </w:rPr>
        <w:t xml:space="preserve"> (далі – ЧСЧ)</w:t>
      </w:r>
      <w:r w:rsidRPr="00BD42F1">
        <w:rPr>
          <w:rFonts w:ascii="Times New Roman" w:hAnsi="Times New Roman" w:cs="Times New Roman"/>
          <w:color w:val="000000" w:themeColor="text1"/>
          <w:lang w:eastAsia="ru-RU"/>
        </w:rPr>
        <w:t xml:space="preserve">, жінки </w:t>
      </w:r>
      <w:r w:rsidR="003857C5">
        <w:rPr>
          <w:rFonts w:ascii="Times New Roman" w:hAnsi="Times New Roman" w:cs="Times New Roman"/>
          <w:color w:val="000000" w:themeColor="text1"/>
          <w:lang w:val="uk-UA" w:eastAsia="ru-RU"/>
        </w:rPr>
        <w:t>репродуктивного</w:t>
      </w:r>
      <w:r w:rsidRPr="00BD42F1">
        <w:rPr>
          <w:rFonts w:ascii="Times New Roman" w:hAnsi="Times New Roman" w:cs="Times New Roman"/>
          <w:color w:val="000000" w:themeColor="text1"/>
          <w:lang w:eastAsia="ru-RU"/>
        </w:rPr>
        <w:t xml:space="preserve"> віку, які планують вагітність, пацієнти, </w:t>
      </w:r>
      <w:r w:rsidR="003857C5">
        <w:rPr>
          <w:rFonts w:ascii="Times New Roman" w:hAnsi="Times New Roman" w:cs="Times New Roman"/>
          <w:color w:val="000000" w:themeColor="text1"/>
          <w:lang w:val="uk-UA" w:eastAsia="ru-RU"/>
        </w:rPr>
        <w:t>які</w:t>
      </w:r>
      <w:r w:rsidRPr="00BD42F1">
        <w:rPr>
          <w:rFonts w:ascii="Times New Roman" w:hAnsi="Times New Roman" w:cs="Times New Roman"/>
          <w:color w:val="000000" w:themeColor="text1"/>
          <w:lang w:eastAsia="ru-RU"/>
        </w:rPr>
        <w:t xml:space="preserve"> перебувають на гемодіалізі, ув’язнені особи. </w:t>
      </w:r>
      <w:r w:rsidR="00813832">
        <w:rPr>
          <w:rFonts w:ascii="Times New Roman" w:hAnsi="Times New Roman" w:cs="Times New Roman"/>
          <w:color w:val="000000" w:themeColor="text1"/>
          <w:lang w:val="uk-UA" w:eastAsia="ru-RU"/>
        </w:rPr>
        <w:t>ЛВІН</w:t>
      </w:r>
      <w:r w:rsidRPr="00BD42F1">
        <w:rPr>
          <w:rFonts w:ascii="Times New Roman" w:hAnsi="Times New Roman" w:cs="Times New Roman"/>
          <w:color w:val="000000" w:themeColor="text1"/>
          <w:lang w:eastAsia="ru-RU"/>
        </w:rPr>
        <w:t xml:space="preserve"> та </w:t>
      </w:r>
      <w:r w:rsidR="00813832">
        <w:rPr>
          <w:rFonts w:ascii="Times New Roman" w:hAnsi="Times New Roman" w:cs="Times New Roman"/>
          <w:color w:val="000000" w:themeColor="text1"/>
          <w:lang w:val="uk-UA" w:eastAsia="ru-RU"/>
        </w:rPr>
        <w:t>ЧСЧ</w:t>
      </w:r>
      <w:r w:rsidRPr="00BD42F1">
        <w:rPr>
          <w:rFonts w:ascii="Times New Roman" w:hAnsi="Times New Roman" w:cs="Times New Roman"/>
          <w:color w:val="000000" w:themeColor="text1"/>
          <w:lang w:eastAsia="ru-RU"/>
        </w:rPr>
        <w:t xml:space="preserve"> повинні знати про ризик реінфікування і застосовувати профілактичні заходи після успішного лікування.</w:t>
      </w:r>
    </w:p>
    <w:p w14:paraId="4E477102" w14:textId="527BF09E" w:rsidR="00BD42F1" w:rsidRPr="00BD42F1" w:rsidRDefault="00BD42F1" w:rsidP="0048387D">
      <w:pPr>
        <w:spacing w:beforeAutospacing="1" w:afterAutospacing="1"/>
        <w:jc w:val="both"/>
        <w:textAlignment w:val="baseline"/>
        <w:rPr>
          <w:rFonts w:ascii="Times New Roman" w:hAnsi="Times New Roman" w:cs="Times New Roman"/>
          <w:color w:val="000000" w:themeColor="text1"/>
          <w:lang w:eastAsia="ru-RU"/>
        </w:rPr>
      </w:pPr>
      <w:r w:rsidRPr="00BD42F1">
        <w:rPr>
          <w:rFonts w:ascii="Times New Roman" w:hAnsi="Times New Roman" w:cs="Times New Roman"/>
          <w:color w:val="000000" w:themeColor="text1"/>
          <w:lang w:eastAsia="ru-RU"/>
        </w:rPr>
        <w:t>Пацієнтам з декомпенсованим цирозом, які мають показання до трансплантації печінки з оцінкою за шкалою MELD ≥18–20, перш за все необхідна трансплантація печінки з наступним противірусним лікуванням, тому що ймовірність значного покращення функції печінки та виключення пацієнта з переліку пацієнтів, яким необхідна т</w:t>
      </w:r>
      <w:r w:rsidR="00FF03A4">
        <w:rPr>
          <w:rFonts w:ascii="Times New Roman" w:hAnsi="Times New Roman" w:cs="Times New Roman"/>
          <w:color w:val="000000" w:themeColor="text1"/>
          <w:lang w:eastAsia="ru-RU"/>
        </w:rPr>
        <w:t xml:space="preserve">рансплантація, є низькою </w:t>
      </w:r>
      <w:r w:rsidR="00FF03A4" w:rsidRPr="00FF03A4">
        <w:rPr>
          <w:rFonts w:ascii="Times New Roman" w:hAnsi="Times New Roman" w:cs="Times New Roman"/>
          <w:b/>
          <w:color w:val="000000" w:themeColor="text1"/>
          <w:vertAlign w:val="superscript"/>
          <w:lang w:eastAsia="ru-RU"/>
        </w:rPr>
        <w:t>55–60</w:t>
      </w:r>
      <w:r w:rsidRPr="00FF03A4">
        <w:rPr>
          <w:rFonts w:ascii="Times New Roman" w:hAnsi="Times New Roman" w:cs="Times New Roman"/>
          <w:b/>
          <w:color w:val="000000" w:themeColor="text1"/>
          <w:vertAlign w:val="superscript"/>
          <w:lang w:eastAsia="ru-RU"/>
        </w:rPr>
        <w:t>.</w:t>
      </w:r>
      <w:r w:rsidRPr="00BD42F1">
        <w:rPr>
          <w:rFonts w:ascii="Times New Roman" w:hAnsi="Times New Roman" w:cs="Times New Roman"/>
          <w:color w:val="000000" w:themeColor="text1"/>
          <w:lang w:eastAsia="ru-RU"/>
        </w:rPr>
        <w:t xml:space="preserve"> Однак пацієнтам з оцінкою за шкалою MELD ≥18–20 та </w:t>
      </w:r>
      <w:r w:rsidR="00C07829">
        <w:rPr>
          <w:rFonts w:ascii="Times New Roman" w:hAnsi="Times New Roman" w:cs="Times New Roman"/>
          <w:color w:val="000000" w:themeColor="text1"/>
          <w:lang w:val="uk-UA" w:eastAsia="ru-RU"/>
        </w:rPr>
        <w:t>й</w:t>
      </w:r>
      <w:r w:rsidRPr="00BD42F1">
        <w:rPr>
          <w:rFonts w:ascii="Times New Roman" w:hAnsi="Times New Roman" w:cs="Times New Roman"/>
          <w:color w:val="000000" w:themeColor="text1"/>
          <w:lang w:eastAsia="ru-RU"/>
        </w:rPr>
        <w:t>мовірною тривалістю очікування трансплантації більш</w:t>
      </w:r>
      <w:r w:rsidR="00C07829">
        <w:rPr>
          <w:rFonts w:ascii="Times New Roman" w:hAnsi="Times New Roman" w:cs="Times New Roman"/>
          <w:color w:val="000000" w:themeColor="text1"/>
          <w:lang w:val="uk-UA" w:eastAsia="ru-RU"/>
        </w:rPr>
        <w:t xml:space="preserve">е </w:t>
      </w:r>
      <w:r w:rsidRPr="00BD42F1">
        <w:rPr>
          <w:rFonts w:ascii="Times New Roman" w:hAnsi="Times New Roman" w:cs="Times New Roman"/>
          <w:color w:val="000000" w:themeColor="text1"/>
          <w:lang w:eastAsia="ru-RU"/>
        </w:rPr>
        <w:t xml:space="preserve">ніж 6 міс може бути призначено лікування </w:t>
      </w:r>
      <w:r w:rsidR="0048387D">
        <w:rPr>
          <w:rFonts w:ascii="Times New Roman" w:hAnsi="Times New Roman" w:cs="Times New Roman"/>
          <w:color w:val="000000" w:themeColor="text1"/>
          <w:lang w:eastAsia="ru-RU"/>
        </w:rPr>
        <w:t>ВГС</w:t>
      </w:r>
      <w:r w:rsidRPr="00BD42F1">
        <w:rPr>
          <w:rFonts w:ascii="Times New Roman" w:hAnsi="Times New Roman" w:cs="Times New Roman"/>
          <w:color w:val="000000" w:themeColor="text1"/>
          <w:lang w:eastAsia="ru-RU"/>
        </w:rPr>
        <w:t>.</w:t>
      </w:r>
    </w:p>
    <w:p w14:paraId="708CCC41" w14:textId="2E4BB872" w:rsidR="0048387D" w:rsidRDefault="00BD42F1" w:rsidP="0048387D">
      <w:pPr>
        <w:spacing w:beforeAutospacing="1" w:afterAutospacing="1"/>
        <w:jc w:val="both"/>
        <w:textAlignment w:val="baseline"/>
        <w:rPr>
          <w:rFonts w:ascii="Times New Roman" w:hAnsi="Times New Roman" w:cs="Times New Roman"/>
          <w:color w:val="000000" w:themeColor="text1"/>
          <w:lang w:eastAsia="ru-RU"/>
        </w:rPr>
      </w:pPr>
      <w:r w:rsidRPr="00BD42F1">
        <w:rPr>
          <w:rFonts w:ascii="Times New Roman" w:hAnsi="Times New Roman" w:cs="Times New Roman"/>
          <w:color w:val="000000" w:themeColor="text1"/>
          <w:lang w:eastAsia="ru-RU"/>
        </w:rPr>
        <w:t>Лікування, як правило, не рекомендовано</w:t>
      </w:r>
      <w:r w:rsidR="00C07829">
        <w:rPr>
          <w:rFonts w:ascii="Times New Roman" w:hAnsi="Times New Roman" w:cs="Times New Roman"/>
          <w:color w:val="000000" w:themeColor="text1"/>
          <w:lang w:val="uk-UA" w:eastAsia="ru-RU"/>
        </w:rPr>
        <w:t xml:space="preserve"> </w:t>
      </w:r>
      <w:r w:rsidRPr="00BD42F1">
        <w:rPr>
          <w:rFonts w:ascii="Times New Roman" w:hAnsi="Times New Roman" w:cs="Times New Roman"/>
          <w:color w:val="000000" w:themeColor="text1"/>
          <w:lang w:eastAsia="ru-RU"/>
        </w:rPr>
        <w:t>пацієнт</w:t>
      </w:r>
      <w:r w:rsidR="00C07829">
        <w:rPr>
          <w:rFonts w:ascii="Times New Roman" w:hAnsi="Times New Roman" w:cs="Times New Roman"/>
          <w:color w:val="000000" w:themeColor="text1"/>
          <w:lang w:val="uk-UA" w:eastAsia="ru-RU"/>
        </w:rPr>
        <w:t>ам</w:t>
      </w:r>
      <w:r w:rsidRPr="00BD42F1">
        <w:rPr>
          <w:rFonts w:ascii="Times New Roman" w:hAnsi="Times New Roman" w:cs="Times New Roman"/>
          <w:color w:val="000000" w:themeColor="text1"/>
          <w:lang w:eastAsia="ru-RU"/>
        </w:rPr>
        <w:t xml:space="preserve"> з обмеженою очікуваною тривалістю життя у зв’язку </w:t>
      </w:r>
      <w:r w:rsidR="00C07829">
        <w:rPr>
          <w:rFonts w:ascii="Times New Roman" w:hAnsi="Times New Roman" w:cs="Times New Roman"/>
          <w:color w:val="000000" w:themeColor="text1"/>
          <w:lang w:val="uk-UA" w:eastAsia="ru-RU"/>
        </w:rPr>
        <w:t>і</w:t>
      </w:r>
      <w:r w:rsidRPr="00BD42F1">
        <w:rPr>
          <w:rFonts w:ascii="Times New Roman" w:hAnsi="Times New Roman" w:cs="Times New Roman"/>
          <w:color w:val="000000" w:themeColor="text1"/>
          <w:lang w:eastAsia="ru-RU"/>
        </w:rPr>
        <w:t>з супутніми захворюваннями, які не пов’язані з печінкою.</w:t>
      </w:r>
    </w:p>
    <w:p w14:paraId="26A5D74C" w14:textId="6484DFBC" w:rsidR="00BD42F1" w:rsidRPr="0048387D" w:rsidRDefault="00BD42F1" w:rsidP="0048387D">
      <w:pPr>
        <w:shd w:val="clear" w:color="auto" w:fill="BDD6EE" w:themeFill="accent1" w:themeFillTint="66"/>
        <w:spacing w:beforeAutospacing="1" w:afterAutospacing="1"/>
        <w:jc w:val="both"/>
        <w:textAlignment w:val="baseline"/>
        <w:rPr>
          <w:rFonts w:ascii="Times New Roman" w:hAnsi="Times New Roman" w:cs="Times New Roman"/>
          <w:b/>
          <w:color w:val="000000" w:themeColor="text1"/>
          <w:lang w:eastAsia="ru-RU"/>
        </w:rPr>
      </w:pPr>
      <w:r w:rsidRPr="0048387D">
        <w:rPr>
          <w:rFonts w:ascii="Times New Roman" w:hAnsi="Times New Roman" w:cs="Times New Roman"/>
          <w:b/>
          <w:color w:val="000000" w:themeColor="text1"/>
          <w:lang w:eastAsia="ru-RU"/>
        </w:rPr>
        <w:t>Рекомендації</w:t>
      </w:r>
    </w:p>
    <w:p w14:paraId="38E8D39F" w14:textId="5B068091" w:rsidR="00BD42F1" w:rsidRPr="0048387D" w:rsidRDefault="00C07829" w:rsidP="00015E3B">
      <w:pPr>
        <w:pStyle w:val="a9"/>
        <w:numPr>
          <w:ilvl w:val="0"/>
          <w:numId w:val="2"/>
        </w:numPr>
        <w:shd w:val="clear" w:color="auto" w:fill="BDD6EE" w:themeFill="accent1" w:themeFillTint="66"/>
        <w:spacing w:beforeAutospacing="1" w:afterAutospacing="1"/>
        <w:jc w:val="both"/>
        <w:textAlignment w:val="baseline"/>
        <w:rPr>
          <w:rFonts w:ascii="Times New Roman" w:hAnsi="Times New Roman" w:cs="Times New Roman"/>
          <w:color w:val="000000" w:themeColor="text1"/>
          <w:lang w:eastAsia="ru-RU"/>
        </w:rPr>
      </w:pPr>
      <w:r>
        <w:rPr>
          <w:rFonts w:ascii="Times New Roman" w:hAnsi="Times New Roman" w:cs="Times New Roman"/>
          <w:color w:val="000000" w:themeColor="text1"/>
          <w:lang w:val="uk-UA" w:eastAsia="ru-RU"/>
        </w:rPr>
        <w:t>Лікування рекомендується для у</w:t>
      </w:r>
      <w:r w:rsidR="00BD42F1" w:rsidRPr="0048387D">
        <w:rPr>
          <w:rFonts w:ascii="Times New Roman" w:hAnsi="Times New Roman" w:cs="Times New Roman"/>
          <w:color w:val="000000" w:themeColor="text1"/>
          <w:lang w:eastAsia="ru-RU"/>
        </w:rPr>
        <w:t>сі</w:t>
      </w:r>
      <w:r>
        <w:rPr>
          <w:rFonts w:ascii="Times New Roman" w:hAnsi="Times New Roman" w:cs="Times New Roman"/>
          <w:color w:val="000000" w:themeColor="text1"/>
          <w:lang w:val="uk-UA" w:eastAsia="ru-RU"/>
        </w:rPr>
        <w:t>х</w:t>
      </w:r>
      <w:r w:rsidR="00BD42F1" w:rsidRPr="0048387D">
        <w:rPr>
          <w:rFonts w:ascii="Times New Roman" w:hAnsi="Times New Roman" w:cs="Times New Roman"/>
          <w:color w:val="000000" w:themeColor="text1"/>
          <w:lang w:eastAsia="ru-RU"/>
        </w:rPr>
        <w:t xml:space="preserve"> пацієнт</w:t>
      </w:r>
      <w:r>
        <w:rPr>
          <w:rFonts w:ascii="Times New Roman" w:hAnsi="Times New Roman" w:cs="Times New Roman"/>
          <w:color w:val="000000" w:themeColor="text1"/>
          <w:lang w:val="uk-UA" w:eastAsia="ru-RU"/>
        </w:rPr>
        <w:t>ів</w:t>
      </w:r>
      <w:r w:rsidR="00BD42F1" w:rsidRPr="0048387D">
        <w:rPr>
          <w:rFonts w:ascii="Times New Roman" w:hAnsi="Times New Roman" w:cs="Times New Roman"/>
          <w:color w:val="000000" w:themeColor="text1"/>
          <w:lang w:eastAsia="ru-RU"/>
        </w:rPr>
        <w:t xml:space="preserve"> з </w:t>
      </w:r>
      <w:r w:rsidR="0048387D">
        <w:rPr>
          <w:rFonts w:ascii="Times New Roman" w:hAnsi="Times New Roman" w:cs="Times New Roman"/>
          <w:color w:val="000000" w:themeColor="text1"/>
          <w:lang w:eastAsia="ru-RU"/>
        </w:rPr>
        <w:t>ВГС</w:t>
      </w:r>
      <w:r w:rsidR="00BD42F1" w:rsidRPr="0048387D">
        <w:rPr>
          <w:rFonts w:ascii="Times New Roman" w:hAnsi="Times New Roman" w:cs="Times New Roman"/>
          <w:color w:val="000000" w:themeColor="text1"/>
          <w:lang w:eastAsia="ru-RU"/>
        </w:rPr>
        <w:t xml:space="preserve">, </w:t>
      </w:r>
      <w:r>
        <w:rPr>
          <w:rFonts w:ascii="Times New Roman" w:hAnsi="Times New Roman" w:cs="Times New Roman"/>
          <w:color w:val="000000" w:themeColor="text1"/>
          <w:lang w:val="uk-UA" w:eastAsia="ru-RU"/>
        </w:rPr>
        <w:t>у</w:t>
      </w:r>
      <w:r w:rsidR="00BD42F1" w:rsidRPr="0048387D">
        <w:rPr>
          <w:rFonts w:ascii="Times New Roman" w:hAnsi="Times New Roman" w:cs="Times New Roman"/>
          <w:color w:val="000000" w:themeColor="text1"/>
          <w:lang w:eastAsia="ru-RU"/>
        </w:rPr>
        <w:t xml:space="preserve"> тому числі </w:t>
      </w:r>
      <w:r>
        <w:rPr>
          <w:rFonts w:ascii="Times New Roman" w:hAnsi="Times New Roman" w:cs="Times New Roman"/>
          <w:color w:val="000000" w:themeColor="text1"/>
          <w:lang w:val="uk-UA" w:eastAsia="ru-RU"/>
        </w:rPr>
        <w:t>пацієнтів, які</w:t>
      </w:r>
      <w:r w:rsidR="00BD42F1" w:rsidRPr="0048387D">
        <w:rPr>
          <w:rFonts w:ascii="Times New Roman" w:hAnsi="Times New Roman" w:cs="Times New Roman"/>
          <w:color w:val="000000" w:themeColor="text1"/>
          <w:lang w:eastAsia="ru-RU"/>
        </w:rPr>
        <w:t xml:space="preserve"> раніше не отримували лікування, а також </w:t>
      </w:r>
      <w:r>
        <w:rPr>
          <w:rFonts w:ascii="Times New Roman" w:hAnsi="Times New Roman" w:cs="Times New Roman"/>
          <w:color w:val="000000" w:themeColor="text1"/>
          <w:lang w:val="uk-UA" w:eastAsia="ru-RU"/>
        </w:rPr>
        <w:t>тих</w:t>
      </w:r>
      <w:r w:rsidR="00BD42F1" w:rsidRPr="0048387D">
        <w:rPr>
          <w:rFonts w:ascii="Times New Roman" w:hAnsi="Times New Roman" w:cs="Times New Roman"/>
          <w:color w:val="000000" w:themeColor="text1"/>
          <w:lang w:eastAsia="ru-RU"/>
        </w:rPr>
        <w:t xml:space="preserve">, </w:t>
      </w:r>
      <w:r>
        <w:rPr>
          <w:rFonts w:ascii="Times New Roman" w:hAnsi="Times New Roman" w:cs="Times New Roman"/>
          <w:color w:val="000000" w:themeColor="text1"/>
          <w:lang w:val="uk-UA" w:eastAsia="ru-RU"/>
        </w:rPr>
        <w:t xml:space="preserve">хто не </w:t>
      </w:r>
      <w:r w:rsidR="00BD42F1" w:rsidRPr="0048387D">
        <w:rPr>
          <w:rFonts w:ascii="Times New Roman" w:hAnsi="Times New Roman" w:cs="Times New Roman"/>
          <w:color w:val="000000" w:themeColor="text1"/>
          <w:lang w:eastAsia="ru-RU"/>
        </w:rPr>
        <w:t>досягну</w:t>
      </w:r>
      <w:r>
        <w:rPr>
          <w:rFonts w:ascii="Times New Roman" w:hAnsi="Times New Roman" w:cs="Times New Roman"/>
          <w:color w:val="000000" w:themeColor="text1"/>
          <w:lang w:val="uk-UA" w:eastAsia="ru-RU"/>
        </w:rPr>
        <w:t>в</w:t>
      </w:r>
      <w:r w:rsidR="00BD42F1" w:rsidRPr="0048387D">
        <w:rPr>
          <w:rFonts w:ascii="Times New Roman" w:hAnsi="Times New Roman" w:cs="Times New Roman"/>
          <w:color w:val="000000" w:themeColor="text1"/>
          <w:lang w:eastAsia="ru-RU"/>
        </w:rPr>
        <w:t xml:space="preserve"> СВВ після попереднього лікування </w:t>
      </w:r>
      <w:r w:rsidR="00BD42F1" w:rsidRPr="00FF03A4">
        <w:rPr>
          <w:rFonts w:ascii="Times New Roman" w:hAnsi="Times New Roman" w:cs="Times New Roman"/>
          <w:b/>
          <w:color w:val="000000" w:themeColor="text1"/>
          <w:lang w:eastAsia="ru-RU"/>
        </w:rPr>
        <w:t>(A1).</w:t>
      </w:r>
    </w:p>
    <w:p w14:paraId="570B3B33" w14:textId="558D2238" w:rsidR="00BD42F1" w:rsidRPr="0048387D" w:rsidRDefault="00BD42F1" w:rsidP="00015E3B">
      <w:pPr>
        <w:pStyle w:val="a9"/>
        <w:numPr>
          <w:ilvl w:val="0"/>
          <w:numId w:val="2"/>
        </w:numPr>
        <w:shd w:val="clear" w:color="auto" w:fill="BDD6EE" w:themeFill="accent1" w:themeFillTint="66"/>
        <w:spacing w:beforeAutospacing="1" w:afterAutospacing="1"/>
        <w:jc w:val="both"/>
        <w:textAlignment w:val="baseline"/>
        <w:rPr>
          <w:rFonts w:ascii="Times New Roman" w:hAnsi="Times New Roman" w:cs="Times New Roman"/>
          <w:color w:val="000000" w:themeColor="text1"/>
          <w:lang w:eastAsia="ru-RU"/>
        </w:rPr>
      </w:pPr>
      <w:r w:rsidRPr="0048387D">
        <w:rPr>
          <w:rFonts w:ascii="Times New Roman" w:hAnsi="Times New Roman" w:cs="Times New Roman"/>
          <w:color w:val="000000" w:themeColor="text1"/>
          <w:lang w:eastAsia="ru-RU"/>
        </w:rPr>
        <w:t>Можливість</w:t>
      </w:r>
      <w:r w:rsidR="003857C5">
        <w:rPr>
          <w:rFonts w:ascii="Times New Roman" w:hAnsi="Times New Roman" w:cs="Times New Roman"/>
          <w:color w:val="000000" w:themeColor="text1"/>
          <w:lang w:val="uk-UA" w:eastAsia="ru-RU"/>
        </w:rPr>
        <w:t xml:space="preserve"> термінового</w:t>
      </w:r>
      <w:r w:rsidRPr="0048387D">
        <w:rPr>
          <w:rFonts w:ascii="Times New Roman" w:hAnsi="Times New Roman" w:cs="Times New Roman"/>
          <w:color w:val="000000" w:themeColor="text1"/>
          <w:lang w:eastAsia="ru-RU"/>
        </w:rPr>
        <w:t xml:space="preserve"> лікування слід розглядати у пацієнтів з вираженим фіброзом (за шкалою METAVIR F2 або F3) або цирозом печінки (за шкалою МЕТАVIR F4), у тому числі декомпенсованим цирозом печінки; пацієнтів з клінічно </w:t>
      </w:r>
      <w:r w:rsidR="00C07829">
        <w:rPr>
          <w:rFonts w:ascii="Times New Roman" w:hAnsi="Times New Roman" w:cs="Times New Roman"/>
          <w:color w:val="000000" w:themeColor="text1"/>
          <w:lang w:val="uk-UA" w:eastAsia="ru-RU"/>
        </w:rPr>
        <w:t>вираженими</w:t>
      </w:r>
      <w:r w:rsidRPr="0048387D">
        <w:rPr>
          <w:rFonts w:ascii="Times New Roman" w:hAnsi="Times New Roman" w:cs="Times New Roman"/>
          <w:color w:val="000000" w:themeColor="text1"/>
          <w:lang w:eastAsia="ru-RU"/>
        </w:rPr>
        <w:t xml:space="preserve"> позапечінковими проявами (наприклад, у випадку безсимптомного васкуліту, пов’язаного з </w:t>
      </w:r>
      <w:r w:rsidR="0048387D">
        <w:rPr>
          <w:rFonts w:ascii="Times New Roman" w:hAnsi="Times New Roman" w:cs="Times New Roman"/>
          <w:color w:val="000000" w:themeColor="text1"/>
          <w:lang w:eastAsia="ru-RU"/>
        </w:rPr>
        <w:t>ВГС</w:t>
      </w:r>
      <w:r w:rsidR="00FC6D8A">
        <w:rPr>
          <w:rFonts w:ascii="Times New Roman" w:hAnsi="Times New Roman" w:cs="Times New Roman"/>
          <w:color w:val="000000" w:themeColor="text1"/>
          <w:lang w:eastAsia="ru-RU"/>
        </w:rPr>
        <w:t>–</w:t>
      </w:r>
      <w:r w:rsidRPr="0048387D">
        <w:rPr>
          <w:rFonts w:ascii="Times New Roman" w:hAnsi="Times New Roman" w:cs="Times New Roman"/>
          <w:color w:val="000000" w:themeColor="text1"/>
          <w:lang w:eastAsia="ru-RU"/>
        </w:rPr>
        <w:t xml:space="preserve">кріоглобулінемією, нефропатії, пов’язаної з </w:t>
      </w:r>
      <w:r w:rsidR="0048387D">
        <w:rPr>
          <w:rFonts w:ascii="Times New Roman" w:hAnsi="Times New Roman" w:cs="Times New Roman"/>
          <w:color w:val="000000" w:themeColor="text1"/>
          <w:lang w:eastAsia="ru-RU"/>
        </w:rPr>
        <w:t>ВГС</w:t>
      </w:r>
      <w:r w:rsidR="00FC6D8A">
        <w:rPr>
          <w:rFonts w:ascii="Times New Roman" w:hAnsi="Times New Roman" w:cs="Times New Roman"/>
          <w:color w:val="000000" w:themeColor="text1"/>
          <w:lang w:eastAsia="ru-RU"/>
        </w:rPr>
        <w:t>–</w:t>
      </w:r>
      <w:r w:rsidRPr="0048387D">
        <w:rPr>
          <w:rFonts w:ascii="Times New Roman" w:hAnsi="Times New Roman" w:cs="Times New Roman"/>
          <w:color w:val="000000" w:themeColor="text1"/>
          <w:lang w:eastAsia="ru-RU"/>
        </w:rPr>
        <w:t xml:space="preserve">імунними комплексами і </w:t>
      </w:r>
      <w:r w:rsidRPr="0048387D">
        <w:rPr>
          <w:rFonts w:ascii="Times New Roman" w:hAnsi="Times New Roman" w:cs="Times New Roman"/>
          <w:color w:val="000000" w:themeColor="text1"/>
          <w:lang w:eastAsia="ru-RU"/>
        </w:rPr>
        <w:lastRenderedPageBreak/>
        <w:t>неходжкінської В</w:t>
      </w:r>
      <w:r w:rsidR="00FC6D8A">
        <w:rPr>
          <w:rFonts w:ascii="Times New Roman" w:hAnsi="Times New Roman" w:cs="Times New Roman"/>
          <w:color w:val="000000" w:themeColor="text1"/>
          <w:lang w:eastAsia="ru-RU"/>
        </w:rPr>
        <w:t>–</w:t>
      </w:r>
      <w:r w:rsidRPr="0048387D">
        <w:rPr>
          <w:rFonts w:ascii="Times New Roman" w:hAnsi="Times New Roman" w:cs="Times New Roman"/>
          <w:color w:val="000000" w:themeColor="text1"/>
          <w:lang w:eastAsia="ru-RU"/>
        </w:rPr>
        <w:t xml:space="preserve">клітинної лімфоми); пацієнтів з рецидивом </w:t>
      </w:r>
      <w:r w:rsidR="0048387D">
        <w:rPr>
          <w:rFonts w:ascii="Times New Roman" w:hAnsi="Times New Roman" w:cs="Times New Roman"/>
          <w:color w:val="000000" w:themeColor="text1"/>
          <w:lang w:eastAsia="ru-RU"/>
        </w:rPr>
        <w:t>ВГС</w:t>
      </w:r>
      <w:r w:rsidRPr="0048387D">
        <w:rPr>
          <w:rFonts w:ascii="Times New Roman" w:hAnsi="Times New Roman" w:cs="Times New Roman"/>
          <w:color w:val="000000" w:themeColor="text1"/>
          <w:lang w:eastAsia="ru-RU"/>
        </w:rPr>
        <w:t xml:space="preserve"> після трансплантації печінки; пацієнтів з ризиком швидкого розвитку захворювання печінки внаслідок супутніх захворювань (реципієнти інших трансплантатів органів, окрім печінки, або стовбурових клітин, </w:t>
      </w:r>
      <w:r w:rsidR="0048387D">
        <w:rPr>
          <w:rFonts w:ascii="Times New Roman" w:hAnsi="Times New Roman" w:cs="Times New Roman"/>
          <w:color w:val="000000" w:themeColor="text1"/>
          <w:lang w:eastAsia="ru-RU"/>
        </w:rPr>
        <w:t>ВГВ</w:t>
      </w:r>
      <w:r w:rsidR="00FC6D8A">
        <w:rPr>
          <w:rFonts w:ascii="Times New Roman" w:hAnsi="Times New Roman" w:cs="Times New Roman"/>
          <w:color w:val="000000" w:themeColor="text1"/>
          <w:lang w:eastAsia="ru-RU"/>
        </w:rPr>
        <w:t>–</w:t>
      </w:r>
      <w:r w:rsidRPr="0048387D">
        <w:rPr>
          <w:rFonts w:ascii="Times New Roman" w:hAnsi="Times New Roman" w:cs="Times New Roman"/>
          <w:color w:val="000000" w:themeColor="text1"/>
          <w:lang w:eastAsia="ru-RU"/>
        </w:rPr>
        <w:t xml:space="preserve">коінфекція, цукровий діабет); а також осіб, які належать до групи ризику щодо передачі </w:t>
      </w:r>
      <w:r w:rsidR="0048387D">
        <w:rPr>
          <w:rFonts w:ascii="Times New Roman" w:hAnsi="Times New Roman" w:cs="Times New Roman"/>
          <w:color w:val="000000" w:themeColor="text1"/>
          <w:lang w:eastAsia="ru-RU"/>
        </w:rPr>
        <w:t>ВГС</w:t>
      </w:r>
      <w:r w:rsidRPr="0048387D">
        <w:rPr>
          <w:rFonts w:ascii="Times New Roman" w:hAnsi="Times New Roman" w:cs="Times New Roman"/>
          <w:color w:val="000000" w:themeColor="text1"/>
          <w:lang w:eastAsia="ru-RU"/>
        </w:rPr>
        <w:t xml:space="preserve"> (</w:t>
      </w:r>
      <w:r w:rsidR="00C07829">
        <w:rPr>
          <w:rFonts w:ascii="Times New Roman" w:hAnsi="Times New Roman" w:cs="Times New Roman"/>
          <w:color w:val="000000" w:themeColor="text1"/>
          <w:lang w:val="uk-UA" w:eastAsia="ru-RU"/>
        </w:rPr>
        <w:t>ЛВІН</w:t>
      </w:r>
      <w:r w:rsidRPr="0048387D">
        <w:rPr>
          <w:rFonts w:ascii="Times New Roman" w:hAnsi="Times New Roman" w:cs="Times New Roman"/>
          <w:color w:val="000000" w:themeColor="text1"/>
          <w:lang w:eastAsia="ru-RU"/>
        </w:rPr>
        <w:t xml:space="preserve">, </w:t>
      </w:r>
      <w:r w:rsidR="00C07829">
        <w:rPr>
          <w:rFonts w:ascii="Times New Roman" w:hAnsi="Times New Roman" w:cs="Times New Roman"/>
          <w:color w:val="000000" w:themeColor="text1"/>
          <w:lang w:val="uk-UA" w:eastAsia="ru-RU"/>
        </w:rPr>
        <w:t>ЧСЧ</w:t>
      </w:r>
      <w:r w:rsidRPr="0048387D">
        <w:rPr>
          <w:rFonts w:ascii="Times New Roman" w:hAnsi="Times New Roman" w:cs="Times New Roman"/>
          <w:color w:val="000000" w:themeColor="text1"/>
          <w:lang w:eastAsia="ru-RU"/>
        </w:rPr>
        <w:t xml:space="preserve">, жінки </w:t>
      </w:r>
      <w:r w:rsidR="003857C5">
        <w:rPr>
          <w:rFonts w:ascii="Times New Roman" w:hAnsi="Times New Roman" w:cs="Times New Roman"/>
          <w:color w:val="000000" w:themeColor="text1"/>
          <w:lang w:val="uk-UA" w:eastAsia="ru-RU"/>
        </w:rPr>
        <w:t>репродуктивного віку</w:t>
      </w:r>
      <w:r w:rsidRPr="0048387D">
        <w:rPr>
          <w:rFonts w:ascii="Times New Roman" w:hAnsi="Times New Roman" w:cs="Times New Roman"/>
          <w:color w:val="000000" w:themeColor="text1"/>
          <w:lang w:eastAsia="ru-RU"/>
        </w:rPr>
        <w:t xml:space="preserve">, які планують вагітність, пацієнти, що перебувають на гемодіалізі, ув’язнені особи) </w:t>
      </w:r>
      <w:r w:rsidRPr="00FF03A4">
        <w:rPr>
          <w:rFonts w:ascii="Times New Roman" w:hAnsi="Times New Roman" w:cs="Times New Roman"/>
          <w:b/>
          <w:color w:val="000000" w:themeColor="text1"/>
          <w:lang w:eastAsia="ru-RU"/>
        </w:rPr>
        <w:t>(A1).</w:t>
      </w:r>
    </w:p>
    <w:p w14:paraId="64EAF575" w14:textId="77777777" w:rsidR="00BD42F1" w:rsidRPr="0048387D" w:rsidRDefault="00BD42F1" w:rsidP="00015E3B">
      <w:pPr>
        <w:pStyle w:val="a9"/>
        <w:numPr>
          <w:ilvl w:val="0"/>
          <w:numId w:val="2"/>
        </w:numPr>
        <w:shd w:val="clear" w:color="auto" w:fill="BDD6EE" w:themeFill="accent1" w:themeFillTint="66"/>
        <w:spacing w:beforeAutospacing="1" w:afterAutospacing="1"/>
        <w:jc w:val="both"/>
        <w:textAlignment w:val="baseline"/>
        <w:rPr>
          <w:rFonts w:ascii="Times New Roman" w:hAnsi="Times New Roman" w:cs="Times New Roman"/>
          <w:color w:val="000000" w:themeColor="text1"/>
          <w:lang w:eastAsia="ru-RU"/>
        </w:rPr>
      </w:pPr>
      <w:r w:rsidRPr="0048387D">
        <w:rPr>
          <w:rFonts w:ascii="Times New Roman" w:hAnsi="Times New Roman" w:cs="Times New Roman"/>
          <w:color w:val="000000" w:themeColor="text1"/>
          <w:lang w:eastAsia="ru-RU"/>
        </w:rPr>
        <w:t xml:space="preserve">Пацієнтам з декомпенсованим цирозом, які мають показання до трансплантації печінки з оцінкою за шкалою MELD ≥18–20, перш за все необхідна трансплантація печінки з наступним противірусним лікуванням </w:t>
      </w:r>
      <w:r w:rsidRPr="00FF03A4">
        <w:rPr>
          <w:rFonts w:ascii="Times New Roman" w:hAnsi="Times New Roman" w:cs="Times New Roman"/>
          <w:b/>
          <w:color w:val="000000" w:themeColor="text1"/>
          <w:lang w:eastAsia="ru-RU"/>
        </w:rPr>
        <w:t>(B1).</w:t>
      </w:r>
    </w:p>
    <w:p w14:paraId="24D772DB" w14:textId="77777777" w:rsidR="00BD42F1" w:rsidRPr="0048387D" w:rsidRDefault="00BD42F1" w:rsidP="00015E3B">
      <w:pPr>
        <w:pStyle w:val="a9"/>
        <w:numPr>
          <w:ilvl w:val="0"/>
          <w:numId w:val="2"/>
        </w:numPr>
        <w:shd w:val="clear" w:color="auto" w:fill="BDD6EE" w:themeFill="accent1" w:themeFillTint="66"/>
        <w:spacing w:beforeAutospacing="1" w:afterAutospacing="1"/>
        <w:jc w:val="both"/>
        <w:textAlignment w:val="baseline"/>
        <w:rPr>
          <w:rFonts w:ascii="Times New Roman" w:hAnsi="Times New Roman" w:cs="Times New Roman"/>
          <w:color w:val="000000" w:themeColor="text1"/>
          <w:lang w:eastAsia="ru-RU"/>
        </w:rPr>
      </w:pPr>
      <w:r w:rsidRPr="0048387D">
        <w:rPr>
          <w:rFonts w:ascii="Times New Roman" w:hAnsi="Times New Roman" w:cs="Times New Roman"/>
          <w:color w:val="000000" w:themeColor="text1"/>
          <w:lang w:eastAsia="ru-RU"/>
        </w:rPr>
        <w:t xml:space="preserve">Якщо час очікування трансплантації печінки перевищує 6 міс, пацієнтам з декомпенсованим (за шкалою Чайлда–П’ю B або С) цирозом печінки та оцінкою за шкалою MELD ≥18–20 можна призначати лікування до трансплантації, хоча клінічна ефективність лікування у цих пацієнтів не була точно встановлена </w:t>
      </w:r>
      <w:r w:rsidRPr="003743BE">
        <w:rPr>
          <w:rFonts w:ascii="Times New Roman" w:hAnsi="Times New Roman" w:cs="Times New Roman"/>
          <w:b/>
          <w:color w:val="000000" w:themeColor="text1"/>
          <w:lang w:eastAsia="ru-RU"/>
        </w:rPr>
        <w:t>(В2).</w:t>
      </w:r>
    </w:p>
    <w:p w14:paraId="785DFDDE" w14:textId="7C29FA96" w:rsidR="00BD42F1" w:rsidRPr="0048387D" w:rsidRDefault="00BD42F1" w:rsidP="00015E3B">
      <w:pPr>
        <w:pStyle w:val="a9"/>
        <w:numPr>
          <w:ilvl w:val="0"/>
          <w:numId w:val="2"/>
        </w:numPr>
        <w:shd w:val="clear" w:color="auto" w:fill="BDD6EE" w:themeFill="accent1" w:themeFillTint="66"/>
        <w:spacing w:beforeAutospacing="1" w:afterAutospacing="1"/>
        <w:jc w:val="both"/>
        <w:textAlignment w:val="baseline"/>
        <w:rPr>
          <w:rFonts w:ascii="Times New Roman" w:hAnsi="Times New Roman" w:cs="Times New Roman"/>
          <w:color w:val="000000" w:themeColor="text1"/>
          <w:lang w:eastAsia="ru-RU"/>
        </w:rPr>
      </w:pPr>
      <w:r w:rsidRPr="0048387D">
        <w:rPr>
          <w:rFonts w:ascii="Times New Roman" w:hAnsi="Times New Roman" w:cs="Times New Roman"/>
          <w:color w:val="000000" w:themeColor="text1"/>
          <w:lang w:eastAsia="ru-RU"/>
        </w:rPr>
        <w:t xml:space="preserve">Лікування, як правило, не рекомендовано </w:t>
      </w:r>
      <w:r w:rsidR="003857C5">
        <w:rPr>
          <w:rFonts w:ascii="Times New Roman" w:hAnsi="Times New Roman" w:cs="Times New Roman"/>
          <w:color w:val="000000" w:themeColor="text1"/>
          <w:lang w:val="uk-UA" w:eastAsia="ru-RU"/>
        </w:rPr>
        <w:t>для</w:t>
      </w:r>
      <w:r w:rsidRPr="0048387D">
        <w:rPr>
          <w:rFonts w:ascii="Times New Roman" w:hAnsi="Times New Roman" w:cs="Times New Roman"/>
          <w:color w:val="000000" w:themeColor="text1"/>
          <w:lang w:eastAsia="ru-RU"/>
        </w:rPr>
        <w:t xml:space="preserve"> пацієнтів з обмеженою очікуваною тривалістю життя у зв’язку з супутніми захворюваннями, які не пов’язані </w:t>
      </w:r>
      <w:r w:rsidR="003857C5">
        <w:rPr>
          <w:rFonts w:ascii="Times New Roman" w:hAnsi="Times New Roman" w:cs="Times New Roman"/>
          <w:color w:val="000000" w:themeColor="text1"/>
          <w:lang w:val="uk-UA" w:eastAsia="ru-RU"/>
        </w:rPr>
        <w:t>і</w:t>
      </w:r>
      <w:r w:rsidRPr="0048387D">
        <w:rPr>
          <w:rFonts w:ascii="Times New Roman" w:hAnsi="Times New Roman" w:cs="Times New Roman"/>
          <w:color w:val="000000" w:themeColor="text1"/>
          <w:lang w:eastAsia="ru-RU"/>
        </w:rPr>
        <w:t>з</w:t>
      </w:r>
      <w:r w:rsidR="003857C5">
        <w:rPr>
          <w:rFonts w:ascii="Times New Roman" w:hAnsi="Times New Roman" w:cs="Times New Roman"/>
          <w:color w:val="000000" w:themeColor="text1"/>
          <w:lang w:val="uk-UA" w:eastAsia="ru-RU"/>
        </w:rPr>
        <w:t xml:space="preserve"> захворюваннями</w:t>
      </w:r>
      <w:r w:rsidRPr="0048387D">
        <w:rPr>
          <w:rFonts w:ascii="Times New Roman" w:hAnsi="Times New Roman" w:cs="Times New Roman"/>
          <w:color w:val="000000" w:themeColor="text1"/>
          <w:lang w:eastAsia="ru-RU"/>
        </w:rPr>
        <w:t xml:space="preserve"> печінк</w:t>
      </w:r>
      <w:r w:rsidR="003857C5">
        <w:rPr>
          <w:rFonts w:ascii="Times New Roman" w:hAnsi="Times New Roman" w:cs="Times New Roman"/>
          <w:color w:val="000000" w:themeColor="text1"/>
          <w:lang w:val="uk-UA" w:eastAsia="ru-RU"/>
        </w:rPr>
        <w:t>и</w:t>
      </w:r>
      <w:r w:rsidRPr="0048387D">
        <w:rPr>
          <w:rFonts w:ascii="Times New Roman" w:hAnsi="Times New Roman" w:cs="Times New Roman"/>
          <w:color w:val="000000" w:themeColor="text1"/>
          <w:lang w:eastAsia="ru-RU"/>
        </w:rPr>
        <w:t xml:space="preserve"> </w:t>
      </w:r>
      <w:r w:rsidRPr="003743BE">
        <w:rPr>
          <w:rFonts w:ascii="Times New Roman" w:hAnsi="Times New Roman" w:cs="Times New Roman"/>
          <w:b/>
          <w:color w:val="000000" w:themeColor="text1"/>
          <w:lang w:eastAsia="ru-RU"/>
        </w:rPr>
        <w:t>(В2).</w:t>
      </w:r>
    </w:p>
    <w:p w14:paraId="4CB08AFB" w14:textId="4DB24721" w:rsidR="00FF03A4" w:rsidRPr="00FF03A4" w:rsidRDefault="00FF03A4" w:rsidP="00FF03A4">
      <w:pPr>
        <w:spacing w:beforeAutospacing="1" w:afterAutospacing="1"/>
        <w:jc w:val="both"/>
        <w:textAlignment w:val="baseline"/>
        <w:rPr>
          <w:rFonts w:ascii="Times New Roman" w:hAnsi="Times New Roman" w:cs="Times New Roman"/>
          <w:b/>
          <w:color w:val="2E74B5" w:themeColor="accent1" w:themeShade="BF"/>
          <w:lang w:val="uk-UA" w:eastAsia="ru-RU"/>
        </w:rPr>
      </w:pPr>
      <w:r w:rsidRPr="005D4573">
        <w:rPr>
          <w:rFonts w:ascii="Times New Roman" w:hAnsi="Times New Roman" w:cs="Times New Roman"/>
          <w:b/>
          <w:color w:val="2E74B5" w:themeColor="accent1" w:themeShade="BF"/>
          <w:lang w:val="uk-UA" w:eastAsia="ru-RU"/>
        </w:rPr>
        <w:t xml:space="preserve">Наявні </w:t>
      </w:r>
      <w:r w:rsidR="00E4611F">
        <w:rPr>
          <w:rFonts w:ascii="Times New Roman" w:hAnsi="Times New Roman" w:cs="Times New Roman"/>
          <w:b/>
          <w:color w:val="2E74B5" w:themeColor="accent1" w:themeShade="BF"/>
          <w:lang w:val="uk-UA" w:eastAsia="ru-RU"/>
        </w:rPr>
        <w:t>схеми лікування</w:t>
      </w:r>
      <w:r w:rsidRPr="005D4573">
        <w:rPr>
          <w:rFonts w:ascii="Times New Roman" w:hAnsi="Times New Roman" w:cs="Times New Roman"/>
          <w:b/>
          <w:color w:val="2E74B5" w:themeColor="accent1" w:themeShade="BF"/>
          <w:lang w:val="uk-UA" w:eastAsia="ru-RU"/>
        </w:rPr>
        <w:t xml:space="preserve"> в Європі в 2018 році</w:t>
      </w:r>
    </w:p>
    <w:p w14:paraId="089E79C6" w14:textId="7AA79E5D" w:rsidR="0094435B" w:rsidRDefault="00FF03A4" w:rsidP="00FF03A4">
      <w:pPr>
        <w:spacing w:beforeAutospacing="1" w:afterAutospacing="1"/>
        <w:jc w:val="both"/>
        <w:textAlignment w:val="baseline"/>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Лікарські препарати для лікування ВГС</w:t>
      </w:r>
      <w:r w:rsidRPr="00FF03A4">
        <w:rPr>
          <w:rFonts w:ascii="Times New Roman" w:hAnsi="Times New Roman" w:cs="Times New Roman"/>
          <w:color w:val="000000" w:themeColor="text1"/>
          <w:lang w:val="uk-UA" w:eastAsia="ru-RU"/>
        </w:rPr>
        <w:t xml:space="preserve">, </w:t>
      </w:r>
      <w:r>
        <w:rPr>
          <w:rFonts w:ascii="Times New Roman" w:hAnsi="Times New Roman" w:cs="Times New Roman"/>
          <w:color w:val="000000" w:themeColor="text1"/>
          <w:lang w:val="uk-UA" w:eastAsia="ru-RU"/>
        </w:rPr>
        <w:t>які наразі є доступними</w:t>
      </w:r>
      <w:r w:rsidRPr="00FF03A4">
        <w:rPr>
          <w:rFonts w:ascii="Times New Roman" w:hAnsi="Times New Roman" w:cs="Times New Roman"/>
          <w:color w:val="000000" w:themeColor="text1"/>
          <w:lang w:val="uk-UA" w:eastAsia="ru-RU"/>
        </w:rPr>
        <w:t xml:space="preserve"> в Європі, перераховані </w:t>
      </w:r>
      <w:r w:rsidR="005C66E8">
        <w:rPr>
          <w:rFonts w:ascii="Times New Roman" w:hAnsi="Times New Roman" w:cs="Times New Roman"/>
          <w:color w:val="000000" w:themeColor="text1"/>
          <w:lang w:val="uk-UA" w:eastAsia="ru-RU"/>
        </w:rPr>
        <w:t>у</w:t>
      </w:r>
      <w:r w:rsidRPr="00FF03A4">
        <w:rPr>
          <w:rFonts w:ascii="Times New Roman" w:hAnsi="Times New Roman" w:cs="Times New Roman"/>
          <w:color w:val="000000" w:themeColor="text1"/>
          <w:lang w:val="uk-UA" w:eastAsia="ru-RU"/>
        </w:rPr>
        <w:t xml:space="preserve"> цьому параграфі та </w:t>
      </w:r>
      <w:r w:rsidR="005C66E8">
        <w:rPr>
          <w:rFonts w:ascii="Times New Roman" w:hAnsi="Times New Roman" w:cs="Times New Roman"/>
          <w:color w:val="000000" w:themeColor="text1"/>
          <w:lang w:val="uk-UA" w:eastAsia="ru-RU"/>
        </w:rPr>
        <w:t>у</w:t>
      </w:r>
      <w:r w:rsidRPr="00FF03A4">
        <w:rPr>
          <w:rFonts w:ascii="Times New Roman" w:hAnsi="Times New Roman" w:cs="Times New Roman"/>
          <w:color w:val="000000" w:themeColor="text1"/>
          <w:lang w:val="uk-UA" w:eastAsia="ru-RU"/>
        </w:rPr>
        <w:t xml:space="preserve"> Таблиці 3. </w:t>
      </w:r>
      <w:r w:rsidR="003857C5">
        <w:rPr>
          <w:rFonts w:ascii="Times New Roman" w:hAnsi="Times New Roman" w:cs="Times New Roman"/>
          <w:color w:val="000000" w:themeColor="text1"/>
          <w:lang w:val="uk-UA" w:eastAsia="ru-RU"/>
        </w:rPr>
        <w:t>У</w:t>
      </w:r>
      <w:r>
        <w:rPr>
          <w:rFonts w:ascii="Times New Roman" w:hAnsi="Times New Roman" w:cs="Times New Roman"/>
          <w:color w:val="000000" w:themeColor="text1"/>
          <w:lang w:val="uk-UA" w:eastAsia="ru-RU"/>
        </w:rPr>
        <w:t xml:space="preserve"> них представлені </w:t>
      </w:r>
      <w:r w:rsidRPr="00FF03A4">
        <w:rPr>
          <w:rFonts w:ascii="Times New Roman" w:hAnsi="Times New Roman" w:cs="Times New Roman"/>
          <w:color w:val="000000" w:themeColor="text1"/>
          <w:lang w:val="uk-UA" w:eastAsia="ru-RU"/>
        </w:rPr>
        <w:t>відомі фармакок</w:t>
      </w:r>
      <w:r>
        <w:rPr>
          <w:rFonts w:ascii="Times New Roman" w:hAnsi="Times New Roman" w:cs="Times New Roman"/>
          <w:color w:val="000000" w:themeColor="text1"/>
          <w:lang w:val="uk-UA" w:eastAsia="ru-RU"/>
        </w:rPr>
        <w:t>інетичні профілі</w:t>
      </w:r>
      <w:r w:rsidR="005C66E8">
        <w:rPr>
          <w:rFonts w:ascii="Times New Roman" w:hAnsi="Times New Roman" w:cs="Times New Roman"/>
          <w:color w:val="000000" w:themeColor="text1"/>
          <w:lang w:val="uk-UA" w:eastAsia="ru-RU"/>
        </w:rPr>
        <w:t xml:space="preserve"> лікарських </w:t>
      </w:r>
      <w:r w:rsidR="005F2833">
        <w:rPr>
          <w:rFonts w:ascii="Times New Roman" w:hAnsi="Times New Roman" w:cs="Times New Roman"/>
          <w:color w:val="000000" w:themeColor="text1"/>
          <w:lang w:val="uk-UA" w:eastAsia="ru-RU"/>
        </w:rPr>
        <w:t>засобів</w:t>
      </w:r>
      <w:r>
        <w:rPr>
          <w:rFonts w:ascii="Times New Roman" w:hAnsi="Times New Roman" w:cs="Times New Roman"/>
          <w:color w:val="000000" w:themeColor="text1"/>
          <w:lang w:val="uk-UA" w:eastAsia="ru-RU"/>
        </w:rPr>
        <w:t xml:space="preserve"> та їх взаємодія з іншими </w:t>
      </w:r>
      <w:r w:rsidR="005C66E8">
        <w:rPr>
          <w:rFonts w:ascii="Times New Roman" w:hAnsi="Times New Roman" w:cs="Times New Roman"/>
          <w:color w:val="000000" w:themeColor="text1"/>
          <w:lang w:val="uk-UA" w:eastAsia="ru-RU"/>
        </w:rPr>
        <w:t>медикаментами</w:t>
      </w:r>
      <w:r>
        <w:rPr>
          <w:rFonts w:ascii="Times New Roman" w:hAnsi="Times New Roman" w:cs="Times New Roman"/>
          <w:color w:val="000000" w:themeColor="text1"/>
          <w:lang w:val="uk-UA" w:eastAsia="ru-RU"/>
        </w:rPr>
        <w:t xml:space="preserve">. </w:t>
      </w:r>
      <w:r w:rsidR="005C66E8">
        <w:rPr>
          <w:rFonts w:ascii="Times New Roman" w:hAnsi="Times New Roman" w:cs="Times New Roman"/>
          <w:color w:val="000000" w:themeColor="text1"/>
          <w:lang w:val="uk-UA" w:eastAsia="ru-RU"/>
        </w:rPr>
        <w:t>Д</w:t>
      </w:r>
      <w:r>
        <w:rPr>
          <w:rFonts w:ascii="Times New Roman" w:hAnsi="Times New Roman" w:cs="Times New Roman"/>
          <w:color w:val="000000" w:themeColor="text1"/>
          <w:lang w:val="uk-UA" w:eastAsia="ru-RU"/>
        </w:rPr>
        <w:t>етальн</w:t>
      </w:r>
      <w:r w:rsidR="005C66E8">
        <w:rPr>
          <w:rFonts w:ascii="Times New Roman" w:hAnsi="Times New Roman" w:cs="Times New Roman"/>
          <w:color w:val="000000" w:themeColor="text1"/>
          <w:lang w:val="uk-UA" w:eastAsia="ru-RU"/>
        </w:rPr>
        <w:t>іш</w:t>
      </w:r>
      <w:r>
        <w:rPr>
          <w:rFonts w:ascii="Times New Roman" w:hAnsi="Times New Roman" w:cs="Times New Roman"/>
          <w:color w:val="000000" w:themeColor="text1"/>
          <w:lang w:val="uk-UA" w:eastAsia="ru-RU"/>
        </w:rPr>
        <w:t>ий опис взаємодій лікарських препаратів наведений у</w:t>
      </w:r>
      <w:r w:rsidRPr="00FF03A4">
        <w:rPr>
          <w:rFonts w:ascii="Times New Roman" w:hAnsi="Times New Roman" w:cs="Times New Roman"/>
          <w:color w:val="000000" w:themeColor="text1"/>
          <w:lang w:val="uk-UA" w:eastAsia="ru-RU"/>
        </w:rPr>
        <w:t xml:space="preserve"> Таблиці 4A</w:t>
      </w:r>
      <w:r w:rsidR="00FC6D8A">
        <w:rPr>
          <w:rFonts w:ascii="Times New Roman" w:hAnsi="Times New Roman" w:cs="Times New Roman"/>
          <w:color w:val="000000" w:themeColor="text1"/>
          <w:lang w:val="uk-UA" w:eastAsia="ru-RU"/>
        </w:rPr>
        <w:t>–</w:t>
      </w:r>
      <w:r w:rsidRPr="00FF03A4">
        <w:rPr>
          <w:rFonts w:ascii="Times New Roman" w:hAnsi="Times New Roman" w:cs="Times New Roman"/>
          <w:color w:val="000000" w:themeColor="text1"/>
          <w:lang w:val="uk-UA" w:eastAsia="ru-RU"/>
        </w:rPr>
        <w:t xml:space="preserve">G та </w:t>
      </w:r>
      <w:r>
        <w:rPr>
          <w:rFonts w:ascii="Times New Roman" w:hAnsi="Times New Roman" w:cs="Times New Roman"/>
          <w:color w:val="000000" w:themeColor="text1"/>
          <w:lang w:val="uk-UA" w:eastAsia="ru-RU"/>
        </w:rPr>
        <w:t xml:space="preserve">на сайті </w:t>
      </w:r>
      <w:hyperlink r:id="rId8" w:history="1">
        <w:r w:rsidR="005D4573" w:rsidRPr="00862919">
          <w:rPr>
            <w:rStyle w:val="ae"/>
            <w:rFonts w:ascii="Times New Roman" w:hAnsi="Times New Roman" w:cs="Times New Roman"/>
            <w:lang w:val="uk-UA" w:eastAsia="ru-RU"/>
          </w:rPr>
          <w:t>www.hep</w:t>
        </w:r>
        <w:r w:rsidR="00FC6D8A">
          <w:rPr>
            <w:rStyle w:val="ae"/>
            <w:rFonts w:ascii="Times New Roman" w:hAnsi="Times New Roman" w:cs="Times New Roman"/>
            <w:lang w:val="uk-UA" w:eastAsia="ru-RU"/>
          </w:rPr>
          <w:t>–</w:t>
        </w:r>
        <w:r w:rsidR="005D4573" w:rsidRPr="00862919">
          <w:rPr>
            <w:rStyle w:val="ae"/>
            <w:rFonts w:ascii="Times New Roman" w:hAnsi="Times New Roman" w:cs="Times New Roman"/>
            <w:lang w:val="uk-UA" w:eastAsia="ru-RU"/>
          </w:rPr>
          <w:t>druginteractions.org</w:t>
        </w:r>
      </w:hyperlink>
      <w:r w:rsidR="005D4573">
        <w:rPr>
          <w:rFonts w:ascii="Times New Roman" w:hAnsi="Times New Roman" w:cs="Times New Roman"/>
          <w:color w:val="000000" w:themeColor="text1"/>
          <w:lang w:val="uk-UA" w:eastAsia="ru-RU"/>
        </w:rPr>
        <w:t>, де</w:t>
      </w:r>
      <w:r>
        <w:rPr>
          <w:rFonts w:ascii="Times New Roman" w:hAnsi="Times New Roman" w:cs="Times New Roman"/>
          <w:color w:val="000000" w:themeColor="text1"/>
          <w:lang w:val="uk-UA" w:eastAsia="ru-RU"/>
        </w:rPr>
        <w:t xml:space="preserve"> представлений загальний опис</w:t>
      </w:r>
      <w:r w:rsidRPr="00FF03A4">
        <w:rPr>
          <w:rFonts w:ascii="Times New Roman" w:hAnsi="Times New Roman" w:cs="Times New Roman"/>
          <w:color w:val="000000" w:themeColor="text1"/>
          <w:lang w:val="uk-UA" w:eastAsia="ru-RU"/>
        </w:rPr>
        <w:t xml:space="preserve"> понад 700 препаратів. Для отримання додатко</w:t>
      </w:r>
      <w:r w:rsidR="005D4573">
        <w:rPr>
          <w:rFonts w:ascii="Times New Roman" w:hAnsi="Times New Roman" w:cs="Times New Roman"/>
          <w:color w:val="000000" w:themeColor="text1"/>
          <w:lang w:val="uk-UA" w:eastAsia="ru-RU"/>
        </w:rPr>
        <w:t>вої інформації про окрем</w:t>
      </w:r>
      <w:r w:rsidR="005C66E8">
        <w:rPr>
          <w:rFonts w:ascii="Times New Roman" w:hAnsi="Times New Roman" w:cs="Times New Roman"/>
          <w:color w:val="000000" w:themeColor="text1"/>
          <w:lang w:val="uk-UA" w:eastAsia="ru-RU"/>
        </w:rPr>
        <w:t>і</w:t>
      </w:r>
      <w:r w:rsidRPr="00FF03A4">
        <w:rPr>
          <w:rFonts w:ascii="Times New Roman" w:hAnsi="Times New Roman" w:cs="Times New Roman"/>
          <w:color w:val="000000" w:themeColor="text1"/>
          <w:lang w:val="uk-UA" w:eastAsia="ru-RU"/>
        </w:rPr>
        <w:t xml:space="preserve"> </w:t>
      </w:r>
      <w:r w:rsidR="00B06C91">
        <w:rPr>
          <w:rFonts w:ascii="Times New Roman" w:hAnsi="Times New Roman" w:cs="Times New Roman"/>
          <w:color w:val="000000" w:themeColor="text1"/>
          <w:lang w:val="uk-UA" w:eastAsia="ru-RU"/>
        </w:rPr>
        <w:t>ПППД</w:t>
      </w:r>
      <w:r w:rsidRPr="00FF03A4">
        <w:rPr>
          <w:rFonts w:ascii="Times New Roman" w:hAnsi="Times New Roman" w:cs="Times New Roman"/>
          <w:color w:val="000000" w:themeColor="text1"/>
          <w:lang w:val="uk-UA" w:eastAsia="ru-RU"/>
        </w:rPr>
        <w:t xml:space="preserve"> зверніться до </w:t>
      </w:r>
      <w:r w:rsidRPr="005D4573">
        <w:rPr>
          <w:rFonts w:ascii="Times New Roman" w:hAnsi="Times New Roman" w:cs="Times New Roman"/>
          <w:color w:val="000000" w:themeColor="text1"/>
          <w:lang w:val="uk-UA" w:eastAsia="ru-RU"/>
        </w:rPr>
        <w:t>Резюме характеристик продукту.</w:t>
      </w:r>
    </w:p>
    <w:p w14:paraId="758E8906" w14:textId="77777777" w:rsidR="00E9283D" w:rsidRPr="00CE017A" w:rsidRDefault="00E9283D" w:rsidP="00E9283D">
      <w:pPr>
        <w:spacing w:beforeAutospacing="1" w:afterAutospacing="1"/>
        <w:jc w:val="both"/>
        <w:textAlignment w:val="baseline"/>
        <w:rPr>
          <w:rFonts w:ascii="Times New Roman" w:hAnsi="Times New Roman" w:cs="Times New Roman"/>
          <w:b/>
          <w:color w:val="2E74B5" w:themeColor="accent1" w:themeShade="BF"/>
          <w:lang w:val="uk-UA" w:eastAsia="ru-RU"/>
        </w:rPr>
      </w:pPr>
      <w:r w:rsidRPr="00CE017A">
        <w:rPr>
          <w:rFonts w:ascii="Times New Roman" w:hAnsi="Times New Roman" w:cs="Times New Roman"/>
          <w:b/>
          <w:color w:val="2E74B5" w:themeColor="accent1" w:themeShade="BF"/>
          <w:lang w:val="uk-UA" w:eastAsia="ru-RU"/>
        </w:rPr>
        <w:t>Софосбувір</w:t>
      </w:r>
    </w:p>
    <w:p w14:paraId="782BA070" w14:textId="7B16DBD9" w:rsidR="00E9283D" w:rsidRPr="005D4573" w:rsidRDefault="00E9283D" w:rsidP="00E9283D">
      <w:pPr>
        <w:spacing w:beforeAutospacing="1" w:afterAutospacing="1"/>
        <w:jc w:val="both"/>
        <w:textAlignment w:val="baseline"/>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Софосбувір слід вживати</w:t>
      </w:r>
      <w:r w:rsidRPr="005D4573">
        <w:rPr>
          <w:rFonts w:ascii="Times New Roman" w:hAnsi="Times New Roman" w:cs="Times New Roman"/>
          <w:color w:val="000000" w:themeColor="text1"/>
          <w:lang w:val="uk-UA" w:eastAsia="ru-RU"/>
        </w:rPr>
        <w:t xml:space="preserve"> у дозі 400 мг (одна таблетка) один раз на день </w:t>
      </w:r>
      <w:r w:rsidR="005C66E8">
        <w:rPr>
          <w:rFonts w:ascii="Times New Roman" w:hAnsi="Times New Roman" w:cs="Times New Roman"/>
          <w:color w:val="000000" w:themeColor="text1"/>
          <w:lang w:val="uk-UA" w:eastAsia="ru-RU"/>
        </w:rPr>
        <w:t>незалежно від прийому</w:t>
      </w:r>
      <w:r w:rsidRPr="005D4573">
        <w:rPr>
          <w:rFonts w:ascii="Times New Roman" w:hAnsi="Times New Roman" w:cs="Times New Roman"/>
          <w:color w:val="000000" w:themeColor="text1"/>
          <w:lang w:val="uk-UA" w:eastAsia="ru-RU"/>
        </w:rPr>
        <w:t xml:space="preserve"> їжі. Прибли</w:t>
      </w:r>
      <w:r>
        <w:rPr>
          <w:rFonts w:ascii="Times New Roman" w:hAnsi="Times New Roman" w:cs="Times New Roman"/>
          <w:color w:val="000000" w:themeColor="text1"/>
          <w:lang w:val="uk-UA" w:eastAsia="ru-RU"/>
        </w:rPr>
        <w:t>зно 80% софосбувіру виводиться нирками</w:t>
      </w:r>
      <w:r w:rsidRPr="005D4573">
        <w:rPr>
          <w:rFonts w:ascii="Times New Roman" w:hAnsi="Times New Roman" w:cs="Times New Roman"/>
          <w:color w:val="000000" w:themeColor="text1"/>
          <w:lang w:val="uk-UA" w:eastAsia="ru-RU"/>
        </w:rPr>
        <w:t xml:space="preserve">, тоді як 15% виділяється з фекаліями. Більша частина дози софосбувіру, виявлена в сечі, </w:t>
      </w:r>
      <w:r w:rsidR="00FC6D8A">
        <w:rPr>
          <w:rFonts w:ascii="Times New Roman" w:hAnsi="Times New Roman" w:cs="Times New Roman"/>
          <w:color w:val="000000" w:themeColor="text1"/>
          <w:lang w:val="uk-UA" w:eastAsia="ru-RU"/>
        </w:rPr>
        <w:t>–</w:t>
      </w:r>
      <w:r w:rsidRPr="005D4573">
        <w:rPr>
          <w:rFonts w:ascii="Times New Roman" w:hAnsi="Times New Roman" w:cs="Times New Roman"/>
          <w:color w:val="000000" w:themeColor="text1"/>
          <w:lang w:val="uk-UA" w:eastAsia="ru-RU"/>
        </w:rPr>
        <w:t xml:space="preserve"> це </w:t>
      </w:r>
      <w:r w:rsidRPr="0084769D">
        <w:rPr>
          <w:rFonts w:ascii="Times New Roman" w:hAnsi="Times New Roman" w:cs="Times New Roman"/>
          <w:color w:val="000000" w:themeColor="text1"/>
          <w:lang w:val="uk-UA" w:eastAsia="ru-RU"/>
        </w:rPr>
        <w:t xml:space="preserve">метаболізм нуклеотидів </w:t>
      </w:r>
      <w:r w:rsidRPr="005D4573">
        <w:rPr>
          <w:rFonts w:ascii="Times New Roman" w:hAnsi="Times New Roman" w:cs="Times New Roman"/>
          <w:color w:val="000000" w:themeColor="text1"/>
          <w:lang w:val="uk-UA" w:eastAsia="ru-RU"/>
        </w:rPr>
        <w:t>GS</w:t>
      </w:r>
      <w:r w:rsidR="00FC6D8A">
        <w:rPr>
          <w:rFonts w:ascii="Times New Roman" w:hAnsi="Times New Roman" w:cs="Times New Roman"/>
          <w:color w:val="000000" w:themeColor="text1"/>
          <w:lang w:val="uk-UA" w:eastAsia="ru-RU"/>
        </w:rPr>
        <w:t>–</w:t>
      </w:r>
      <w:r w:rsidRPr="005D4573">
        <w:rPr>
          <w:rFonts w:ascii="Times New Roman" w:hAnsi="Times New Roman" w:cs="Times New Roman"/>
          <w:color w:val="000000" w:themeColor="text1"/>
          <w:lang w:val="uk-UA" w:eastAsia="ru-RU"/>
        </w:rPr>
        <w:t>331007</w:t>
      </w:r>
      <w:r>
        <w:rPr>
          <w:rFonts w:ascii="Times New Roman" w:hAnsi="Times New Roman" w:cs="Times New Roman"/>
          <w:color w:val="000000" w:themeColor="text1"/>
          <w:lang w:val="uk-UA" w:eastAsia="ru-RU"/>
        </w:rPr>
        <w:t xml:space="preserve"> внаслідок дефосфорилювання </w:t>
      </w:r>
      <w:r w:rsidRPr="005D4573">
        <w:rPr>
          <w:rFonts w:ascii="Times New Roman" w:hAnsi="Times New Roman" w:cs="Times New Roman"/>
          <w:color w:val="000000" w:themeColor="text1"/>
          <w:lang w:val="uk-UA" w:eastAsia="ru-RU"/>
        </w:rPr>
        <w:t>(78%), тоді як 3,5% відновлюється</w:t>
      </w:r>
      <w:r>
        <w:rPr>
          <w:rFonts w:ascii="Times New Roman" w:hAnsi="Times New Roman" w:cs="Times New Roman"/>
          <w:color w:val="000000" w:themeColor="text1"/>
          <w:lang w:val="uk-UA" w:eastAsia="ru-RU"/>
        </w:rPr>
        <w:t xml:space="preserve"> як софосбувір. Нирковий</w:t>
      </w:r>
      <w:r w:rsidRPr="005D4573">
        <w:rPr>
          <w:rFonts w:ascii="Times New Roman" w:hAnsi="Times New Roman" w:cs="Times New Roman"/>
          <w:color w:val="000000" w:themeColor="text1"/>
          <w:lang w:val="uk-UA" w:eastAsia="ru-RU"/>
        </w:rPr>
        <w:t xml:space="preserve"> </w:t>
      </w:r>
      <w:r>
        <w:rPr>
          <w:rFonts w:ascii="Times New Roman" w:hAnsi="Times New Roman" w:cs="Times New Roman"/>
          <w:color w:val="000000" w:themeColor="text1"/>
          <w:lang w:val="uk-UA" w:eastAsia="ru-RU"/>
        </w:rPr>
        <w:t xml:space="preserve">кліренс </w:t>
      </w:r>
      <w:r w:rsidR="00FC6D8A">
        <w:rPr>
          <w:rFonts w:ascii="Times New Roman" w:hAnsi="Times New Roman" w:cs="Times New Roman"/>
          <w:color w:val="000000" w:themeColor="text1"/>
          <w:lang w:val="uk-UA" w:eastAsia="ru-RU"/>
        </w:rPr>
        <w:t>–</w:t>
      </w:r>
      <w:r>
        <w:rPr>
          <w:rFonts w:ascii="Times New Roman" w:hAnsi="Times New Roman" w:cs="Times New Roman"/>
          <w:color w:val="000000" w:themeColor="text1"/>
          <w:lang w:val="uk-UA" w:eastAsia="ru-RU"/>
        </w:rPr>
        <w:t xml:space="preserve"> основний шлях виведення</w:t>
      </w:r>
      <w:r w:rsidRPr="005D4573">
        <w:rPr>
          <w:rFonts w:ascii="Times New Roman" w:hAnsi="Times New Roman" w:cs="Times New Roman"/>
          <w:color w:val="000000" w:themeColor="text1"/>
          <w:lang w:val="uk-UA" w:eastAsia="ru-RU"/>
        </w:rPr>
        <w:t xml:space="preserve"> GS</w:t>
      </w:r>
      <w:r w:rsidR="00FC6D8A">
        <w:rPr>
          <w:rFonts w:ascii="Times New Roman" w:hAnsi="Times New Roman" w:cs="Times New Roman"/>
          <w:color w:val="000000" w:themeColor="text1"/>
          <w:lang w:val="uk-UA" w:eastAsia="ru-RU"/>
        </w:rPr>
        <w:t>–</w:t>
      </w:r>
      <w:r w:rsidRPr="005D4573">
        <w:rPr>
          <w:rFonts w:ascii="Times New Roman" w:hAnsi="Times New Roman" w:cs="Times New Roman"/>
          <w:color w:val="000000" w:themeColor="text1"/>
          <w:lang w:val="uk-UA" w:eastAsia="ru-RU"/>
        </w:rPr>
        <w:t>331007, причому значна частина а</w:t>
      </w:r>
      <w:r>
        <w:rPr>
          <w:rFonts w:ascii="Times New Roman" w:hAnsi="Times New Roman" w:cs="Times New Roman"/>
          <w:color w:val="000000" w:themeColor="text1"/>
          <w:lang w:val="uk-UA" w:eastAsia="ru-RU"/>
        </w:rPr>
        <w:t>ктивно секретується. Тому, на даний</w:t>
      </w:r>
      <w:r w:rsidR="005C66E8">
        <w:rPr>
          <w:rFonts w:ascii="Times New Roman" w:hAnsi="Times New Roman" w:cs="Times New Roman"/>
          <w:color w:val="000000" w:themeColor="text1"/>
          <w:lang w:val="uk-UA" w:eastAsia="ru-RU"/>
        </w:rPr>
        <w:t xml:space="preserve"> час</w:t>
      </w:r>
      <w:r>
        <w:rPr>
          <w:rFonts w:ascii="Times New Roman" w:hAnsi="Times New Roman" w:cs="Times New Roman"/>
          <w:color w:val="000000" w:themeColor="text1"/>
          <w:lang w:val="uk-UA" w:eastAsia="ru-RU"/>
        </w:rPr>
        <w:t xml:space="preserve"> не існує </w:t>
      </w:r>
      <w:r w:rsidRPr="005D4573">
        <w:rPr>
          <w:rFonts w:ascii="Times New Roman" w:hAnsi="Times New Roman" w:cs="Times New Roman"/>
          <w:color w:val="000000" w:themeColor="text1"/>
          <w:lang w:val="uk-UA" w:eastAsia="ru-RU"/>
        </w:rPr>
        <w:t xml:space="preserve">рекомендацій щодо </w:t>
      </w:r>
      <w:r>
        <w:rPr>
          <w:rFonts w:ascii="Times New Roman" w:hAnsi="Times New Roman" w:cs="Times New Roman"/>
          <w:color w:val="000000" w:themeColor="text1"/>
          <w:lang w:val="uk-UA" w:eastAsia="ru-RU"/>
        </w:rPr>
        <w:t xml:space="preserve">дози </w:t>
      </w:r>
      <w:r w:rsidRPr="005D4573">
        <w:rPr>
          <w:rFonts w:ascii="Times New Roman" w:hAnsi="Times New Roman" w:cs="Times New Roman"/>
          <w:color w:val="000000" w:themeColor="text1"/>
          <w:lang w:val="uk-UA" w:eastAsia="ru-RU"/>
        </w:rPr>
        <w:t>софосбувіру для пацієнтів з важкими поруше</w:t>
      </w:r>
      <w:r>
        <w:rPr>
          <w:rFonts w:ascii="Times New Roman" w:hAnsi="Times New Roman" w:cs="Times New Roman"/>
          <w:color w:val="000000" w:themeColor="text1"/>
          <w:lang w:val="uk-UA" w:eastAsia="ru-RU"/>
        </w:rPr>
        <w:t>ннями функції нирок (ШКФ)&lt;30мл/хв/</w:t>
      </w:r>
      <w:r w:rsidRPr="005D4573">
        <w:rPr>
          <w:rFonts w:ascii="Times New Roman" w:hAnsi="Times New Roman" w:cs="Times New Roman"/>
          <w:color w:val="000000" w:themeColor="text1"/>
          <w:lang w:val="uk-UA" w:eastAsia="ru-RU"/>
        </w:rPr>
        <w:t xml:space="preserve">1,73м2) або з </w:t>
      </w:r>
      <w:r w:rsidR="005C66E8">
        <w:rPr>
          <w:rFonts w:ascii="Times New Roman" w:hAnsi="Times New Roman" w:cs="Times New Roman"/>
          <w:color w:val="000000" w:themeColor="text1"/>
          <w:lang w:val="uk-UA" w:eastAsia="ru-RU"/>
        </w:rPr>
        <w:t>термінальною</w:t>
      </w:r>
      <w:r w:rsidRPr="005D4573">
        <w:rPr>
          <w:rFonts w:ascii="Times New Roman" w:hAnsi="Times New Roman" w:cs="Times New Roman"/>
          <w:color w:val="000000" w:themeColor="text1"/>
          <w:lang w:val="uk-UA" w:eastAsia="ru-RU"/>
        </w:rPr>
        <w:t xml:space="preserve"> стадією ни</w:t>
      </w:r>
      <w:r>
        <w:rPr>
          <w:rFonts w:ascii="Times New Roman" w:hAnsi="Times New Roman" w:cs="Times New Roman"/>
          <w:color w:val="000000" w:themeColor="text1"/>
          <w:lang w:val="uk-UA" w:eastAsia="ru-RU"/>
        </w:rPr>
        <w:t xml:space="preserve">ркової недостатності </w:t>
      </w:r>
      <w:r w:rsidRPr="00076374">
        <w:rPr>
          <w:rFonts w:ascii="Times New Roman" w:hAnsi="Times New Roman" w:cs="Times New Roman"/>
          <w:color w:val="000000" w:themeColor="text1"/>
          <w:lang w:val="uk-UA" w:eastAsia="ru-RU"/>
        </w:rPr>
        <w:t>через високий рівень експозиції</w:t>
      </w:r>
      <w:r>
        <w:rPr>
          <w:rFonts w:ascii="Times New Roman" w:hAnsi="Times New Roman" w:cs="Times New Roman"/>
          <w:color w:val="000000" w:themeColor="text1"/>
          <w:lang w:val="uk-UA" w:eastAsia="ru-RU"/>
        </w:rPr>
        <w:t xml:space="preserve"> </w:t>
      </w:r>
      <w:r w:rsidRPr="005D4573">
        <w:rPr>
          <w:rFonts w:ascii="Times New Roman" w:hAnsi="Times New Roman" w:cs="Times New Roman"/>
          <w:color w:val="000000" w:themeColor="text1"/>
          <w:lang w:val="uk-UA" w:eastAsia="ru-RU"/>
        </w:rPr>
        <w:t>(до 20 разів)</w:t>
      </w:r>
      <w:r>
        <w:rPr>
          <w:rFonts w:ascii="Times New Roman" w:hAnsi="Times New Roman" w:cs="Times New Roman"/>
          <w:color w:val="000000" w:themeColor="text1"/>
          <w:lang w:val="uk-UA" w:eastAsia="ru-RU"/>
        </w:rPr>
        <w:t xml:space="preserve"> GS</w:t>
      </w:r>
      <w:r w:rsidR="00FC6D8A">
        <w:rPr>
          <w:rFonts w:ascii="Times New Roman" w:hAnsi="Times New Roman" w:cs="Times New Roman"/>
          <w:color w:val="000000" w:themeColor="text1"/>
          <w:lang w:val="uk-UA" w:eastAsia="ru-RU"/>
        </w:rPr>
        <w:t>–</w:t>
      </w:r>
      <w:r>
        <w:rPr>
          <w:rFonts w:ascii="Times New Roman" w:hAnsi="Times New Roman" w:cs="Times New Roman"/>
          <w:color w:val="000000" w:themeColor="text1"/>
          <w:lang w:val="uk-UA" w:eastAsia="ru-RU"/>
        </w:rPr>
        <w:t xml:space="preserve">331007. Проте існують </w:t>
      </w:r>
      <w:r w:rsidRPr="005D4573">
        <w:rPr>
          <w:rFonts w:ascii="Times New Roman" w:hAnsi="Times New Roman" w:cs="Times New Roman"/>
          <w:color w:val="000000" w:themeColor="text1"/>
          <w:lang w:val="uk-UA" w:eastAsia="ru-RU"/>
        </w:rPr>
        <w:t xml:space="preserve">докази щодо безпечного використання режиму лікування на основі </w:t>
      </w:r>
      <w:r>
        <w:rPr>
          <w:rFonts w:ascii="Times New Roman" w:hAnsi="Times New Roman" w:cs="Times New Roman"/>
          <w:color w:val="000000" w:themeColor="text1"/>
          <w:lang w:val="uk-UA" w:eastAsia="ru-RU"/>
        </w:rPr>
        <w:t>софосбувіру у пацієнтів з ШКФ&lt;30мл/хв/1,73м2, у тому числі пацієнтів</w:t>
      </w:r>
      <w:r w:rsidRPr="005D4573">
        <w:rPr>
          <w:rFonts w:ascii="Times New Roman" w:hAnsi="Times New Roman" w:cs="Times New Roman"/>
          <w:color w:val="000000" w:themeColor="text1"/>
          <w:lang w:val="uk-UA" w:eastAsia="ru-RU"/>
        </w:rPr>
        <w:t xml:space="preserve"> на гемодіалізі</w:t>
      </w:r>
      <w:r w:rsidRPr="00076374">
        <w:rPr>
          <w:rFonts w:ascii="Times New Roman" w:hAnsi="Times New Roman" w:cs="Times New Roman"/>
          <w:color w:val="000000" w:themeColor="text1"/>
          <w:vertAlign w:val="superscript"/>
          <w:lang w:val="uk-UA" w:eastAsia="ru-RU"/>
        </w:rPr>
        <w:t>61</w:t>
      </w:r>
      <w:r w:rsidRPr="005D4573">
        <w:rPr>
          <w:rFonts w:ascii="Times New Roman" w:hAnsi="Times New Roman" w:cs="Times New Roman"/>
          <w:color w:val="000000" w:themeColor="text1"/>
          <w:lang w:val="uk-UA" w:eastAsia="ru-RU"/>
        </w:rPr>
        <w:t xml:space="preserve">. Експозиція </w:t>
      </w:r>
      <w:r>
        <w:rPr>
          <w:rFonts w:ascii="Times New Roman" w:hAnsi="Times New Roman" w:cs="Times New Roman"/>
          <w:color w:val="000000" w:themeColor="text1"/>
          <w:lang w:val="uk-UA" w:eastAsia="ru-RU"/>
        </w:rPr>
        <w:t>софосбувіру</w:t>
      </w:r>
      <w:r w:rsidRPr="005D4573">
        <w:rPr>
          <w:rFonts w:ascii="Times New Roman" w:hAnsi="Times New Roman" w:cs="Times New Roman"/>
          <w:color w:val="000000" w:themeColor="text1"/>
          <w:lang w:val="uk-UA" w:eastAsia="ru-RU"/>
        </w:rPr>
        <w:t xml:space="preserve"> не помітно змінюється у пацієнтів з легкою </w:t>
      </w:r>
      <w:r>
        <w:rPr>
          <w:rFonts w:ascii="Times New Roman" w:hAnsi="Times New Roman" w:cs="Times New Roman"/>
          <w:color w:val="000000" w:themeColor="text1"/>
          <w:lang w:val="uk-UA" w:eastAsia="ru-RU"/>
        </w:rPr>
        <w:t xml:space="preserve">формою </w:t>
      </w:r>
      <w:r w:rsidRPr="005D4573">
        <w:rPr>
          <w:rFonts w:ascii="Times New Roman" w:hAnsi="Times New Roman" w:cs="Times New Roman"/>
          <w:color w:val="000000" w:themeColor="text1"/>
          <w:lang w:val="uk-UA" w:eastAsia="ru-RU"/>
        </w:rPr>
        <w:t>ни</w:t>
      </w:r>
      <w:r>
        <w:rPr>
          <w:rFonts w:ascii="Times New Roman" w:hAnsi="Times New Roman" w:cs="Times New Roman"/>
          <w:color w:val="000000" w:themeColor="text1"/>
          <w:lang w:val="uk-UA" w:eastAsia="ru-RU"/>
        </w:rPr>
        <w:t>ркової недостатності</w:t>
      </w:r>
      <w:r w:rsidRPr="005D4573">
        <w:rPr>
          <w:rFonts w:ascii="Times New Roman" w:hAnsi="Times New Roman" w:cs="Times New Roman"/>
          <w:color w:val="000000" w:themeColor="text1"/>
          <w:lang w:val="uk-UA" w:eastAsia="ru-RU"/>
        </w:rPr>
        <w:t xml:space="preserve">, але </w:t>
      </w:r>
      <w:r>
        <w:rPr>
          <w:rFonts w:ascii="Times New Roman" w:hAnsi="Times New Roman" w:cs="Times New Roman"/>
          <w:color w:val="000000" w:themeColor="text1"/>
          <w:lang w:val="uk-UA" w:eastAsia="ru-RU"/>
        </w:rPr>
        <w:t xml:space="preserve">вона збільшується у 2,3 рази у пацієнтів з </w:t>
      </w:r>
      <w:r w:rsidRPr="005D4573">
        <w:rPr>
          <w:rFonts w:ascii="Times New Roman" w:hAnsi="Times New Roman" w:cs="Times New Roman"/>
          <w:color w:val="000000" w:themeColor="text1"/>
          <w:lang w:val="uk-UA" w:eastAsia="ru-RU"/>
        </w:rPr>
        <w:t>ни</w:t>
      </w:r>
      <w:r>
        <w:rPr>
          <w:rFonts w:ascii="Times New Roman" w:hAnsi="Times New Roman" w:cs="Times New Roman"/>
          <w:color w:val="000000" w:themeColor="text1"/>
          <w:lang w:val="uk-UA" w:eastAsia="ru-RU"/>
        </w:rPr>
        <w:t>рковою недостатністю середньої важкості</w:t>
      </w:r>
      <w:r w:rsidRPr="005D4573">
        <w:rPr>
          <w:rFonts w:ascii="Times New Roman" w:hAnsi="Times New Roman" w:cs="Times New Roman"/>
          <w:color w:val="000000" w:themeColor="text1"/>
          <w:lang w:val="uk-UA" w:eastAsia="ru-RU"/>
        </w:rPr>
        <w:t>.</w:t>
      </w:r>
    </w:p>
    <w:p w14:paraId="3CB6F33B" w14:textId="4E6B129C" w:rsidR="00E9283D" w:rsidRPr="005D4573" w:rsidRDefault="00E9283D" w:rsidP="00E9283D">
      <w:pPr>
        <w:spacing w:beforeAutospacing="1" w:afterAutospacing="1"/>
        <w:jc w:val="both"/>
        <w:textAlignment w:val="baseline"/>
        <w:rPr>
          <w:rFonts w:ascii="Times New Roman" w:hAnsi="Times New Roman" w:cs="Times New Roman"/>
          <w:color w:val="000000" w:themeColor="text1"/>
          <w:lang w:val="uk-UA" w:eastAsia="ru-RU"/>
        </w:rPr>
      </w:pPr>
      <w:r w:rsidRPr="005D4573">
        <w:rPr>
          <w:rFonts w:ascii="Times New Roman" w:hAnsi="Times New Roman" w:cs="Times New Roman"/>
          <w:color w:val="000000" w:themeColor="text1"/>
          <w:lang w:val="uk-UA" w:eastAsia="ru-RU"/>
        </w:rPr>
        <w:t xml:space="preserve">Софосбувір добре переноситься протягом </w:t>
      </w:r>
      <w:r>
        <w:rPr>
          <w:rFonts w:ascii="Times New Roman" w:hAnsi="Times New Roman" w:cs="Times New Roman"/>
          <w:color w:val="000000" w:themeColor="text1"/>
          <w:lang w:val="uk-UA" w:eastAsia="ru-RU"/>
        </w:rPr>
        <w:t>від 12 до 24 тижнів прийому</w:t>
      </w:r>
      <w:r w:rsidRPr="005D4573">
        <w:rPr>
          <w:rFonts w:ascii="Times New Roman" w:hAnsi="Times New Roman" w:cs="Times New Roman"/>
          <w:color w:val="000000" w:themeColor="text1"/>
          <w:lang w:val="uk-UA" w:eastAsia="ru-RU"/>
        </w:rPr>
        <w:t xml:space="preserve">. </w:t>
      </w:r>
      <w:r>
        <w:rPr>
          <w:rFonts w:ascii="Times New Roman" w:hAnsi="Times New Roman" w:cs="Times New Roman"/>
          <w:color w:val="000000" w:themeColor="text1"/>
          <w:lang w:val="uk-UA" w:eastAsia="ru-RU"/>
        </w:rPr>
        <w:t>Найбільш поширені побічні реакції</w:t>
      </w:r>
      <w:r w:rsidRPr="005D4573">
        <w:rPr>
          <w:rFonts w:ascii="Times New Roman" w:hAnsi="Times New Roman" w:cs="Times New Roman"/>
          <w:color w:val="000000" w:themeColor="text1"/>
          <w:lang w:val="uk-UA" w:eastAsia="ru-RU"/>
        </w:rPr>
        <w:t xml:space="preserve"> (≥20%), що спостерігалися </w:t>
      </w:r>
      <w:r>
        <w:rPr>
          <w:rFonts w:ascii="Times New Roman" w:hAnsi="Times New Roman" w:cs="Times New Roman"/>
          <w:color w:val="000000" w:themeColor="text1"/>
          <w:lang w:val="uk-UA" w:eastAsia="ru-RU"/>
        </w:rPr>
        <w:t>при прийомі рибавірину, були втома</w:t>
      </w:r>
      <w:r w:rsidRPr="005D4573">
        <w:rPr>
          <w:rFonts w:ascii="Times New Roman" w:hAnsi="Times New Roman" w:cs="Times New Roman"/>
          <w:color w:val="000000" w:themeColor="text1"/>
          <w:lang w:val="uk-UA" w:eastAsia="ru-RU"/>
        </w:rPr>
        <w:t xml:space="preserve"> та головний біль. Також спостерігалося незначне підвищення креатинкінази, амілази та ліпази без клінічного впливу.</w:t>
      </w:r>
    </w:p>
    <w:p w14:paraId="519DF2BA" w14:textId="62FB19A3" w:rsidR="00E9283D" w:rsidRPr="005D4573" w:rsidRDefault="00E9283D" w:rsidP="00E9283D">
      <w:pPr>
        <w:spacing w:beforeAutospacing="1" w:afterAutospacing="1"/>
        <w:jc w:val="both"/>
        <w:textAlignment w:val="baseline"/>
        <w:rPr>
          <w:rFonts w:ascii="Times New Roman" w:hAnsi="Times New Roman" w:cs="Times New Roman"/>
          <w:color w:val="000000" w:themeColor="text1"/>
          <w:lang w:val="uk-UA" w:eastAsia="ru-RU"/>
        </w:rPr>
      </w:pPr>
      <w:r w:rsidRPr="005D4573">
        <w:rPr>
          <w:rFonts w:ascii="Times New Roman" w:hAnsi="Times New Roman" w:cs="Times New Roman"/>
          <w:color w:val="000000" w:themeColor="text1"/>
          <w:lang w:val="uk-UA" w:eastAsia="ru-RU"/>
        </w:rPr>
        <w:t>Софосбувір не метаболізується цитохромом Р450, але транспортується за допомогою P</w:t>
      </w:r>
      <w:r w:rsidR="00FC6D8A">
        <w:rPr>
          <w:rFonts w:ascii="Times New Roman" w:hAnsi="Times New Roman" w:cs="Times New Roman"/>
          <w:color w:val="000000" w:themeColor="text1"/>
          <w:lang w:val="uk-UA" w:eastAsia="ru-RU"/>
        </w:rPr>
        <w:t>–</w:t>
      </w:r>
      <w:r w:rsidRPr="005D4573">
        <w:rPr>
          <w:rFonts w:ascii="Times New Roman" w:hAnsi="Times New Roman" w:cs="Times New Roman"/>
          <w:color w:val="000000" w:themeColor="text1"/>
          <w:lang w:val="uk-UA" w:eastAsia="ru-RU"/>
        </w:rPr>
        <w:t>gp. Препарати, які є сильними індукторами P</w:t>
      </w:r>
      <w:r w:rsidR="00FC6D8A">
        <w:rPr>
          <w:rFonts w:ascii="Times New Roman" w:hAnsi="Times New Roman" w:cs="Times New Roman"/>
          <w:color w:val="000000" w:themeColor="text1"/>
          <w:lang w:val="uk-UA" w:eastAsia="ru-RU"/>
        </w:rPr>
        <w:t>–</w:t>
      </w:r>
      <w:r w:rsidRPr="005D4573">
        <w:rPr>
          <w:rFonts w:ascii="Times New Roman" w:hAnsi="Times New Roman" w:cs="Times New Roman"/>
          <w:color w:val="000000" w:themeColor="text1"/>
          <w:lang w:val="uk-UA" w:eastAsia="ru-RU"/>
        </w:rPr>
        <w:t>gp, суттєво знижують концентрацію софосбувіру в плазмі та можуть призвести до зниження терапевтичного ефекту. Таким ч</w:t>
      </w:r>
      <w:r>
        <w:rPr>
          <w:rFonts w:ascii="Times New Roman" w:hAnsi="Times New Roman" w:cs="Times New Roman"/>
          <w:color w:val="000000" w:themeColor="text1"/>
          <w:lang w:val="uk-UA" w:eastAsia="ru-RU"/>
        </w:rPr>
        <w:t>ином, софосбувір не слід застосовувати разом</w:t>
      </w:r>
      <w:r w:rsidRPr="005D4573">
        <w:rPr>
          <w:rFonts w:ascii="Times New Roman" w:hAnsi="Times New Roman" w:cs="Times New Roman"/>
          <w:color w:val="000000" w:themeColor="text1"/>
          <w:lang w:val="uk-UA" w:eastAsia="ru-RU"/>
        </w:rPr>
        <w:t xml:space="preserve"> з відомими індукторами P</w:t>
      </w:r>
      <w:r w:rsidR="00FC6D8A">
        <w:rPr>
          <w:rFonts w:ascii="Times New Roman" w:hAnsi="Times New Roman" w:cs="Times New Roman"/>
          <w:color w:val="000000" w:themeColor="text1"/>
          <w:lang w:val="uk-UA" w:eastAsia="ru-RU"/>
        </w:rPr>
        <w:t>–</w:t>
      </w:r>
      <w:r w:rsidRPr="005D4573">
        <w:rPr>
          <w:rFonts w:ascii="Times New Roman" w:hAnsi="Times New Roman" w:cs="Times New Roman"/>
          <w:color w:val="000000" w:themeColor="text1"/>
          <w:lang w:val="uk-UA" w:eastAsia="ru-RU"/>
        </w:rPr>
        <w:t>gp, такими як рифампіцин, ка</w:t>
      </w:r>
      <w:r>
        <w:rPr>
          <w:rFonts w:ascii="Times New Roman" w:hAnsi="Times New Roman" w:cs="Times New Roman"/>
          <w:color w:val="000000" w:themeColor="text1"/>
          <w:lang w:val="uk-UA" w:eastAsia="ru-RU"/>
        </w:rPr>
        <w:t>рбамазепін, фенітоїн чи звіробій</w:t>
      </w:r>
      <w:r w:rsidRPr="005D4573">
        <w:rPr>
          <w:rFonts w:ascii="Times New Roman" w:hAnsi="Times New Roman" w:cs="Times New Roman"/>
          <w:color w:val="000000" w:themeColor="text1"/>
          <w:lang w:val="uk-UA" w:eastAsia="ru-RU"/>
        </w:rPr>
        <w:t xml:space="preserve">. Інші потенційні взаємодії можуть спостерігатися з рифабутином, </w:t>
      </w:r>
      <w:r w:rsidRPr="005D4573">
        <w:rPr>
          <w:rFonts w:ascii="Times New Roman" w:hAnsi="Times New Roman" w:cs="Times New Roman"/>
          <w:color w:val="000000" w:themeColor="text1"/>
          <w:lang w:val="uk-UA" w:eastAsia="ru-RU"/>
        </w:rPr>
        <w:lastRenderedPageBreak/>
        <w:t xml:space="preserve">рифентином і модафінілом. </w:t>
      </w:r>
      <w:r w:rsidR="005C66E8">
        <w:rPr>
          <w:rFonts w:ascii="Times New Roman" w:hAnsi="Times New Roman" w:cs="Times New Roman"/>
          <w:color w:val="000000" w:themeColor="text1"/>
          <w:lang w:val="uk-UA" w:eastAsia="ru-RU"/>
        </w:rPr>
        <w:t>У</w:t>
      </w:r>
      <w:r w:rsidRPr="005D4573">
        <w:rPr>
          <w:rFonts w:ascii="Times New Roman" w:hAnsi="Times New Roman" w:cs="Times New Roman"/>
          <w:color w:val="000000" w:themeColor="text1"/>
          <w:lang w:val="uk-UA" w:eastAsia="ru-RU"/>
        </w:rPr>
        <w:t xml:space="preserve"> дослідженнях </w:t>
      </w:r>
      <w:r w:rsidR="005C66E8">
        <w:rPr>
          <w:rFonts w:ascii="Times New Roman" w:hAnsi="Times New Roman" w:cs="Times New Roman"/>
          <w:color w:val="000000" w:themeColor="text1"/>
          <w:lang w:val="uk-UA" w:eastAsia="ru-RU"/>
        </w:rPr>
        <w:t>і</w:t>
      </w:r>
      <w:r w:rsidRPr="005D4573">
        <w:rPr>
          <w:rFonts w:ascii="Times New Roman" w:hAnsi="Times New Roman" w:cs="Times New Roman"/>
          <w:color w:val="000000" w:themeColor="text1"/>
          <w:lang w:val="uk-UA" w:eastAsia="ru-RU"/>
        </w:rPr>
        <w:t xml:space="preserve">з </w:t>
      </w:r>
      <w:r>
        <w:rPr>
          <w:rFonts w:ascii="Times New Roman" w:hAnsi="Times New Roman" w:cs="Times New Roman"/>
          <w:color w:val="000000" w:themeColor="text1"/>
          <w:lang w:val="uk-UA" w:eastAsia="ru-RU"/>
        </w:rPr>
        <w:t>застосуванням таких антиретровірусних препаратів як емтріц</w:t>
      </w:r>
      <w:r w:rsidR="005C66E8">
        <w:rPr>
          <w:rFonts w:ascii="Times New Roman" w:hAnsi="Times New Roman" w:cs="Times New Roman"/>
          <w:color w:val="000000" w:themeColor="text1"/>
          <w:lang w:val="uk-UA" w:eastAsia="ru-RU"/>
        </w:rPr>
        <w:t>и</w:t>
      </w:r>
      <w:r>
        <w:rPr>
          <w:rFonts w:ascii="Times New Roman" w:hAnsi="Times New Roman" w:cs="Times New Roman"/>
          <w:color w:val="000000" w:themeColor="text1"/>
          <w:lang w:val="uk-UA" w:eastAsia="ru-RU"/>
        </w:rPr>
        <w:t>табін, тенофовір, рилпівір</w:t>
      </w:r>
      <w:r w:rsidR="005C66E8">
        <w:rPr>
          <w:rFonts w:ascii="Times New Roman" w:hAnsi="Times New Roman" w:cs="Times New Roman"/>
          <w:color w:val="000000" w:themeColor="text1"/>
          <w:lang w:val="uk-UA" w:eastAsia="ru-RU"/>
        </w:rPr>
        <w:t>и</w:t>
      </w:r>
      <w:r>
        <w:rPr>
          <w:rFonts w:ascii="Times New Roman" w:hAnsi="Times New Roman" w:cs="Times New Roman"/>
          <w:color w:val="000000" w:themeColor="text1"/>
          <w:lang w:val="uk-UA" w:eastAsia="ru-RU"/>
        </w:rPr>
        <w:t xml:space="preserve">н, </w:t>
      </w:r>
      <w:r w:rsidR="00187E20">
        <w:rPr>
          <w:rFonts w:ascii="Times New Roman" w:hAnsi="Times New Roman" w:cs="Times New Roman"/>
          <w:color w:val="000000" w:themeColor="text1"/>
          <w:lang w:val="uk-UA" w:eastAsia="ru-RU"/>
        </w:rPr>
        <w:t>ефавіренц</w:t>
      </w:r>
      <w:r>
        <w:rPr>
          <w:rFonts w:ascii="Times New Roman" w:hAnsi="Times New Roman" w:cs="Times New Roman"/>
          <w:color w:val="000000" w:themeColor="text1"/>
          <w:lang w:val="uk-UA" w:eastAsia="ru-RU"/>
        </w:rPr>
        <w:t>, дарунавір/ритонавір та ралтегравір</w:t>
      </w:r>
      <w:r w:rsidR="005C66E8">
        <w:rPr>
          <w:rFonts w:ascii="Times New Roman" w:hAnsi="Times New Roman" w:cs="Times New Roman"/>
          <w:color w:val="000000" w:themeColor="text1"/>
          <w:lang w:val="uk-UA" w:eastAsia="ru-RU"/>
        </w:rPr>
        <w:t xml:space="preserve">, а також інших антиретровірусних препаратів, </w:t>
      </w:r>
      <w:r w:rsidRPr="005D4573">
        <w:rPr>
          <w:rFonts w:ascii="Times New Roman" w:hAnsi="Times New Roman" w:cs="Times New Roman"/>
          <w:color w:val="000000" w:themeColor="text1"/>
          <w:lang w:val="uk-UA" w:eastAsia="ru-RU"/>
        </w:rPr>
        <w:t>не спостерігалос</w:t>
      </w:r>
      <w:r>
        <w:rPr>
          <w:rFonts w:ascii="Times New Roman" w:hAnsi="Times New Roman" w:cs="Times New Roman"/>
          <w:color w:val="000000" w:themeColor="text1"/>
          <w:lang w:val="uk-UA" w:eastAsia="ru-RU"/>
        </w:rPr>
        <w:t>я жодних суттєвих взаємодій</w:t>
      </w:r>
      <w:r w:rsidRPr="005D4573">
        <w:rPr>
          <w:rFonts w:ascii="Times New Roman" w:hAnsi="Times New Roman" w:cs="Times New Roman"/>
          <w:color w:val="000000" w:themeColor="text1"/>
          <w:lang w:val="uk-UA" w:eastAsia="ru-RU"/>
        </w:rPr>
        <w:t>.</w:t>
      </w:r>
    </w:p>
    <w:p w14:paraId="3375B0AC" w14:textId="5DA869D6" w:rsidR="00E9283D" w:rsidRPr="00DB67F9" w:rsidRDefault="00E9283D" w:rsidP="00E9283D">
      <w:pPr>
        <w:spacing w:beforeAutospacing="1" w:afterAutospacing="1"/>
        <w:jc w:val="both"/>
        <w:textAlignment w:val="baseline"/>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С</w:t>
      </w:r>
      <w:r w:rsidRPr="005D4573">
        <w:rPr>
          <w:rFonts w:ascii="Times New Roman" w:hAnsi="Times New Roman" w:cs="Times New Roman"/>
          <w:color w:val="000000" w:themeColor="text1"/>
          <w:lang w:val="uk-UA" w:eastAsia="ru-RU"/>
        </w:rPr>
        <w:t xml:space="preserve">хеми </w:t>
      </w:r>
      <w:r w:rsidR="005C66E8">
        <w:rPr>
          <w:rFonts w:ascii="Times New Roman" w:hAnsi="Times New Roman" w:cs="Times New Roman"/>
          <w:color w:val="000000" w:themeColor="text1"/>
          <w:lang w:val="uk-UA" w:eastAsia="ru-RU"/>
        </w:rPr>
        <w:t>і</w:t>
      </w:r>
      <w:r>
        <w:rPr>
          <w:rFonts w:ascii="Times New Roman" w:hAnsi="Times New Roman" w:cs="Times New Roman"/>
          <w:color w:val="000000" w:themeColor="text1"/>
          <w:lang w:val="uk-UA" w:eastAsia="ru-RU"/>
        </w:rPr>
        <w:t>з застосуванням с</w:t>
      </w:r>
      <w:r w:rsidRPr="005D4573">
        <w:rPr>
          <w:rFonts w:ascii="Times New Roman" w:hAnsi="Times New Roman" w:cs="Times New Roman"/>
          <w:color w:val="000000" w:themeColor="text1"/>
          <w:lang w:val="uk-UA" w:eastAsia="ru-RU"/>
        </w:rPr>
        <w:t>офосбувір</w:t>
      </w:r>
      <w:r>
        <w:rPr>
          <w:rFonts w:ascii="Times New Roman" w:hAnsi="Times New Roman" w:cs="Times New Roman"/>
          <w:color w:val="000000" w:themeColor="text1"/>
          <w:lang w:val="uk-UA" w:eastAsia="ru-RU"/>
        </w:rPr>
        <w:t>у</w:t>
      </w:r>
      <w:r w:rsidRPr="005D4573">
        <w:rPr>
          <w:rFonts w:ascii="Times New Roman" w:hAnsi="Times New Roman" w:cs="Times New Roman"/>
          <w:color w:val="000000" w:themeColor="text1"/>
          <w:lang w:val="uk-UA" w:eastAsia="ru-RU"/>
        </w:rPr>
        <w:t xml:space="preserve"> протипоказані пацієнтам, які лікуються антиаритмічним</w:t>
      </w:r>
      <w:r>
        <w:rPr>
          <w:rFonts w:ascii="Times New Roman" w:hAnsi="Times New Roman" w:cs="Times New Roman"/>
          <w:color w:val="000000" w:themeColor="text1"/>
          <w:lang w:val="uk-UA" w:eastAsia="ru-RU"/>
        </w:rPr>
        <w:t xml:space="preserve"> аміодароном через ризик аритмії</w:t>
      </w:r>
      <w:r w:rsidRPr="005D4573">
        <w:rPr>
          <w:rFonts w:ascii="Times New Roman" w:hAnsi="Times New Roman" w:cs="Times New Roman"/>
          <w:color w:val="000000" w:themeColor="text1"/>
          <w:lang w:val="uk-UA" w:eastAsia="ru-RU"/>
        </w:rPr>
        <w:t xml:space="preserve">, що </w:t>
      </w:r>
      <w:r>
        <w:rPr>
          <w:rFonts w:ascii="Times New Roman" w:hAnsi="Times New Roman" w:cs="Times New Roman"/>
          <w:color w:val="000000" w:themeColor="text1"/>
          <w:lang w:val="uk-UA" w:eastAsia="ru-RU"/>
        </w:rPr>
        <w:t>потенційно загрожує життю. Є дані</w:t>
      </w:r>
      <w:r w:rsidRPr="005D4573">
        <w:rPr>
          <w:rFonts w:ascii="Times New Roman" w:hAnsi="Times New Roman" w:cs="Times New Roman"/>
          <w:color w:val="000000" w:themeColor="text1"/>
          <w:lang w:val="uk-UA" w:eastAsia="ru-RU"/>
        </w:rPr>
        <w:t xml:space="preserve">, </w:t>
      </w:r>
      <w:r>
        <w:rPr>
          <w:rFonts w:ascii="Times New Roman" w:hAnsi="Times New Roman" w:cs="Times New Roman"/>
          <w:color w:val="000000" w:themeColor="text1"/>
          <w:lang w:val="uk-UA" w:eastAsia="ru-RU"/>
        </w:rPr>
        <w:t xml:space="preserve">що </w:t>
      </w:r>
      <w:r w:rsidRPr="005D4573">
        <w:rPr>
          <w:rFonts w:ascii="Times New Roman" w:hAnsi="Times New Roman" w:cs="Times New Roman"/>
          <w:color w:val="000000" w:themeColor="text1"/>
          <w:lang w:val="uk-UA" w:eastAsia="ru-RU"/>
        </w:rPr>
        <w:t xml:space="preserve">брадикардія спостерігалася протягом </w:t>
      </w:r>
      <w:r>
        <w:rPr>
          <w:rFonts w:ascii="Times New Roman" w:hAnsi="Times New Roman" w:cs="Times New Roman"/>
          <w:color w:val="000000" w:themeColor="text1"/>
          <w:lang w:val="uk-UA" w:eastAsia="ru-RU"/>
        </w:rPr>
        <w:t xml:space="preserve">від </w:t>
      </w:r>
      <w:r w:rsidRPr="005D4573">
        <w:rPr>
          <w:rFonts w:ascii="Times New Roman" w:hAnsi="Times New Roman" w:cs="Times New Roman"/>
          <w:color w:val="000000" w:themeColor="text1"/>
          <w:lang w:val="uk-UA" w:eastAsia="ru-RU"/>
        </w:rPr>
        <w:t xml:space="preserve">декількох годин до декількох днів після початку </w:t>
      </w:r>
      <w:r>
        <w:rPr>
          <w:rFonts w:ascii="Times New Roman" w:hAnsi="Times New Roman" w:cs="Times New Roman"/>
          <w:color w:val="000000" w:themeColor="text1"/>
          <w:lang w:val="uk-UA" w:eastAsia="ru-RU"/>
        </w:rPr>
        <w:t>вживання ПППД</w:t>
      </w:r>
      <w:r w:rsidRPr="005D4573">
        <w:rPr>
          <w:rFonts w:ascii="Times New Roman" w:hAnsi="Times New Roman" w:cs="Times New Roman"/>
          <w:color w:val="000000" w:themeColor="text1"/>
          <w:lang w:val="uk-UA" w:eastAsia="ru-RU"/>
        </w:rPr>
        <w:t xml:space="preserve">, однак випадки спостерігались протягом 2 тижнів після ініціації лікування ВГС. Механізм взаємодії та роль інших препаратів (наприклад, </w:t>
      </w:r>
      <w:r>
        <w:rPr>
          <w:rFonts w:ascii="Times New Roman" w:hAnsi="Times New Roman" w:cs="Times New Roman"/>
          <w:color w:val="000000" w:themeColor="text1"/>
          <w:lang w:val="uk-UA" w:eastAsia="ru-RU"/>
        </w:rPr>
        <w:t>β</w:t>
      </w:r>
      <w:r w:rsidR="00FC6D8A">
        <w:rPr>
          <w:rFonts w:ascii="Times New Roman" w:hAnsi="Times New Roman" w:cs="Times New Roman"/>
          <w:color w:val="000000" w:themeColor="text1"/>
          <w:lang w:val="uk-UA" w:eastAsia="ru-RU"/>
        </w:rPr>
        <w:t>–</w:t>
      </w:r>
      <w:r w:rsidRPr="008F35C1">
        <w:rPr>
          <w:rFonts w:ascii="Times New Roman" w:hAnsi="Times New Roman" w:cs="Times New Roman"/>
          <w:color w:val="000000" w:themeColor="text1"/>
          <w:lang w:val="uk-UA" w:eastAsia="ru-RU"/>
        </w:rPr>
        <w:t>блокаторів</w:t>
      </w:r>
      <w:r w:rsidRPr="005D4573">
        <w:rPr>
          <w:rFonts w:ascii="Times New Roman" w:hAnsi="Times New Roman" w:cs="Times New Roman"/>
          <w:color w:val="000000" w:themeColor="text1"/>
          <w:lang w:val="uk-UA" w:eastAsia="ru-RU"/>
        </w:rPr>
        <w:t>) залишається</w:t>
      </w:r>
      <w:r>
        <w:rPr>
          <w:rFonts w:ascii="Times New Roman" w:hAnsi="Times New Roman" w:cs="Times New Roman"/>
          <w:color w:val="000000" w:themeColor="text1"/>
          <w:lang w:val="uk-UA" w:eastAsia="ru-RU"/>
        </w:rPr>
        <w:t xml:space="preserve"> незрозумілим, хоча пропонувався</w:t>
      </w:r>
      <w:r w:rsidRPr="005D4573">
        <w:rPr>
          <w:rFonts w:ascii="Times New Roman" w:hAnsi="Times New Roman" w:cs="Times New Roman"/>
          <w:color w:val="000000" w:themeColor="text1"/>
          <w:lang w:val="uk-UA" w:eastAsia="ru-RU"/>
        </w:rPr>
        <w:t xml:space="preserve"> ряд потенційних механізмів, що включ</w:t>
      </w:r>
      <w:r>
        <w:rPr>
          <w:rFonts w:ascii="Times New Roman" w:hAnsi="Times New Roman" w:cs="Times New Roman"/>
          <w:color w:val="000000" w:themeColor="text1"/>
          <w:lang w:val="uk-UA" w:eastAsia="ru-RU"/>
        </w:rPr>
        <w:t>ають інгібіцію P</w:t>
      </w:r>
      <w:r w:rsidR="00FC6D8A">
        <w:rPr>
          <w:rFonts w:ascii="Times New Roman" w:hAnsi="Times New Roman" w:cs="Times New Roman"/>
          <w:color w:val="000000" w:themeColor="text1"/>
          <w:lang w:val="uk-UA" w:eastAsia="ru-RU"/>
        </w:rPr>
        <w:t>–</w:t>
      </w:r>
      <w:r>
        <w:rPr>
          <w:rFonts w:ascii="Times New Roman" w:hAnsi="Times New Roman" w:cs="Times New Roman"/>
          <w:color w:val="000000" w:themeColor="text1"/>
          <w:lang w:val="uk-UA" w:eastAsia="ru-RU"/>
        </w:rPr>
        <w:t>gp, зміщення/заміну бі</w:t>
      </w:r>
      <w:r w:rsidRPr="005D4573">
        <w:rPr>
          <w:rFonts w:ascii="Times New Roman" w:hAnsi="Times New Roman" w:cs="Times New Roman"/>
          <w:color w:val="000000" w:themeColor="text1"/>
          <w:lang w:val="uk-UA" w:eastAsia="ru-RU"/>
        </w:rPr>
        <w:t>лкового зв'язування т</w:t>
      </w:r>
      <w:r>
        <w:rPr>
          <w:rFonts w:ascii="Times New Roman" w:hAnsi="Times New Roman" w:cs="Times New Roman"/>
          <w:color w:val="000000" w:themeColor="text1"/>
          <w:lang w:val="uk-UA" w:eastAsia="ru-RU"/>
        </w:rPr>
        <w:t>а прямий ефект софосбувіру та/або інших ПППД на кардіоміоцити або іонні канали</w:t>
      </w:r>
      <w:r w:rsidRPr="005D4573">
        <w:rPr>
          <w:rFonts w:ascii="Times New Roman" w:hAnsi="Times New Roman" w:cs="Times New Roman"/>
          <w:color w:val="000000" w:themeColor="text1"/>
          <w:lang w:val="uk-UA" w:eastAsia="ru-RU"/>
        </w:rPr>
        <w:t xml:space="preserve">. Токсичність, ймовірно, є результатом комбінації механізмів. Через тривалий період напіввиведення аміодарону взаємодія можлива протягом декількох місяців після припинення </w:t>
      </w:r>
      <w:r w:rsidR="005C66E8">
        <w:rPr>
          <w:rFonts w:ascii="Times New Roman" w:hAnsi="Times New Roman" w:cs="Times New Roman"/>
          <w:color w:val="000000" w:themeColor="text1"/>
          <w:lang w:val="uk-UA" w:eastAsia="ru-RU"/>
        </w:rPr>
        <w:t>його вживання</w:t>
      </w:r>
      <w:r w:rsidRPr="005D4573">
        <w:rPr>
          <w:rFonts w:ascii="Times New Roman" w:hAnsi="Times New Roman" w:cs="Times New Roman"/>
          <w:color w:val="000000" w:themeColor="text1"/>
          <w:lang w:val="uk-UA" w:eastAsia="ru-RU"/>
        </w:rPr>
        <w:t>. Якщо пацієнт не має серц</w:t>
      </w:r>
      <w:r>
        <w:rPr>
          <w:rFonts w:ascii="Times New Roman" w:hAnsi="Times New Roman" w:cs="Times New Roman"/>
          <w:color w:val="000000" w:themeColor="text1"/>
          <w:lang w:val="uk-UA" w:eastAsia="ru-RU"/>
        </w:rPr>
        <w:t>евого кардіостимулятора</w:t>
      </w:r>
      <w:r w:rsidRPr="005D4573">
        <w:rPr>
          <w:rFonts w:ascii="Times New Roman" w:hAnsi="Times New Roman" w:cs="Times New Roman"/>
          <w:color w:val="000000" w:themeColor="text1"/>
          <w:lang w:val="uk-UA" w:eastAsia="ru-RU"/>
        </w:rPr>
        <w:t xml:space="preserve">, рекомендується </w:t>
      </w:r>
      <w:r>
        <w:rPr>
          <w:rFonts w:ascii="Times New Roman" w:hAnsi="Times New Roman" w:cs="Times New Roman"/>
          <w:color w:val="000000" w:themeColor="text1"/>
          <w:lang w:val="uk-UA" w:eastAsia="ru-RU"/>
        </w:rPr>
        <w:t>по</w:t>
      </w:r>
      <w:r w:rsidRPr="005D4573">
        <w:rPr>
          <w:rFonts w:ascii="Times New Roman" w:hAnsi="Times New Roman" w:cs="Times New Roman"/>
          <w:color w:val="000000" w:themeColor="text1"/>
          <w:lang w:val="uk-UA" w:eastAsia="ru-RU"/>
        </w:rPr>
        <w:t xml:space="preserve">чекати 3 місяці після припинення </w:t>
      </w:r>
      <w:r>
        <w:rPr>
          <w:rFonts w:ascii="Times New Roman" w:hAnsi="Times New Roman" w:cs="Times New Roman"/>
          <w:color w:val="000000" w:themeColor="text1"/>
          <w:lang w:val="uk-UA" w:eastAsia="ru-RU"/>
        </w:rPr>
        <w:t xml:space="preserve">прийому </w:t>
      </w:r>
      <w:r w:rsidRPr="005D4573">
        <w:rPr>
          <w:rFonts w:ascii="Times New Roman" w:hAnsi="Times New Roman" w:cs="Times New Roman"/>
          <w:color w:val="000000" w:themeColor="text1"/>
          <w:lang w:val="uk-UA" w:eastAsia="ru-RU"/>
        </w:rPr>
        <w:t>аміодарону перед тим, як розпочати лік</w:t>
      </w:r>
      <w:r>
        <w:rPr>
          <w:rFonts w:ascii="Times New Roman" w:hAnsi="Times New Roman" w:cs="Times New Roman"/>
          <w:color w:val="000000" w:themeColor="text1"/>
          <w:lang w:val="uk-UA" w:eastAsia="ru-RU"/>
        </w:rPr>
        <w:t xml:space="preserve">ування на основі софосбувіру. </w:t>
      </w:r>
      <w:r w:rsidR="005047D7">
        <w:rPr>
          <w:rFonts w:ascii="Times New Roman" w:hAnsi="Times New Roman" w:cs="Times New Roman"/>
          <w:color w:val="000000" w:themeColor="text1"/>
          <w:lang w:val="uk-UA" w:eastAsia="ru-RU"/>
        </w:rPr>
        <w:t>Існує ймовірність того, що с</w:t>
      </w:r>
      <w:r w:rsidRPr="005D4573">
        <w:rPr>
          <w:rFonts w:ascii="Times New Roman" w:hAnsi="Times New Roman" w:cs="Times New Roman"/>
          <w:color w:val="000000" w:themeColor="text1"/>
          <w:lang w:val="uk-UA" w:eastAsia="ru-RU"/>
        </w:rPr>
        <w:t xml:space="preserve">хеми </w:t>
      </w:r>
      <w:r>
        <w:rPr>
          <w:rFonts w:ascii="Times New Roman" w:hAnsi="Times New Roman" w:cs="Times New Roman"/>
          <w:color w:val="000000" w:themeColor="text1"/>
          <w:lang w:val="uk-UA" w:eastAsia="ru-RU"/>
        </w:rPr>
        <w:t>із застосуванням с</w:t>
      </w:r>
      <w:r w:rsidRPr="005D4573">
        <w:rPr>
          <w:rFonts w:ascii="Times New Roman" w:hAnsi="Times New Roman" w:cs="Times New Roman"/>
          <w:color w:val="000000" w:themeColor="text1"/>
          <w:lang w:val="uk-UA" w:eastAsia="ru-RU"/>
        </w:rPr>
        <w:t>офосбувір</w:t>
      </w:r>
      <w:r>
        <w:rPr>
          <w:rFonts w:ascii="Times New Roman" w:hAnsi="Times New Roman" w:cs="Times New Roman"/>
          <w:color w:val="000000" w:themeColor="text1"/>
          <w:lang w:val="uk-UA" w:eastAsia="ru-RU"/>
        </w:rPr>
        <w:t>у</w:t>
      </w:r>
      <w:r w:rsidRPr="005D4573">
        <w:rPr>
          <w:rFonts w:ascii="Times New Roman" w:hAnsi="Times New Roman" w:cs="Times New Roman"/>
          <w:color w:val="000000" w:themeColor="text1"/>
          <w:lang w:val="uk-UA" w:eastAsia="ru-RU"/>
        </w:rPr>
        <w:t xml:space="preserve"> </w:t>
      </w:r>
      <w:r>
        <w:rPr>
          <w:rFonts w:ascii="Times New Roman" w:hAnsi="Times New Roman" w:cs="Times New Roman"/>
          <w:color w:val="000000" w:themeColor="text1"/>
          <w:lang w:val="uk-UA" w:eastAsia="ru-RU"/>
        </w:rPr>
        <w:t xml:space="preserve">без </w:t>
      </w:r>
      <w:r w:rsidRPr="005D4573">
        <w:rPr>
          <w:rFonts w:ascii="Times New Roman" w:hAnsi="Times New Roman" w:cs="Times New Roman"/>
          <w:color w:val="000000" w:themeColor="text1"/>
          <w:lang w:val="uk-UA" w:eastAsia="ru-RU"/>
        </w:rPr>
        <w:t>аміодарону</w:t>
      </w:r>
      <w:r>
        <w:rPr>
          <w:rFonts w:ascii="Times New Roman" w:hAnsi="Times New Roman" w:cs="Times New Roman"/>
          <w:color w:val="000000" w:themeColor="text1"/>
          <w:lang w:val="uk-UA" w:eastAsia="ru-RU"/>
        </w:rPr>
        <w:t xml:space="preserve"> теж </w:t>
      </w:r>
      <w:r w:rsidR="005047D7">
        <w:rPr>
          <w:rFonts w:ascii="Times New Roman" w:hAnsi="Times New Roman" w:cs="Times New Roman"/>
          <w:color w:val="000000" w:themeColor="text1"/>
          <w:lang w:val="uk-UA" w:eastAsia="ru-RU"/>
        </w:rPr>
        <w:t>сприяють розвитку кардіотоксичності, утім це залишається спірним питанням.</w:t>
      </w:r>
      <w:r w:rsidRPr="005D4573">
        <w:rPr>
          <w:rFonts w:ascii="Times New Roman" w:hAnsi="Times New Roman" w:cs="Times New Roman"/>
          <w:color w:val="000000" w:themeColor="text1"/>
          <w:lang w:val="uk-UA" w:eastAsia="ru-RU"/>
        </w:rPr>
        <w:t xml:space="preserve"> За відсутності конкретних даних про взаємодію лікарських засобів, слід обережно застосовувати антиаритмічні препарати, крім аміодарону.</w:t>
      </w:r>
    </w:p>
    <w:p w14:paraId="4DDC95F6" w14:textId="77777777" w:rsidR="00E9283D" w:rsidRPr="00CE017A" w:rsidRDefault="00E9283D" w:rsidP="00E9283D">
      <w:pPr>
        <w:spacing w:beforeAutospacing="1" w:afterAutospacing="1"/>
        <w:jc w:val="both"/>
        <w:textAlignment w:val="baseline"/>
        <w:rPr>
          <w:rFonts w:ascii="Times New Roman" w:hAnsi="Times New Roman" w:cs="Times New Roman"/>
          <w:b/>
          <w:color w:val="2E74B5" w:themeColor="accent1" w:themeShade="BF"/>
          <w:lang w:val="uk-UA" w:eastAsia="ru-RU"/>
        </w:rPr>
      </w:pPr>
      <w:r>
        <w:rPr>
          <w:rFonts w:ascii="Times New Roman" w:hAnsi="Times New Roman" w:cs="Times New Roman"/>
          <w:b/>
          <w:color w:val="2E74B5" w:themeColor="accent1" w:themeShade="BF"/>
          <w:lang w:val="uk-UA" w:eastAsia="ru-RU"/>
        </w:rPr>
        <w:t>Софосбувір і ле</w:t>
      </w:r>
      <w:r w:rsidRPr="00CE017A">
        <w:rPr>
          <w:rFonts w:ascii="Times New Roman" w:hAnsi="Times New Roman" w:cs="Times New Roman"/>
          <w:b/>
          <w:color w:val="2E74B5" w:themeColor="accent1" w:themeShade="BF"/>
          <w:lang w:val="uk-UA" w:eastAsia="ru-RU"/>
        </w:rPr>
        <w:t>діпасвір</w:t>
      </w:r>
    </w:p>
    <w:p w14:paraId="2271E88B" w14:textId="3F01E7D6" w:rsidR="00E9283D" w:rsidRPr="00D45EE4" w:rsidRDefault="00E9283D" w:rsidP="005C66E8">
      <w:pPr>
        <w:tabs>
          <w:tab w:val="left" w:pos="1089"/>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eastAsia="ru-RU"/>
        </w:rPr>
        <w:t>Софосбувір і ле</w:t>
      </w:r>
      <w:r w:rsidRPr="00CE017A">
        <w:rPr>
          <w:rFonts w:ascii="Times New Roman" w:hAnsi="Times New Roman" w:cs="Times New Roman"/>
          <w:color w:val="000000" w:themeColor="text1"/>
          <w:lang w:val="uk-UA" w:eastAsia="ru-RU"/>
        </w:rPr>
        <w:t>діпасвір доступні</w:t>
      </w:r>
      <w:r w:rsidR="005C66E8">
        <w:rPr>
          <w:rFonts w:ascii="Times New Roman" w:hAnsi="Times New Roman" w:cs="Times New Roman"/>
          <w:color w:val="000000" w:themeColor="text1"/>
          <w:lang w:val="uk-UA" w:eastAsia="ru-RU"/>
        </w:rPr>
        <w:t xml:space="preserve"> як</w:t>
      </w:r>
      <w:r w:rsidRPr="00CE017A">
        <w:rPr>
          <w:rFonts w:ascii="Times New Roman" w:hAnsi="Times New Roman" w:cs="Times New Roman"/>
          <w:color w:val="000000" w:themeColor="text1"/>
          <w:lang w:val="uk-UA" w:eastAsia="ru-RU"/>
        </w:rPr>
        <w:t xml:space="preserve"> комбінаці</w:t>
      </w:r>
      <w:r w:rsidR="005C66E8">
        <w:rPr>
          <w:rFonts w:ascii="Times New Roman" w:hAnsi="Times New Roman" w:cs="Times New Roman"/>
          <w:color w:val="000000" w:themeColor="text1"/>
          <w:lang w:val="uk-UA" w:eastAsia="ru-RU"/>
        </w:rPr>
        <w:t>я</w:t>
      </w:r>
      <w:r w:rsidRPr="00CE017A">
        <w:rPr>
          <w:rFonts w:ascii="Times New Roman" w:hAnsi="Times New Roman" w:cs="Times New Roman"/>
          <w:color w:val="000000" w:themeColor="text1"/>
          <w:lang w:val="uk-UA" w:eastAsia="ru-RU"/>
        </w:rPr>
        <w:t xml:space="preserve"> </w:t>
      </w:r>
      <w:r>
        <w:rPr>
          <w:rFonts w:ascii="Times New Roman" w:hAnsi="Times New Roman" w:cs="Times New Roman"/>
          <w:color w:val="000000" w:themeColor="text1"/>
          <w:lang w:val="uk-UA" w:eastAsia="ru-RU"/>
        </w:rPr>
        <w:t>дв</w:t>
      </w:r>
      <w:r w:rsidR="005C66E8">
        <w:rPr>
          <w:rFonts w:ascii="Times New Roman" w:hAnsi="Times New Roman" w:cs="Times New Roman"/>
          <w:color w:val="000000" w:themeColor="text1"/>
          <w:lang w:val="uk-UA" w:eastAsia="ru-RU"/>
        </w:rPr>
        <w:t>ох</w:t>
      </w:r>
      <w:r>
        <w:rPr>
          <w:rFonts w:ascii="Times New Roman" w:hAnsi="Times New Roman" w:cs="Times New Roman"/>
          <w:color w:val="000000" w:themeColor="text1"/>
          <w:lang w:val="uk-UA" w:eastAsia="ru-RU"/>
        </w:rPr>
        <w:t xml:space="preserve"> препарат</w:t>
      </w:r>
      <w:r w:rsidR="005C66E8">
        <w:rPr>
          <w:rFonts w:ascii="Times New Roman" w:hAnsi="Times New Roman" w:cs="Times New Roman"/>
          <w:color w:val="000000" w:themeColor="text1"/>
          <w:lang w:val="uk-UA" w:eastAsia="ru-RU"/>
        </w:rPr>
        <w:t>ів</w:t>
      </w:r>
      <w:r w:rsidRPr="00CE017A">
        <w:rPr>
          <w:rFonts w:ascii="Times New Roman" w:hAnsi="Times New Roman" w:cs="Times New Roman"/>
          <w:color w:val="000000" w:themeColor="text1"/>
          <w:lang w:val="uk-UA" w:eastAsia="ru-RU"/>
        </w:rPr>
        <w:t xml:space="preserve"> </w:t>
      </w:r>
      <w:r>
        <w:rPr>
          <w:rFonts w:ascii="Times New Roman" w:hAnsi="Times New Roman" w:cs="Times New Roman"/>
          <w:color w:val="000000" w:themeColor="text1"/>
          <w:lang w:val="uk-UA" w:eastAsia="ru-RU"/>
        </w:rPr>
        <w:t>з фіксованою дозою</w:t>
      </w:r>
      <w:r w:rsidRPr="00CE017A">
        <w:rPr>
          <w:rFonts w:ascii="Times New Roman" w:hAnsi="Times New Roman" w:cs="Times New Roman"/>
          <w:color w:val="000000" w:themeColor="text1"/>
          <w:lang w:val="uk-UA" w:eastAsia="ru-RU"/>
        </w:rPr>
        <w:t>, що містять 400 мг софосбувіру та 90 мг леді</w:t>
      </w:r>
      <w:r w:rsidR="005047D7">
        <w:rPr>
          <w:rFonts w:ascii="Times New Roman" w:hAnsi="Times New Roman" w:cs="Times New Roman"/>
          <w:color w:val="000000" w:themeColor="text1"/>
          <w:lang w:val="uk-UA" w:eastAsia="ru-RU"/>
        </w:rPr>
        <w:t>п</w:t>
      </w:r>
      <w:r w:rsidRPr="00CE017A">
        <w:rPr>
          <w:rFonts w:ascii="Times New Roman" w:hAnsi="Times New Roman" w:cs="Times New Roman"/>
          <w:color w:val="000000" w:themeColor="text1"/>
          <w:lang w:val="uk-UA" w:eastAsia="ru-RU"/>
        </w:rPr>
        <w:t>а</w:t>
      </w:r>
      <w:r w:rsidR="005047D7">
        <w:rPr>
          <w:rFonts w:ascii="Times New Roman" w:hAnsi="Times New Roman" w:cs="Times New Roman"/>
          <w:color w:val="000000" w:themeColor="text1"/>
          <w:lang w:val="uk-UA" w:eastAsia="ru-RU"/>
        </w:rPr>
        <w:t>с</w:t>
      </w:r>
      <w:r w:rsidRPr="00CE017A">
        <w:rPr>
          <w:rFonts w:ascii="Times New Roman" w:hAnsi="Times New Roman" w:cs="Times New Roman"/>
          <w:color w:val="000000" w:themeColor="text1"/>
          <w:lang w:val="uk-UA" w:eastAsia="ru-RU"/>
        </w:rPr>
        <w:t xml:space="preserve">віру в одній таблетці. Рекомендована доза комбінації </w:t>
      </w:r>
      <w:r w:rsidR="00FC6D8A">
        <w:rPr>
          <w:rFonts w:ascii="Times New Roman" w:hAnsi="Times New Roman" w:cs="Times New Roman"/>
          <w:color w:val="000000" w:themeColor="text1"/>
          <w:lang w:val="uk-UA" w:eastAsia="ru-RU"/>
        </w:rPr>
        <w:t>–</w:t>
      </w:r>
      <w:r w:rsidRPr="00CE017A">
        <w:rPr>
          <w:rFonts w:ascii="Times New Roman" w:hAnsi="Times New Roman" w:cs="Times New Roman"/>
          <w:color w:val="000000" w:themeColor="text1"/>
          <w:lang w:val="uk-UA" w:eastAsia="ru-RU"/>
        </w:rPr>
        <w:t xml:space="preserve"> одна таблетка, що приймається перорально один раз у день </w:t>
      </w:r>
      <w:r w:rsidR="005C66E8">
        <w:rPr>
          <w:rFonts w:ascii="Times New Roman" w:hAnsi="Times New Roman" w:cs="Times New Roman"/>
          <w:color w:val="000000" w:themeColor="text1"/>
          <w:lang w:val="uk-UA" w:eastAsia="ru-RU"/>
        </w:rPr>
        <w:t>незалежно від прийому</w:t>
      </w:r>
      <w:r w:rsidRPr="00CE017A">
        <w:rPr>
          <w:rFonts w:ascii="Times New Roman" w:hAnsi="Times New Roman" w:cs="Times New Roman"/>
          <w:color w:val="000000" w:themeColor="text1"/>
          <w:lang w:val="uk-UA" w:eastAsia="ru-RU"/>
        </w:rPr>
        <w:t xml:space="preserve"> їж</w:t>
      </w:r>
      <w:r w:rsidR="005047D7">
        <w:rPr>
          <w:rFonts w:ascii="Times New Roman" w:hAnsi="Times New Roman" w:cs="Times New Roman"/>
          <w:color w:val="000000" w:themeColor="text1"/>
          <w:lang w:val="uk-UA" w:eastAsia="ru-RU"/>
        </w:rPr>
        <w:t>і</w:t>
      </w:r>
      <w:r w:rsidRPr="00CE017A">
        <w:rPr>
          <w:rFonts w:ascii="Times New Roman" w:hAnsi="Times New Roman" w:cs="Times New Roman"/>
          <w:color w:val="000000" w:themeColor="text1"/>
          <w:lang w:val="uk-UA" w:eastAsia="ru-RU"/>
        </w:rPr>
        <w:t>.</w:t>
      </w:r>
      <w:r>
        <w:rPr>
          <w:rFonts w:ascii="Times New Roman" w:hAnsi="Times New Roman" w:cs="Times New Roman"/>
          <w:color w:val="000000" w:themeColor="text1"/>
          <w:lang w:val="uk-UA" w:eastAsia="ru-RU"/>
        </w:rPr>
        <w:t xml:space="preserve"> </w:t>
      </w:r>
      <w:r w:rsidRPr="00D052AE">
        <w:rPr>
          <w:rFonts w:ascii="Times New Roman" w:hAnsi="Times New Roman" w:cs="Times New Roman"/>
          <w:color w:val="000000" w:themeColor="text1"/>
          <w:lang w:val="uk-UA"/>
        </w:rPr>
        <w:t>Біліарна екскреція є основним шляхом виведення</w:t>
      </w:r>
      <w:r>
        <w:rPr>
          <w:rFonts w:ascii="Times New Roman" w:hAnsi="Times New Roman" w:cs="Times New Roman"/>
          <w:color w:val="000000" w:themeColor="text1"/>
          <w:lang w:val="uk-UA"/>
        </w:rPr>
        <w:t xml:space="preserve"> </w:t>
      </w:r>
      <w:r w:rsidRPr="00D052AE">
        <w:rPr>
          <w:rFonts w:ascii="Times New Roman" w:hAnsi="Times New Roman" w:cs="Times New Roman"/>
          <w:color w:val="000000" w:themeColor="text1"/>
          <w:lang w:val="uk-UA"/>
        </w:rPr>
        <w:t>незміненого ледіпасвіру</w:t>
      </w:r>
      <w:r>
        <w:rPr>
          <w:rFonts w:ascii="Times New Roman" w:hAnsi="Times New Roman" w:cs="Times New Roman"/>
          <w:color w:val="000000" w:themeColor="text1"/>
          <w:lang w:val="uk-UA"/>
        </w:rPr>
        <w:t xml:space="preserve">, а ренальна є незначною (і </w:t>
      </w:r>
      <w:r w:rsidRPr="00D45EE4">
        <w:rPr>
          <w:rFonts w:ascii="Times New Roman" w:hAnsi="Times New Roman" w:cs="Times New Roman"/>
          <w:color w:val="000000" w:themeColor="text1"/>
          <w:lang w:val="uk-UA"/>
        </w:rPr>
        <w:t>становить приблизно 1%), тоді як софосбувір в основному ви</w:t>
      </w:r>
      <w:r>
        <w:rPr>
          <w:rFonts w:ascii="Times New Roman" w:hAnsi="Times New Roman" w:cs="Times New Roman"/>
          <w:color w:val="000000" w:themeColor="text1"/>
          <w:lang w:val="uk-UA"/>
        </w:rPr>
        <w:t>водиться</w:t>
      </w:r>
      <w:r w:rsidRPr="00D45EE4">
        <w:rPr>
          <w:rFonts w:ascii="Times New Roman" w:hAnsi="Times New Roman" w:cs="Times New Roman"/>
          <w:color w:val="000000" w:themeColor="text1"/>
          <w:lang w:val="uk-UA"/>
        </w:rPr>
        <w:t xml:space="preserve"> нирками, я</w:t>
      </w:r>
      <w:r>
        <w:rPr>
          <w:rFonts w:ascii="Times New Roman" w:hAnsi="Times New Roman" w:cs="Times New Roman"/>
          <w:color w:val="000000" w:themeColor="text1"/>
          <w:lang w:val="uk-UA"/>
        </w:rPr>
        <w:t>к зазначено вище. Після початку прийому софосбувіру/</w:t>
      </w:r>
      <w:r w:rsidRPr="00D052AE">
        <w:rPr>
          <w:rFonts w:ascii="Times New Roman" w:hAnsi="Times New Roman" w:cs="Times New Roman"/>
          <w:color w:val="000000" w:themeColor="text1"/>
          <w:lang w:val="uk-UA"/>
        </w:rPr>
        <w:t>ледіпасвір</w:t>
      </w:r>
      <w:r>
        <w:rPr>
          <w:rFonts w:ascii="Times New Roman" w:hAnsi="Times New Roman" w:cs="Times New Roman"/>
          <w:color w:val="000000" w:themeColor="text1"/>
          <w:lang w:val="uk-UA"/>
        </w:rPr>
        <w:t>у</w:t>
      </w:r>
      <w:r w:rsidRPr="00D45EE4">
        <w:rPr>
          <w:rFonts w:ascii="Times New Roman" w:hAnsi="Times New Roman" w:cs="Times New Roman"/>
          <w:color w:val="000000" w:themeColor="text1"/>
          <w:lang w:val="uk-UA"/>
        </w:rPr>
        <w:t xml:space="preserve"> серед</w:t>
      </w:r>
      <w:r>
        <w:rPr>
          <w:rFonts w:ascii="Times New Roman" w:hAnsi="Times New Roman" w:cs="Times New Roman"/>
          <w:color w:val="000000" w:themeColor="text1"/>
          <w:lang w:val="uk-UA"/>
        </w:rPr>
        <w:t>ній період напіввиведення софосбувіру та його предомінантного</w:t>
      </w:r>
      <w:r w:rsidRPr="00D45EE4">
        <w:rPr>
          <w:rFonts w:ascii="Times New Roman" w:hAnsi="Times New Roman" w:cs="Times New Roman"/>
          <w:color w:val="000000" w:themeColor="text1"/>
          <w:lang w:val="uk-UA"/>
        </w:rPr>
        <w:t xml:space="preserve"> метаболіту GS</w:t>
      </w:r>
      <w:r w:rsidR="00FC6D8A">
        <w:rPr>
          <w:rFonts w:ascii="Times New Roman" w:hAnsi="Times New Roman" w:cs="Times New Roman"/>
          <w:color w:val="000000" w:themeColor="text1"/>
          <w:lang w:val="uk-UA"/>
        </w:rPr>
        <w:t>–</w:t>
      </w:r>
      <w:r w:rsidRPr="00D45EE4">
        <w:rPr>
          <w:rFonts w:ascii="Times New Roman" w:hAnsi="Times New Roman" w:cs="Times New Roman"/>
          <w:color w:val="000000" w:themeColor="text1"/>
          <w:lang w:val="uk-UA"/>
        </w:rPr>
        <w:t xml:space="preserve">331007 склав 0,5 та 27 годин, відповідно. Ні софосбувір, ні </w:t>
      </w:r>
      <w:r>
        <w:rPr>
          <w:rFonts w:ascii="Times New Roman" w:hAnsi="Times New Roman" w:cs="Times New Roman"/>
          <w:color w:val="000000" w:themeColor="text1"/>
          <w:lang w:val="uk-UA"/>
        </w:rPr>
        <w:t>ледіпасвір</w:t>
      </w:r>
      <w:r w:rsidRPr="00D45EE4">
        <w:rPr>
          <w:rFonts w:ascii="Times New Roman" w:hAnsi="Times New Roman" w:cs="Times New Roman"/>
          <w:color w:val="000000" w:themeColor="text1"/>
          <w:lang w:val="uk-UA"/>
        </w:rPr>
        <w:t xml:space="preserve"> не є субстратами </w:t>
      </w:r>
      <w:r w:rsidRPr="00A755EF">
        <w:rPr>
          <w:rFonts w:ascii="Times New Roman" w:hAnsi="Times New Roman" w:cs="Times New Roman"/>
          <w:color w:val="000000" w:themeColor="text1"/>
          <w:lang w:val="uk-UA"/>
        </w:rPr>
        <w:t>транспортер</w:t>
      </w:r>
      <w:r>
        <w:rPr>
          <w:rFonts w:ascii="Times New Roman" w:hAnsi="Times New Roman" w:cs="Times New Roman"/>
          <w:color w:val="000000" w:themeColor="text1"/>
          <w:lang w:val="uk-UA"/>
        </w:rPr>
        <w:t>ів</w:t>
      </w:r>
      <w:r w:rsidRPr="00A755EF">
        <w:rPr>
          <w:rFonts w:ascii="Times New Roman" w:hAnsi="Times New Roman" w:cs="Times New Roman"/>
          <w:color w:val="000000" w:themeColor="text1"/>
          <w:lang w:val="uk-UA"/>
        </w:rPr>
        <w:t xml:space="preserve"> печінкового захвату</w:t>
      </w:r>
      <w:r w:rsidRPr="00D45EE4">
        <w:rPr>
          <w:rFonts w:ascii="Times New Roman" w:hAnsi="Times New Roman" w:cs="Times New Roman"/>
          <w:color w:val="000000" w:themeColor="text1"/>
          <w:lang w:val="uk-UA"/>
        </w:rPr>
        <w:t>; GS</w:t>
      </w:r>
      <w:r w:rsidR="00FC6D8A">
        <w:rPr>
          <w:rFonts w:ascii="Times New Roman" w:hAnsi="Times New Roman" w:cs="Times New Roman"/>
          <w:color w:val="000000" w:themeColor="text1"/>
          <w:lang w:val="uk-UA"/>
        </w:rPr>
        <w:t>–</w:t>
      </w:r>
      <w:r w:rsidRPr="00D45EE4">
        <w:rPr>
          <w:rFonts w:ascii="Times New Roman" w:hAnsi="Times New Roman" w:cs="Times New Roman"/>
          <w:color w:val="000000" w:themeColor="text1"/>
          <w:lang w:val="uk-UA"/>
        </w:rPr>
        <w:t>331007 не є субстратом для ниркових транспортерів.</w:t>
      </w:r>
    </w:p>
    <w:p w14:paraId="06794667" w14:textId="2282645C" w:rsidR="00E9283D" w:rsidRPr="00C92E83" w:rsidRDefault="006D1EC8" w:rsidP="00FF03A4">
      <w:pPr>
        <w:spacing w:beforeAutospacing="1" w:afterAutospacing="1"/>
        <w:jc w:val="both"/>
        <w:textAlignment w:val="baseline"/>
        <w:rPr>
          <w:rFonts w:ascii="Times New Roman" w:hAnsi="Times New Roman" w:cs="Times New Roman"/>
          <w:b/>
          <w:color w:val="000000" w:themeColor="text1"/>
          <w:lang w:val="uk-UA" w:eastAsia="ru-RU"/>
        </w:rPr>
      </w:pPr>
      <w:r w:rsidRPr="00C92E83">
        <w:rPr>
          <w:rFonts w:ascii="Times New Roman" w:hAnsi="Times New Roman" w:cs="Times New Roman"/>
          <w:b/>
          <w:color w:val="000000" w:themeColor="text1"/>
          <w:lang w:val="uk-UA" w:eastAsia="ru-RU"/>
        </w:rPr>
        <w:t xml:space="preserve">Таблиця 3. </w:t>
      </w:r>
      <w:r w:rsidR="00C92E83" w:rsidRPr="00C92E83">
        <w:rPr>
          <w:rFonts w:ascii="Times New Roman" w:hAnsi="Times New Roman" w:cs="Times New Roman"/>
          <w:b/>
          <w:color w:val="000000" w:themeColor="text1"/>
          <w:lang w:val="uk-UA" w:eastAsia="ru-RU"/>
        </w:rPr>
        <w:t xml:space="preserve">Препарати прямої противірусної дії (ПППД), </w:t>
      </w:r>
      <w:r w:rsidR="00C92E83">
        <w:rPr>
          <w:rFonts w:ascii="Times New Roman" w:hAnsi="Times New Roman" w:cs="Times New Roman"/>
          <w:b/>
          <w:color w:val="000000" w:themeColor="text1"/>
          <w:lang w:val="uk-UA" w:eastAsia="ru-RU"/>
        </w:rPr>
        <w:t>наявні</w:t>
      </w:r>
      <w:r w:rsidR="00C92E83" w:rsidRPr="00C92E83">
        <w:rPr>
          <w:rFonts w:ascii="Times New Roman" w:hAnsi="Times New Roman" w:cs="Times New Roman"/>
          <w:b/>
          <w:color w:val="000000" w:themeColor="text1"/>
          <w:lang w:val="uk-UA" w:eastAsia="ru-RU"/>
        </w:rPr>
        <w:t xml:space="preserve"> в Європі у 2018 році і рекомендовані у </w:t>
      </w:r>
      <w:r w:rsidR="00C92E83">
        <w:rPr>
          <w:rFonts w:ascii="Times New Roman" w:hAnsi="Times New Roman" w:cs="Times New Roman"/>
          <w:b/>
          <w:color w:val="000000" w:themeColor="text1"/>
          <w:lang w:val="uk-UA" w:eastAsia="ru-RU"/>
        </w:rPr>
        <w:t>цьому керівництві</w:t>
      </w:r>
    </w:p>
    <w:tbl>
      <w:tblPr>
        <w:tblStyle w:val="-211"/>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2797"/>
        <w:gridCol w:w="3010"/>
      </w:tblGrid>
      <w:tr w:rsidR="007A67FE" w14:paraId="3604D42E" w14:textId="77777777" w:rsidTr="005C6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Borders>
              <w:top w:val="none" w:sz="0" w:space="0" w:color="auto"/>
              <w:bottom w:val="none" w:sz="0" w:space="0" w:color="auto"/>
              <w:right w:val="none" w:sz="0" w:space="0" w:color="auto"/>
            </w:tcBorders>
          </w:tcPr>
          <w:p w14:paraId="077DA9B5" w14:textId="15880A53" w:rsidR="007A67FE" w:rsidRPr="00CE017A" w:rsidRDefault="007A67FE" w:rsidP="00AC6D39">
            <w:pPr>
              <w:spacing w:beforeAutospacing="1" w:afterAutospacing="1"/>
              <w:jc w:val="both"/>
              <w:textAlignment w:val="baseline"/>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 xml:space="preserve">Препарат </w:t>
            </w:r>
          </w:p>
        </w:tc>
        <w:tc>
          <w:tcPr>
            <w:tcW w:w="2797" w:type="dxa"/>
            <w:tcBorders>
              <w:top w:val="none" w:sz="0" w:space="0" w:color="auto"/>
              <w:left w:val="none" w:sz="0" w:space="0" w:color="auto"/>
              <w:bottom w:val="none" w:sz="0" w:space="0" w:color="auto"/>
              <w:right w:val="none" w:sz="0" w:space="0" w:color="auto"/>
            </w:tcBorders>
          </w:tcPr>
          <w:p w14:paraId="7AE4330F" w14:textId="77777777" w:rsidR="007A67FE" w:rsidRPr="00CE017A" w:rsidRDefault="007A67FE" w:rsidP="00AC6D39">
            <w:pPr>
              <w:spacing w:beforeAutospacing="1" w:afterAutospacing="1"/>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Форма</w:t>
            </w:r>
          </w:p>
        </w:tc>
        <w:tc>
          <w:tcPr>
            <w:tcW w:w="3010" w:type="dxa"/>
            <w:tcBorders>
              <w:top w:val="none" w:sz="0" w:space="0" w:color="auto"/>
              <w:left w:val="none" w:sz="0" w:space="0" w:color="auto"/>
              <w:bottom w:val="none" w:sz="0" w:space="0" w:color="auto"/>
            </w:tcBorders>
          </w:tcPr>
          <w:p w14:paraId="1F87C106" w14:textId="77777777" w:rsidR="007A67FE" w:rsidRPr="005307CE" w:rsidRDefault="007A67FE" w:rsidP="00AC6D39">
            <w:pPr>
              <w:spacing w:beforeAutospacing="1" w:afterAutospacing="1"/>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Дозування</w:t>
            </w:r>
          </w:p>
        </w:tc>
      </w:tr>
      <w:tr w:rsidR="005C66E8" w14:paraId="3C395D1D" w14:textId="77777777" w:rsidTr="005C6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40" w:type="dxa"/>
            <w:gridSpan w:val="3"/>
          </w:tcPr>
          <w:p w14:paraId="12E37CD9" w14:textId="32F59B94" w:rsidR="005C66E8" w:rsidRDefault="005C66E8" w:rsidP="00AC6D39">
            <w:pPr>
              <w:spacing w:beforeAutospacing="1" w:afterAutospacing="1"/>
              <w:jc w:val="both"/>
              <w:textAlignment w:val="baseline"/>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Пангенотипні препарати/комбінація</w:t>
            </w:r>
          </w:p>
        </w:tc>
      </w:tr>
      <w:tr w:rsidR="007A67FE" w14:paraId="756E6173" w14:textId="77777777" w:rsidTr="005C66E8">
        <w:tc>
          <w:tcPr>
            <w:cnfStyle w:val="001000000000" w:firstRow="0" w:lastRow="0" w:firstColumn="1" w:lastColumn="0" w:oddVBand="0" w:evenVBand="0" w:oddHBand="0" w:evenHBand="0" w:firstRowFirstColumn="0" w:firstRowLastColumn="0" w:lastRowFirstColumn="0" w:lastRowLastColumn="0"/>
            <w:tcW w:w="4433" w:type="dxa"/>
          </w:tcPr>
          <w:p w14:paraId="7FB5E890" w14:textId="77777777" w:rsidR="007A67FE" w:rsidRDefault="007A67FE" w:rsidP="00AC6D39">
            <w:pPr>
              <w:spacing w:beforeAutospacing="1" w:afterAutospacing="1"/>
              <w:jc w:val="both"/>
              <w:textAlignment w:val="baseline"/>
              <w:rPr>
                <w:rFonts w:ascii="Times New Roman" w:hAnsi="Times New Roman" w:cs="Times New Roman"/>
                <w:color w:val="000000" w:themeColor="text1"/>
                <w:lang w:val="uk-UA" w:eastAsia="ru-RU"/>
              </w:rPr>
            </w:pPr>
            <w:r w:rsidRPr="005307CE">
              <w:rPr>
                <w:rFonts w:ascii="Times New Roman" w:hAnsi="Times New Roman" w:cs="Times New Roman"/>
                <w:color w:val="000000" w:themeColor="text1"/>
                <w:lang w:val="uk-UA" w:eastAsia="ru-RU"/>
              </w:rPr>
              <w:t>Софосбувір</w:t>
            </w:r>
          </w:p>
        </w:tc>
        <w:tc>
          <w:tcPr>
            <w:tcW w:w="2797" w:type="dxa"/>
          </w:tcPr>
          <w:p w14:paraId="00A7E403" w14:textId="77777777" w:rsidR="007A67FE" w:rsidRDefault="007A67FE" w:rsidP="00AC6D39">
            <w:pPr>
              <w:spacing w:beforeAutospacing="1" w:afterAutospacing="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uk-UA" w:eastAsia="ru-RU"/>
              </w:rPr>
            </w:pPr>
            <w:r w:rsidRPr="00AA0D2D">
              <w:rPr>
                <w:rFonts w:ascii="Times New Roman" w:hAnsi="Times New Roman" w:cs="Times New Roman"/>
                <w:color w:val="000000" w:themeColor="text1"/>
                <w:lang w:val="uk-UA" w:eastAsia="ru-RU"/>
              </w:rPr>
              <w:t>Таблетки, що містять 400 мг софосбувіру</w:t>
            </w:r>
          </w:p>
        </w:tc>
        <w:tc>
          <w:tcPr>
            <w:tcW w:w="3010" w:type="dxa"/>
          </w:tcPr>
          <w:p w14:paraId="43E2F8C4" w14:textId="77777777" w:rsidR="007A67FE" w:rsidRDefault="007A67FE" w:rsidP="00AC6D39">
            <w:pPr>
              <w:spacing w:beforeAutospacing="1" w:afterAutospacing="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uk-UA" w:eastAsia="ru-RU"/>
              </w:rPr>
            </w:pPr>
            <w:r w:rsidRPr="00D31295">
              <w:rPr>
                <w:rFonts w:ascii="Times New Roman" w:hAnsi="Times New Roman" w:cs="Times New Roman"/>
                <w:color w:val="000000" w:themeColor="text1"/>
                <w:lang w:val="uk-UA" w:eastAsia="ru-RU"/>
              </w:rPr>
              <w:t>Одна таблетка раз на день</w:t>
            </w:r>
          </w:p>
        </w:tc>
      </w:tr>
      <w:tr w:rsidR="007A67FE" w14:paraId="11A0E64C" w14:textId="77777777" w:rsidTr="005C6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269D73D0" w14:textId="77777777" w:rsidR="007A67FE" w:rsidRDefault="007A67FE" w:rsidP="00AC6D39">
            <w:pPr>
              <w:spacing w:beforeAutospacing="1" w:afterAutospacing="1"/>
              <w:jc w:val="both"/>
              <w:textAlignment w:val="baseline"/>
              <w:rPr>
                <w:rFonts w:ascii="Times New Roman" w:hAnsi="Times New Roman" w:cs="Times New Roman"/>
                <w:color w:val="000000" w:themeColor="text1"/>
                <w:lang w:val="uk-UA" w:eastAsia="ru-RU"/>
              </w:rPr>
            </w:pPr>
            <w:r w:rsidRPr="005307CE">
              <w:rPr>
                <w:rFonts w:ascii="Times New Roman" w:hAnsi="Times New Roman" w:cs="Times New Roman"/>
                <w:color w:val="000000" w:themeColor="text1"/>
                <w:lang w:val="uk-UA" w:eastAsia="ru-RU"/>
              </w:rPr>
              <w:t>Софосбувір/велпатасвір</w:t>
            </w:r>
          </w:p>
        </w:tc>
        <w:tc>
          <w:tcPr>
            <w:tcW w:w="2797" w:type="dxa"/>
          </w:tcPr>
          <w:p w14:paraId="0170AFEF" w14:textId="77777777" w:rsidR="007A67FE" w:rsidRDefault="007A67FE" w:rsidP="00AC6D39">
            <w:pPr>
              <w:spacing w:beforeAutospacing="1" w:afterAutospacing="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uk-UA" w:eastAsia="ru-RU"/>
              </w:rPr>
            </w:pPr>
            <w:r w:rsidRPr="00AA0D2D">
              <w:rPr>
                <w:rFonts w:ascii="Times New Roman" w:hAnsi="Times New Roman" w:cs="Times New Roman"/>
                <w:color w:val="000000" w:themeColor="text1"/>
                <w:lang w:val="uk-UA" w:eastAsia="ru-RU"/>
              </w:rPr>
              <w:t xml:space="preserve">Таблетки, що містять 400 мг софосбувіру і 100 мг </w:t>
            </w:r>
            <w:r w:rsidRPr="005307CE">
              <w:rPr>
                <w:rFonts w:ascii="Times New Roman" w:hAnsi="Times New Roman" w:cs="Times New Roman"/>
                <w:color w:val="000000" w:themeColor="text1"/>
                <w:lang w:val="uk-UA" w:eastAsia="ru-RU"/>
              </w:rPr>
              <w:t>велпатасвір</w:t>
            </w:r>
            <w:r>
              <w:rPr>
                <w:rFonts w:ascii="Times New Roman" w:hAnsi="Times New Roman" w:cs="Times New Roman"/>
                <w:color w:val="000000" w:themeColor="text1"/>
                <w:lang w:val="uk-UA" w:eastAsia="ru-RU"/>
              </w:rPr>
              <w:t>у</w:t>
            </w:r>
          </w:p>
        </w:tc>
        <w:tc>
          <w:tcPr>
            <w:tcW w:w="3010" w:type="dxa"/>
          </w:tcPr>
          <w:p w14:paraId="5B1A0E3B" w14:textId="77777777" w:rsidR="007A67FE" w:rsidRDefault="007A67FE" w:rsidP="00AC6D39">
            <w:pPr>
              <w:spacing w:beforeAutospacing="1" w:afterAutospacing="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uk-UA" w:eastAsia="ru-RU"/>
              </w:rPr>
            </w:pPr>
            <w:r w:rsidRPr="00D31295">
              <w:rPr>
                <w:rFonts w:ascii="Times New Roman" w:hAnsi="Times New Roman" w:cs="Times New Roman"/>
                <w:color w:val="000000" w:themeColor="text1"/>
                <w:lang w:val="uk-UA" w:eastAsia="ru-RU"/>
              </w:rPr>
              <w:t>Одна таблетка раз на день</w:t>
            </w:r>
          </w:p>
        </w:tc>
      </w:tr>
      <w:tr w:rsidR="007A67FE" w14:paraId="013C62A3" w14:textId="77777777" w:rsidTr="005C66E8">
        <w:tc>
          <w:tcPr>
            <w:cnfStyle w:val="001000000000" w:firstRow="0" w:lastRow="0" w:firstColumn="1" w:lastColumn="0" w:oddVBand="0" w:evenVBand="0" w:oddHBand="0" w:evenHBand="0" w:firstRowFirstColumn="0" w:firstRowLastColumn="0" w:lastRowFirstColumn="0" w:lastRowLastColumn="0"/>
            <w:tcW w:w="4433" w:type="dxa"/>
          </w:tcPr>
          <w:p w14:paraId="64AFB006" w14:textId="77777777" w:rsidR="007A67FE" w:rsidRDefault="007A67FE" w:rsidP="00AC6D39">
            <w:pPr>
              <w:spacing w:beforeAutospacing="1" w:afterAutospacing="1"/>
              <w:jc w:val="both"/>
              <w:textAlignment w:val="baseline"/>
              <w:rPr>
                <w:rFonts w:ascii="Times New Roman" w:hAnsi="Times New Roman" w:cs="Times New Roman"/>
                <w:color w:val="000000" w:themeColor="text1"/>
                <w:lang w:val="uk-UA" w:eastAsia="ru-RU"/>
              </w:rPr>
            </w:pPr>
            <w:r w:rsidRPr="005307CE">
              <w:rPr>
                <w:rFonts w:ascii="Times New Roman" w:hAnsi="Times New Roman" w:cs="Times New Roman"/>
                <w:color w:val="000000" w:themeColor="text1"/>
                <w:lang w:val="uk-UA" w:eastAsia="ru-RU"/>
              </w:rPr>
              <w:t>Софосбувір/велпатасвір/воксілапревір</w:t>
            </w:r>
          </w:p>
        </w:tc>
        <w:tc>
          <w:tcPr>
            <w:tcW w:w="2797" w:type="dxa"/>
          </w:tcPr>
          <w:p w14:paraId="4300BBC8" w14:textId="77777777" w:rsidR="007A67FE" w:rsidRDefault="007A67FE" w:rsidP="00AC6D39">
            <w:pPr>
              <w:spacing w:beforeAutospacing="1" w:afterAutospacing="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uk-UA" w:eastAsia="ru-RU"/>
              </w:rPr>
            </w:pPr>
            <w:r w:rsidRPr="00AA0D2D">
              <w:rPr>
                <w:rFonts w:ascii="Times New Roman" w:hAnsi="Times New Roman" w:cs="Times New Roman"/>
                <w:color w:val="000000" w:themeColor="text1"/>
                <w:lang w:val="uk-UA" w:eastAsia="ru-RU"/>
              </w:rPr>
              <w:t xml:space="preserve">Таблетки, що містять 400 мг софосбувіру, 100 мг </w:t>
            </w:r>
            <w:r w:rsidRPr="005307CE">
              <w:rPr>
                <w:rFonts w:ascii="Times New Roman" w:hAnsi="Times New Roman" w:cs="Times New Roman"/>
                <w:color w:val="000000" w:themeColor="text1"/>
                <w:lang w:val="uk-UA" w:eastAsia="ru-RU"/>
              </w:rPr>
              <w:t>велпатасвір</w:t>
            </w:r>
            <w:r>
              <w:rPr>
                <w:rFonts w:ascii="Times New Roman" w:hAnsi="Times New Roman" w:cs="Times New Roman"/>
                <w:color w:val="000000" w:themeColor="text1"/>
                <w:lang w:val="uk-UA" w:eastAsia="ru-RU"/>
              </w:rPr>
              <w:t>у</w:t>
            </w:r>
            <w:r w:rsidRPr="00AA0D2D">
              <w:rPr>
                <w:rFonts w:ascii="Times New Roman" w:hAnsi="Times New Roman" w:cs="Times New Roman"/>
                <w:color w:val="000000" w:themeColor="text1"/>
                <w:lang w:val="uk-UA" w:eastAsia="ru-RU"/>
              </w:rPr>
              <w:t xml:space="preserve"> і 100 мг </w:t>
            </w:r>
            <w:r w:rsidRPr="005307CE">
              <w:rPr>
                <w:rFonts w:ascii="Times New Roman" w:hAnsi="Times New Roman" w:cs="Times New Roman"/>
                <w:color w:val="000000" w:themeColor="text1"/>
                <w:lang w:val="uk-UA" w:eastAsia="ru-RU"/>
              </w:rPr>
              <w:t>воксілапревір</w:t>
            </w:r>
            <w:r>
              <w:rPr>
                <w:rFonts w:ascii="Times New Roman" w:hAnsi="Times New Roman" w:cs="Times New Roman"/>
                <w:color w:val="000000" w:themeColor="text1"/>
                <w:lang w:val="uk-UA" w:eastAsia="ru-RU"/>
              </w:rPr>
              <w:t>у</w:t>
            </w:r>
          </w:p>
        </w:tc>
        <w:tc>
          <w:tcPr>
            <w:tcW w:w="3010" w:type="dxa"/>
          </w:tcPr>
          <w:p w14:paraId="0E30CD30" w14:textId="77777777" w:rsidR="007A67FE" w:rsidRDefault="007A67FE" w:rsidP="00AC6D39">
            <w:pPr>
              <w:spacing w:beforeAutospacing="1" w:afterAutospacing="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uk-UA" w:eastAsia="ru-RU"/>
              </w:rPr>
            </w:pPr>
            <w:r w:rsidRPr="00D31295">
              <w:rPr>
                <w:rFonts w:ascii="Times New Roman" w:hAnsi="Times New Roman" w:cs="Times New Roman"/>
                <w:color w:val="000000" w:themeColor="text1"/>
                <w:lang w:val="uk-UA" w:eastAsia="ru-RU"/>
              </w:rPr>
              <w:t>Одна таблетка раз на день</w:t>
            </w:r>
          </w:p>
        </w:tc>
      </w:tr>
      <w:tr w:rsidR="007A67FE" w14:paraId="31F42F21" w14:textId="77777777" w:rsidTr="005C6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04A0C389" w14:textId="75E8F0CD" w:rsidR="007A67FE" w:rsidRDefault="007A67FE" w:rsidP="00AC6D39">
            <w:pPr>
              <w:spacing w:beforeAutospacing="1" w:afterAutospacing="1"/>
              <w:jc w:val="both"/>
              <w:textAlignment w:val="baseline"/>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Г</w:t>
            </w:r>
            <w:r w:rsidRPr="005307CE">
              <w:rPr>
                <w:rFonts w:ascii="Times New Roman" w:hAnsi="Times New Roman" w:cs="Times New Roman"/>
                <w:color w:val="000000" w:themeColor="text1"/>
                <w:lang w:val="uk-UA" w:eastAsia="ru-RU"/>
              </w:rPr>
              <w:t>лекапревір/</w:t>
            </w:r>
            <w:r w:rsidR="005C66E8">
              <w:rPr>
                <w:rFonts w:ascii="Times New Roman" w:hAnsi="Times New Roman" w:cs="Times New Roman"/>
                <w:color w:val="000000" w:themeColor="text1"/>
                <w:lang w:val="uk-UA" w:eastAsia="ru-RU"/>
              </w:rPr>
              <w:t>п</w:t>
            </w:r>
            <w:r w:rsidRPr="005307CE">
              <w:rPr>
                <w:rFonts w:ascii="Times New Roman" w:hAnsi="Times New Roman" w:cs="Times New Roman"/>
                <w:color w:val="000000" w:themeColor="text1"/>
                <w:lang w:val="uk-UA" w:eastAsia="ru-RU"/>
              </w:rPr>
              <w:t>ібрентасвір</w:t>
            </w:r>
          </w:p>
        </w:tc>
        <w:tc>
          <w:tcPr>
            <w:tcW w:w="2797" w:type="dxa"/>
          </w:tcPr>
          <w:p w14:paraId="267A1AB7" w14:textId="77777777" w:rsidR="007A67FE" w:rsidRDefault="007A67FE" w:rsidP="00AC6D39">
            <w:pPr>
              <w:spacing w:beforeAutospacing="1" w:afterAutospacing="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uk-UA" w:eastAsia="ru-RU"/>
              </w:rPr>
            </w:pPr>
            <w:r w:rsidRPr="00477EF6">
              <w:rPr>
                <w:rFonts w:ascii="Times New Roman" w:hAnsi="Times New Roman" w:cs="Times New Roman"/>
                <w:color w:val="000000" w:themeColor="text1"/>
                <w:lang w:val="uk-UA" w:eastAsia="ru-RU"/>
              </w:rPr>
              <w:t xml:space="preserve">Таблетки, що містять 100 мг </w:t>
            </w:r>
            <w:r>
              <w:rPr>
                <w:rFonts w:ascii="Times New Roman" w:hAnsi="Times New Roman" w:cs="Times New Roman"/>
                <w:color w:val="000000" w:themeColor="text1"/>
                <w:lang w:val="uk-UA" w:eastAsia="ru-RU"/>
              </w:rPr>
              <w:t>глекапревіру</w:t>
            </w:r>
            <w:r w:rsidRPr="00477EF6">
              <w:rPr>
                <w:rFonts w:ascii="Times New Roman" w:hAnsi="Times New Roman" w:cs="Times New Roman"/>
                <w:color w:val="000000" w:themeColor="text1"/>
                <w:lang w:val="uk-UA" w:eastAsia="ru-RU"/>
              </w:rPr>
              <w:t xml:space="preserve"> та 40 мг </w:t>
            </w:r>
            <w:r w:rsidRPr="005307CE">
              <w:rPr>
                <w:rFonts w:ascii="Times New Roman" w:hAnsi="Times New Roman" w:cs="Times New Roman"/>
                <w:color w:val="000000" w:themeColor="text1"/>
                <w:lang w:val="uk-UA" w:eastAsia="ru-RU"/>
              </w:rPr>
              <w:t>рібрентасвір</w:t>
            </w:r>
            <w:r>
              <w:rPr>
                <w:rFonts w:ascii="Times New Roman" w:hAnsi="Times New Roman" w:cs="Times New Roman"/>
                <w:color w:val="000000" w:themeColor="text1"/>
                <w:lang w:val="uk-UA" w:eastAsia="ru-RU"/>
              </w:rPr>
              <w:t>у</w:t>
            </w:r>
          </w:p>
        </w:tc>
        <w:tc>
          <w:tcPr>
            <w:tcW w:w="3010" w:type="dxa"/>
          </w:tcPr>
          <w:p w14:paraId="355FA971" w14:textId="77777777" w:rsidR="007A67FE" w:rsidRDefault="007A67FE" w:rsidP="00AC6D39">
            <w:pPr>
              <w:spacing w:beforeAutospacing="1" w:afterAutospacing="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Три таблетки</w:t>
            </w:r>
            <w:r w:rsidRPr="00D31295">
              <w:rPr>
                <w:rFonts w:ascii="Times New Roman" w:hAnsi="Times New Roman" w:cs="Times New Roman"/>
                <w:color w:val="000000" w:themeColor="text1"/>
                <w:lang w:val="uk-UA" w:eastAsia="ru-RU"/>
              </w:rPr>
              <w:t xml:space="preserve"> раз на день</w:t>
            </w:r>
          </w:p>
        </w:tc>
      </w:tr>
      <w:tr w:rsidR="005C66E8" w14:paraId="2303D35D" w14:textId="77777777" w:rsidTr="005C66E8">
        <w:tc>
          <w:tcPr>
            <w:cnfStyle w:val="001000000000" w:firstRow="0" w:lastRow="0" w:firstColumn="1" w:lastColumn="0" w:oddVBand="0" w:evenVBand="0" w:oddHBand="0" w:evenHBand="0" w:firstRowFirstColumn="0" w:firstRowLastColumn="0" w:lastRowFirstColumn="0" w:lastRowLastColumn="0"/>
            <w:tcW w:w="10240" w:type="dxa"/>
            <w:gridSpan w:val="3"/>
          </w:tcPr>
          <w:p w14:paraId="0D236C71" w14:textId="7F9E28F8" w:rsidR="005C66E8" w:rsidRDefault="005C66E8" w:rsidP="00AC6D39">
            <w:pPr>
              <w:spacing w:beforeAutospacing="1" w:afterAutospacing="1"/>
              <w:jc w:val="both"/>
              <w:textAlignment w:val="baseline"/>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Специфічні для генотипу препарати за/комбінація препаратів</w:t>
            </w:r>
          </w:p>
        </w:tc>
      </w:tr>
      <w:tr w:rsidR="007A67FE" w14:paraId="25C7F1EF" w14:textId="77777777" w:rsidTr="005C6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14:paraId="64D065FC" w14:textId="77777777" w:rsidR="007A67FE" w:rsidRDefault="007A67FE" w:rsidP="00AC6D39">
            <w:pPr>
              <w:spacing w:beforeAutospacing="1" w:afterAutospacing="1"/>
              <w:jc w:val="both"/>
              <w:textAlignment w:val="baseline"/>
              <w:rPr>
                <w:rFonts w:ascii="Times New Roman" w:hAnsi="Times New Roman" w:cs="Times New Roman"/>
                <w:color w:val="000000" w:themeColor="text1"/>
                <w:lang w:val="uk-UA" w:eastAsia="ru-RU"/>
              </w:rPr>
            </w:pPr>
            <w:r w:rsidRPr="00474448">
              <w:rPr>
                <w:rFonts w:ascii="Times New Roman" w:hAnsi="Times New Roman" w:cs="Times New Roman"/>
                <w:color w:val="000000" w:themeColor="text1"/>
                <w:lang w:val="uk-UA" w:eastAsia="ru-RU"/>
              </w:rPr>
              <w:lastRenderedPageBreak/>
              <w:t>Софосбувір/ледіпасвір</w:t>
            </w:r>
          </w:p>
        </w:tc>
        <w:tc>
          <w:tcPr>
            <w:tcW w:w="2797" w:type="dxa"/>
          </w:tcPr>
          <w:p w14:paraId="29E54E2A" w14:textId="77777777" w:rsidR="007A67FE" w:rsidRDefault="007A67FE" w:rsidP="00AC6D39">
            <w:pPr>
              <w:spacing w:beforeAutospacing="1" w:afterAutospacing="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uk-UA" w:eastAsia="ru-RU"/>
              </w:rPr>
            </w:pPr>
            <w:r w:rsidRPr="00477EF6">
              <w:rPr>
                <w:rFonts w:ascii="Times New Roman" w:hAnsi="Times New Roman" w:cs="Times New Roman"/>
                <w:color w:val="000000" w:themeColor="text1"/>
                <w:lang w:val="uk-UA" w:eastAsia="ru-RU"/>
              </w:rPr>
              <w:t xml:space="preserve">Таблетки, що містять 400 мг софосбувіру і 90 мг </w:t>
            </w:r>
            <w:r w:rsidRPr="00474448">
              <w:rPr>
                <w:rFonts w:ascii="Times New Roman" w:hAnsi="Times New Roman" w:cs="Times New Roman"/>
                <w:color w:val="000000" w:themeColor="text1"/>
                <w:lang w:val="uk-UA" w:eastAsia="ru-RU"/>
              </w:rPr>
              <w:t>ледіпасвір</w:t>
            </w:r>
            <w:r>
              <w:rPr>
                <w:rFonts w:ascii="Times New Roman" w:hAnsi="Times New Roman" w:cs="Times New Roman"/>
                <w:color w:val="000000" w:themeColor="text1"/>
                <w:lang w:val="uk-UA" w:eastAsia="ru-RU"/>
              </w:rPr>
              <w:t>у</w:t>
            </w:r>
          </w:p>
        </w:tc>
        <w:tc>
          <w:tcPr>
            <w:tcW w:w="3010" w:type="dxa"/>
          </w:tcPr>
          <w:p w14:paraId="5CF45E06" w14:textId="77777777" w:rsidR="007A67FE" w:rsidRDefault="007A67FE" w:rsidP="00AC6D39">
            <w:pPr>
              <w:spacing w:beforeAutospacing="1" w:afterAutospacing="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uk-UA" w:eastAsia="ru-RU"/>
              </w:rPr>
            </w:pPr>
            <w:r w:rsidRPr="00D31295">
              <w:rPr>
                <w:rFonts w:ascii="Times New Roman" w:hAnsi="Times New Roman" w:cs="Times New Roman"/>
                <w:color w:val="000000" w:themeColor="text1"/>
                <w:lang w:val="uk-UA" w:eastAsia="ru-RU"/>
              </w:rPr>
              <w:t>Одна таблетка раз на день</w:t>
            </w:r>
          </w:p>
        </w:tc>
      </w:tr>
      <w:tr w:rsidR="007A67FE" w14:paraId="3F18F674" w14:textId="77777777" w:rsidTr="005C66E8">
        <w:tc>
          <w:tcPr>
            <w:cnfStyle w:val="001000000000" w:firstRow="0" w:lastRow="0" w:firstColumn="1" w:lastColumn="0" w:oddVBand="0" w:evenVBand="0" w:oddHBand="0" w:evenHBand="0" w:firstRowFirstColumn="0" w:firstRowLastColumn="0" w:lastRowFirstColumn="0" w:lastRowLastColumn="0"/>
            <w:tcW w:w="4433" w:type="dxa"/>
          </w:tcPr>
          <w:p w14:paraId="02992AEE" w14:textId="57D9E67C" w:rsidR="007A67FE" w:rsidRDefault="007A67FE" w:rsidP="00AC6D39">
            <w:pPr>
              <w:spacing w:beforeAutospacing="1" w:afterAutospacing="1"/>
              <w:jc w:val="both"/>
              <w:textAlignment w:val="baseline"/>
              <w:rPr>
                <w:rFonts w:ascii="Times New Roman" w:hAnsi="Times New Roman" w:cs="Times New Roman"/>
                <w:color w:val="000000" w:themeColor="text1"/>
                <w:lang w:val="uk-UA" w:eastAsia="ru-RU"/>
              </w:rPr>
            </w:pPr>
            <w:r w:rsidRPr="00474448">
              <w:rPr>
                <w:rFonts w:ascii="Times New Roman" w:hAnsi="Times New Roman" w:cs="Times New Roman"/>
                <w:color w:val="000000" w:themeColor="text1"/>
                <w:lang w:val="uk-UA" w:eastAsia="ru-RU"/>
              </w:rPr>
              <w:t>Омбітасвір/</w:t>
            </w:r>
            <w:r w:rsidR="00570F99">
              <w:rPr>
                <w:rFonts w:ascii="Times New Roman" w:hAnsi="Times New Roman" w:cs="Times New Roman"/>
                <w:color w:val="000000" w:themeColor="text1"/>
                <w:lang w:val="uk-UA" w:eastAsia="ru-RU"/>
              </w:rPr>
              <w:t>п</w:t>
            </w:r>
            <w:r w:rsidR="00E76D74">
              <w:rPr>
                <w:rFonts w:ascii="Times New Roman" w:hAnsi="Times New Roman" w:cs="Times New Roman"/>
                <w:color w:val="000000" w:themeColor="text1"/>
                <w:lang w:val="uk-UA" w:eastAsia="ru-RU"/>
              </w:rPr>
              <w:t>аритапревір</w:t>
            </w:r>
            <w:r w:rsidRPr="00474448">
              <w:rPr>
                <w:rFonts w:ascii="Times New Roman" w:hAnsi="Times New Roman" w:cs="Times New Roman"/>
                <w:color w:val="000000" w:themeColor="text1"/>
                <w:lang w:val="uk-UA" w:eastAsia="ru-RU"/>
              </w:rPr>
              <w:t>/ритонавір</w:t>
            </w:r>
          </w:p>
        </w:tc>
        <w:tc>
          <w:tcPr>
            <w:tcW w:w="2797" w:type="dxa"/>
          </w:tcPr>
          <w:p w14:paraId="49109C6A" w14:textId="4CF720EB" w:rsidR="007A67FE" w:rsidRDefault="007A67FE" w:rsidP="00AC6D39">
            <w:pPr>
              <w:spacing w:beforeAutospacing="1" w:afterAutospacing="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 xml:space="preserve">Таблетки, що містять 75 мг </w:t>
            </w:r>
            <w:r w:rsidR="00E76D74">
              <w:rPr>
                <w:rFonts w:ascii="Times New Roman" w:hAnsi="Times New Roman" w:cs="Times New Roman"/>
                <w:color w:val="000000" w:themeColor="text1"/>
                <w:lang w:val="uk-UA" w:eastAsia="ru-RU"/>
              </w:rPr>
              <w:t>Паритапревір</w:t>
            </w:r>
            <w:r w:rsidRPr="00477EF6">
              <w:rPr>
                <w:rFonts w:ascii="Times New Roman" w:hAnsi="Times New Roman" w:cs="Times New Roman"/>
                <w:color w:val="000000" w:themeColor="text1"/>
                <w:lang w:val="uk-UA" w:eastAsia="ru-RU"/>
              </w:rPr>
              <w:t>у, 12,5 мг о</w:t>
            </w:r>
            <w:r w:rsidRPr="00474448">
              <w:rPr>
                <w:rFonts w:ascii="Times New Roman" w:hAnsi="Times New Roman" w:cs="Times New Roman"/>
                <w:color w:val="000000" w:themeColor="text1"/>
                <w:lang w:val="uk-UA" w:eastAsia="ru-RU"/>
              </w:rPr>
              <w:t>мбітасвір</w:t>
            </w:r>
            <w:r>
              <w:rPr>
                <w:rFonts w:ascii="Times New Roman" w:hAnsi="Times New Roman" w:cs="Times New Roman"/>
                <w:color w:val="000000" w:themeColor="text1"/>
                <w:lang w:val="uk-UA" w:eastAsia="ru-RU"/>
              </w:rPr>
              <w:t>у</w:t>
            </w:r>
            <w:r w:rsidRPr="00477EF6">
              <w:rPr>
                <w:rFonts w:ascii="Times New Roman" w:hAnsi="Times New Roman" w:cs="Times New Roman"/>
                <w:color w:val="000000" w:themeColor="text1"/>
                <w:lang w:val="uk-UA" w:eastAsia="ru-RU"/>
              </w:rPr>
              <w:t xml:space="preserve"> та 50 мг ритонавіру</w:t>
            </w:r>
          </w:p>
        </w:tc>
        <w:tc>
          <w:tcPr>
            <w:tcW w:w="3010" w:type="dxa"/>
          </w:tcPr>
          <w:p w14:paraId="1D4D71F1" w14:textId="77777777" w:rsidR="007A67FE" w:rsidRDefault="007A67FE" w:rsidP="00AC6D39">
            <w:pPr>
              <w:spacing w:beforeAutospacing="1" w:afterAutospacing="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Дві таблетки</w:t>
            </w:r>
            <w:r w:rsidRPr="00D31295">
              <w:rPr>
                <w:rFonts w:ascii="Times New Roman" w:hAnsi="Times New Roman" w:cs="Times New Roman"/>
                <w:color w:val="000000" w:themeColor="text1"/>
                <w:lang w:val="uk-UA" w:eastAsia="ru-RU"/>
              </w:rPr>
              <w:t xml:space="preserve"> раз на день</w:t>
            </w:r>
          </w:p>
        </w:tc>
      </w:tr>
      <w:tr w:rsidR="007A67FE" w14:paraId="0228A5DC" w14:textId="77777777" w:rsidTr="005C66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33" w:type="dxa"/>
          </w:tcPr>
          <w:p w14:paraId="3BB39A0E" w14:textId="2BBD051D" w:rsidR="007A67FE" w:rsidRDefault="007A67FE" w:rsidP="00AC6D39">
            <w:pPr>
              <w:spacing w:beforeAutospacing="1" w:afterAutospacing="1"/>
              <w:jc w:val="both"/>
              <w:textAlignment w:val="baseline"/>
              <w:rPr>
                <w:rFonts w:ascii="Times New Roman" w:hAnsi="Times New Roman" w:cs="Times New Roman"/>
                <w:color w:val="000000" w:themeColor="text1"/>
                <w:lang w:val="uk-UA" w:eastAsia="ru-RU"/>
              </w:rPr>
            </w:pPr>
            <w:r w:rsidRPr="00AA0D2D">
              <w:rPr>
                <w:rFonts w:ascii="Times New Roman" w:hAnsi="Times New Roman" w:cs="Times New Roman"/>
                <w:color w:val="000000" w:themeColor="text1"/>
                <w:lang w:val="uk-UA" w:eastAsia="ru-RU"/>
              </w:rPr>
              <w:t>Да</w:t>
            </w:r>
            <w:r w:rsidR="00E4611F">
              <w:rPr>
                <w:rFonts w:ascii="Times New Roman" w:hAnsi="Times New Roman" w:cs="Times New Roman"/>
                <w:color w:val="000000" w:themeColor="text1"/>
                <w:lang w:val="uk-UA" w:eastAsia="ru-RU"/>
              </w:rPr>
              <w:t>с</w:t>
            </w:r>
            <w:r w:rsidRPr="00AA0D2D">
              <w:rPr>
                <w:rFonts w:ascii="Times New Roman" w:hAnsi="Times New Roman" w:cs="Times New Roman"/>
                <w:color w:val="000000" w:themeColor="text1"/>
                <w:lang w:val="uk-UA" w:eastAsia="ru-RU"/>
              </w:rPr>
              <w:t>абувір</w:t>
            </w:r>
          </w:p>
        </w:tc>
        <w:tc>
          <w:tcPr>
            <w:tcW w:w="2797" w:type="dxa"/>
          </w:tcPr>
          <w:p w14:paraId="7429E3B9" w14:textId="1AC103FE" w:rsidR="007A67FE" w:rsidRDefault="007A67FE" w:rsidP="00AC6D39">
            <w:pPr>
              <w:spacing w:beforeAutospacing="1" w:afterAutospacing="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uk-UA" w:eastAsia="ru-RU"/>
              </w:rPr>
            </w:pPr>
            <w:r w:rsidRPr="00D31295">
              <w:rPr>
                <w:rFonts w:ascii="Times New Roman" w:hAnsi="Times New Roman" w:cs="Times New Roman"/>
                <w:color w:val="000000" w:themeColor="text1"/>
                <w:lang w:val="uk-UA" w:eastAsia="ru-RU"/>
              </w:rPr>
              <w:t>Таблетки, що містять 250 мг да</w:t>
            </w:r>
            <w:r w:rsidR="00E4611F">
              <w:rPr>
                <w:rFonts w:ascii="Times New Roman" w:hAnsi="Times New Roman" w:cs="Times New Roman"/>
                <w:color w:val="000000" w:themeColor="text1"/>
                <w:lang w:val="uk-UA" w:eastAsia="ru-RU"/>
              </w:rPr>
              <w:t>с</w:t>
            </w:r>
            <w:r w:rsidRPr="00D31295">
              <w:rPr>
                <w:rFonts w:ascii="Times New Roman" w:hAnsi="Times New Roman" w:cs="Times New Roman"/>
                <w:color w:val="000000" w:themeColor="text1"/>
                <w:lang w:val="uk-UA" w:eastAsia="ru-RU"/>
              </w:rPr>
              <w:t>абувіру</w:t>
            </w:r>
          </w:p>
        </w:tc>
        <w:tc>
          <w:tcPr>
            <w:tcW w:w="3010" w:type="dxa"/>
          </w:tcPr>
          <w:p w14:paraId="06122BD8" w14:textId="77777777" w:rsidR="007A67FE" w:rsidRDefault="007A67FE" w:rsidP="00AC6D39">
            <w:pPr>
              <w:spacing w:beforeAutospacing="1" w:afterAutospacing="1"/>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Одна таблетка двічі</w:t>
            </w:r>
            <w:r w:rsidRPr="00D31295">
              <w:rPr>
                <w:rFonts w:ascii="Times New Roman" w:hAnsi="Times New Roman" w:cs="Times New Roman"/>
                <w:color w:val="000000" w:themeColor="text1"/>
                <w:lang w:val="uk-UA" w:eastAsia="ru-RU"/>
              </w:rPr>
              <w:t xml:space="preserve"> на день</w:t>
            </w:r>
            <w:r>
              <w:rPr>
                <w:rFonts w:ascii="Times New Roman" w:hAnsi="Times New Roman" w:cs="Times New Roman"/>
                <w:color w:val="000000" w:themeColor="text1"/>
                <w:lang w:val="uk-UA" w:eastAsia="ru-RU"/>
              </w:rPr>
              <w:t xml:space="preserve"> (зранку та ввечері)</w:t>
            </w:r>
          </w:p>
        </w:tc>
      </w:tr>
      <w:tr w:rsidR="007A67FE" w14:paraId="387417F4" w14:textId="77777777" w:rsidTr="005C66E8">
        <w:tc>
          <w:tcPr>
            <w:cnfStyle w:val="001000000000" w:firstRow="0" w:lastRow="0" w:firstColumn="1" w:lastColumn="0" w:oddVBand="0" w:evenVBand="0" w:oddHBand="0" w:evenHBand="0" w:firstRowFirstColumn="0" w:firstRowLastColumn="0" w:lastRowFirstColumn="0" w:lastRowLastColumn="0"/>
            <w:tcW w:w="4433" w:type="dxa"/>
          </w:tcPr>
          <w:p w14:paraId="6C6F98B9" w14:textId="77777777" w:rsidR="007A67FE" w:rsidRDefault="007A67FE" w:rsidP="00AC6D39">
            <w:pPr>
              <w:spacing w:beforeAutospacing="1" w:afterAutospacing="1"/>
              <w:jc w:val="both"/>
              <w:textAlignment w:val="baseline"/>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Г</w:t>
            </w:r>
            <w:r w:rsidRPr="00474448">
              <w:rPr>
                <w:rFonts w:ascii="Times New Roman" w:hAnsi="Times New Roman" w:cs="Times New Roman"/>
                <w:color w:val="000000" w:themeColor="text1"/>
                <w:lang w:val="uk-UA" w:eastAsia="ru-RU"/>
              </w:rPr>
              <w:t>разопревір/елбасвір</w:t>
            </w:r>
          </w:p>
        </w:tc>
        <w:tc>
          <w:tcPr>
            <w:tcW w:w="2797" w:type="dxa"/>
          </w:tcPr>
          <w:p w14:paraId="1042ED12" w14:textId="77777777" w:rsidR="007A67FE" w:rsidRDefault="007A67FE" w:rsidP="00AC6D39">
            <w:pPr>
              <w:spacing w:beforeAutospacing="1" w:afterAutospacing="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uk-UA" w:eastAsia="ru-RU"/>
              </w:rPr>
            </w:pPr>
            <w:r w:rsidRPr="00D31295">
              <w:rPr>
                <w:rFonts w:ascii="Times New Roman" w:hAnsi="Times New Roman" w:cs="Times New Roman"/>
                <w:color w:val="000000" w:themeColor="text1"/>
                <w:lang w:val="uk-UA" w:eastAsia="ru-RU"/>
              </w:rPr>
              <w:t>Таблетки, що містять 100 мг гразопревіру та 50 мг ельба</w:t>
            </w:r>
            <w:r>
              <w:rPr>
                <w:rFonts w:ascii="Times New Roman" w:hAnsi="Times New Roman" w:cs="Times New Roman"/>
                <w:color w:val="000000" w:themeColor="text1"/>
                <w:lang w:val="uk-UA" w:eastAsia="ru-RU"/>
              </w:rPr>
              <w:t>с</w:t>
            </w:r>
            <w:r w:rsidRPr="00D31295">
              <w:rPr>
                <w:rFonts w:ascii="Times New Roman" w:hAnsi="Times New Roman" w:cs="Times New Roman"/>
                <w:color w:val="000000" w:themeColor="text1"/>
                <w:lang w:val="uk-UA" w:eastAsia="ru-RU"/>
              </w:rPr>
              <w:t>віру</w:t>
            </w:r>
          </w:p>
        </w:tc>
        <w:tc>
          <w:tcPr>
            <w:tcW w:w="3010" w:type="dxa"/>
          </w:tcPr>
          <w:p w14:paraId="728D7951" w14:textId="77777777" w:rsidR="007A67FE" w:rsidRDefault="007A67FE" w:rsidP="00AC6D39">
            <w:pPr>
              <w:spacing w:beforeAutospacing="1" w:afterAutospacing="1"/>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uk-UA" w:eastAsia="ru-RU"/>
              </w:rPr>
            </w:pPr>
            <w:r w:rsidRPr="00D31295">
              <w:rPr>
                <w:rFonts w:ascii="Times New Roman" w:hAnsi="Times New Roman" w:cs="Times New Roman"/>
                <w:color w:val="000000" w:themeColor="text1"/>
                <w:lang w:val="uk-UA" w:eastAsia="ru-RU"/>
              </w:rPr>
              <w:t>Одна таблетка раз на день</w:t>
            </w:r>
          </w:p>
        </w:tc>
      </w:tr>
    </w:tbl>
    <w:p w14:paraId="34963F3A" w14:textId="0CBE8ACA" w:rsidR="007A67FE" w:rsidRPr="006D1EC8" w:rsidRDefault="007A67FE" w:rsidP="007A67FE">
      <w:pPr>
        <w:spacing w:beforeAutospacing="1" w:afterAutospacing="1"/>
        <w:jc w:val="both"/>
        <w:textAlignment w:val="baseline"/>
        <w:rPr>
          <w:rFonts w:ascii="Times New Roman" w:hAnsi="Times New Roman" w:cs="Times New Roman"/>
          <w:color w:val="000000" w:themeColor="text1"/>
          <w:sz w:val="20"/>
          <w:szCs w:val="20"/>
          <w:lang w:val="uk-UA" w:eastAsia="ru-RU"/>
        </w:rPr>
      </w:pPr>
      <w:r w:rsidRPr="006D1EC8">
        <w:rPr>
          <w:rFonts w:ascii="Times New Roman" w:hAnsi="Times New Roman" w:cs="Times New Roman"/>
          <w:color w:val="000000" w:themeColor="text1"/>
          <w:sz w:val="20"/>
          <w:szCs w:val="20"/>
          <w:lang w:val="uk-UA" w:eastAsia="ru-RU"/>
        </w:rPr>
        <w:t>ПППД</w:t>
      </w:r>
      <w:r w:rsidR="00C92E83">
        <w:rPr>
          <w:rFonts w:ascii="Times New Roman" w:hAnsi="Times New Roman" w:cs="Times New Roman"/>
          <w:color w:val="000000" w:themeColor="text1"/>
          <w:sz w:val="20"/>
          <w:szCs w:val="20"/>
          <w:lang w:val="uk-UA" w:eastAsia="ru-RU"/>
        </w:rPr>
        <w:t xml:space="preserve"> –</w:t>
      </w:r>
      <w:r w:rsidRPr="006D1EC8">
        <w:rPr>
          <w:rFonts w:ascii="Times New Roman" w:hAnsi="Times New Roman" w:cs="Times New Roman"/>
          <w:color w:val="000000" w:themeColor="text1"/>
          <w:sz w:val="20"/>
          <w:szCs w:val="20"/>
          <w:lang w:val="uk-UA" w:eastAsia="ru-RU"/>
        </w:rPr>
        <w:t xml:space="preserve"> противовірусний препарат прямої дії; ВГС</w:t>
      </w:r>
      <w:r w:rsidR="00DD7838">
        <w:rPr>
          <w:rFonts w:ascii="Times New Roman" w:hAnsi="Times New Roman" w:cs="Times New Roman"/>
          <w:color w:val="000000" w:themeColor="text1"/>
          <w:sz w:val="20"/>
          <w:szCs w:val="20"/>
          <w:lang w:val="uk-UA" w:eastAsia="ru-RU"/>
        </w:rPr>
        <w:t xml:space="preserve"> –</w:t>
      </w:r>
      <w:r w:rsidRPr="006D1EC8">
        <w:rPr>
          <w:rFonts w:ascii="Times New Roman" w:hAnsi="Times New Roman" w:cs="Times New Roman"/>
          <w:color w:val="000000" w:themeColor="text1"/>
          <w:sz w:val="20"/>
          <w:szCs w:val="20"/>
          <w:lang w:val="uk-UA" w:eastAsia="ru-RU"/>
        </w:rPr>
        <w:t xml:space="preserve"> вірус гепатиту С.</w:t>
      </w:r>
    </w:p>
    <w:p w14:paraId="0BF861B3" w14:textId="4280FAD5" w:rsidR="007A67FE" w:rsidRDefault="007A67FE" w:rsidP="007A67FE">
      <w:pPr>
        <w:spacing w:beforeAutospacing="1" w:afterAutospacing="1"/>
        <w:jc w:val="both"/>
        <w:textAlignment w:val="baseline"/>
        <w:rPr>
          <w:rFonts w:ascii="Times New Roman" w:hAnsi="Times New Roman" w:cs="Times New Roman"/>
          <w:b/>
          <w:color w:val="000000" w:themeColor="text1"/>
          <w:lang w:val="uk-UA" w:eastAsia="ru-RU"/>
        </w:rPr>
      </w:pPr>
      <w:r w:rsidRPr="004E10B5">
        <w:rPr>
          <w:rFonts w:ascii="Times New Roman" w:hAnsi="Times New Roman" w:cs="Times New Roman"/>
          <w:b/>
          <w:color w:val="000000" w:themeColor="text1"/>
          <w:lang w:val="uk-UA" w:eastAsia="ru-RU"/>
        </w:rPr>
        <w:t xml:space="preserve">Таблиця 4А. Взаємодія між </w:t>
      </w:r>
      <w:r w:rsidR="003A2EEA">
        <w:rPr>
          <w:rFonts w:ascii="Times New Roman" w:hAnsi="Times New Roman" w:cs="Times New Roman"/>
          <w:b/>
          <w:color w:val="000000" w:themeColor="text1"/>
          <w:lang w:val="uk-UA" w:eastAsia="ru-RU"/>
        </w:rPr>
        <w:t>ПППД</w:t>
      </w:r>
      <w:r w:rsidRPr="004E10B5">
        <w:rPr>
          <w:rFonts w:ascii="Times New Roman" w:hAnsi="Times New Roman" w:cs="Times New Roman"/>
          <w:b/>
          <w:color w:val="000000" w:themeColor="text1"/>
          <w:lang w:val="uk-UA" w:eastAsia="ru-RU"/>
        </w:rPr>
        <w:t xml:space="preserve"> та </w:t>
      </w:r>
      <w:r w:rsidR="00171E61">
        <w:rPr>
          <w:rFonts w:ascii="Times New Roman" w:hAnsi="Times New Roman" w:cs="Times New Roman"/>
          <w:b/>
          <w:color w:val="000000" w:themeColor="text1"/>
          <w:lang w:val="uk-UA" w:eastAsia="ru-RU"/>
        </w:rPr>
        <w:t>АРВП</w:t>
      </w:r>
    </w:p>
    <w:tbl>
      <w:tblPr>
        <w:tblStyle w:val="a6"/>
        <w:tblW w:w="0" w:type="auto"/>
        <w:tblLayout w:type="fixed"/>
        <w:tblLook w:val="04A0" w:firstRow="1" w:lastRow="0" w:firstColumn="1" w:lastColumn="0" w:noHBand="0" w:noVBand="1"/>
      </w:tblPr>
      <w:tblGrid>
        <w:gridCol w:w="841"/>
        <w:gridCol w:w="2840"/>
        <w:gridCol w:w="709"/>
        <w:gridCol w:w="708"/>
        <w:gridCol w:w="851"/>
        <w:gridCol w:w="850"/>
        <w:gridCol w:w="851"/>
        <w:gridCol w:w="850"/>
        <w:gridCol w:w="851"/>
      </w:tblGrid>
      <w:tr w:rsidR="00171E61" w14:paraId="729CBA87" w14:textId="77777777" w:rsidTr="00C92E83">
        <w:tc>
          <w:tcPr>
            <w:tcW w:w="841" w:type="dxa"/>
            <w:tcBorders>
              <w:bottom w:val="single" w:sz="12" w:space="0" w:color="auto"/>
            </w:tcBorders>
            <w:vAlign w:val="center"/>
          </w:tcPr>
          <w:p w14:paraId="5291E640" w14:textId="77777777" w:rsidR="003A2EEA" w:rsidRPr="00D005A1" w:rsidRDefault="003A2EEA"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840" w:type="dxa"/>
            <w:tcBorders>
              <w:bottom w:val="single" w:sz="12" w:space="0" w:color="auto"/>
            </w:tcBorders>
            <w:vAlign w:val="center"/>
          </w:tcPr>
          <w:p w14:paraId="423AFCFE" w14:textId="77777777" w:rsidR="003A2EEA" w:rsidRPr="00D005A1" w:rsidRDefault="003A2EEA"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709" w:type="dxa"/>
            <w:tcBorders>
              <w:bottom w:val="single" w:sz="12" w:space="0" w:color="auto"/>
            </w:tcBorders>
            <w:vAlign w:val="center"/>
          </w:tcPr>
          <w:p w14:paraId="6C086AA5" w14:textId="0728B3E4" w:rsidR="003A2EEA" w:rsidRPr="00D005A1" w:rsidRDefault="003A2EEA" w:rsidP="00D005A1">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D005A1">
              <w:rPr>
                <w:rFonts w:ascii="Times New Roman" w:hAnsi="Times New Roman" w:cs="Times New Roman"/>
                <w:b/>
                <w:color w:val="000000" w:themeColor="text1"/>
                <w:sz w:val="22"/>
                <w:szCs w:val="22"/>
                <w:lang w:val="it-IT" w:eastAsia="ru-RU"/>
              </w:rPr>
              <w:t>SOF</w:t>
            </w:r>
          </w:p>
        </w:tc>
        <w:tc>
          <w:tcPr>
            <w:tcW w:w="708" w:type="dxa"/>
            <w:tcBorders>
              <w:bottom w:val="single" w:sz="12" w:space="0" w:color="auto"/>
            </w:tcBorders>
            <w:vAlign w:val="center"/>
          </w:tcPr>
          <w:p w14:paraId="19F03BFF" w14:textId="0AB96F46" w:rsidR="003A2EEA" w:rsidRPr="00D005A1" w:rsidRDefault="003A2EEA" w:rsidP="00D005A1">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D005A1">
              <w:rPr>
                <w:rFonts w:ascii="Times New Roman" w:hAnsi="Times New Roman" w:cs="Times New Roman"/>
                <w:b/>
                <w:color w:val="000000" w:themeColor="text1"/>
                <w:sz w:val="22"/>
                <w:szCs w:val="22"/>
                <w:lang w:val="it-IT" w:eastAsia="ru-RU"/>
              </w:rPr>
              <w:t>SOF/LDV</w:t>
            </w:r>
          </w:p>
        </w:tc>
        <w:tc>
          <w:tcPr>
            <w:tcW w:w="851" w:type="dxa"/>
            <w:tcBorders>
              <w:bottom w:val="single" w:sz="12" w:space="0" w:color="auto"/>
            </w:tcBorders>
            <w:vAlign w:val="center"/>
          </w:tcPr>
          <w:p w14:paraId="303A6973" w14:textId="4E83FA1C" w:rsidR="003A2EEA" w:rsidRPr="00D005A1" w:rsidRDefault="003A2EEA" w:rsidP="00D005A1">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D005A1">
              <w:rPr>
                <w:rFonts w:ascii="Times New Roman" w:hAnsi="Times New Roman" w:cs="Times New Roman"/>
                <w:b/>
                <w:color w:val="000000" w:themeColor="text1"/>
                <w:sz w:val="22"/>
                <w:szCs w:val="22"/>
                <w:lang w:val="it-IT" w:eastAsia="ru-RU"/>
              </w:rPr>
              <w:t>SOF/VEL</w:t>
            </w:r>
          </w:p>
        </w:tc>
        <w:tc>
          <w:tcPr>
            <w:tcW w:w="850" w:type="dxa"/>
            <w:tcBorders>
              <w:bottom w:val="single" w:sz="12" w:space="0" w:color="auto"/>
            </w:tcBorders>
            <w:vAlign w:val="center"/>
          </w:tcPr>
          <w:p w14:paraId="4BEC2303" w14:textId="7B6E58CD" w:rsidR="003A2EEA" w:rsidRPr="00D005A1" w:rsidRDefault="003A2EEA" w:rsidP="00D005A1">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D005A1">
              <w:rPr>
                <w:rFonts w:ascii="Times New Roman" w:hAnsi="Times New Roman" w:cs="Times New Roman"/>
                <w:b/>
                <w:color w:val="000000" w:themeColor="text1"/>
                <w:sz w:val="22"/>
                <w:szCs w:val="22"/>
                <w:lang w:val="it-IT" w:eastAsia="ru-RU"/>
              </w:rPr>
              <w:t>OBV/PTV/r+</w:t>
            </w:r>
            <w:r w:rsidRPr="00D005A1">
              <w:rPr>
                <w:rFonts w:ascii="Times New Roman" w:hAnsi="Times New Roman" w:cs="Times New Roman"/>
                <w:b/>
                <w:color w:val="000000" w:themeColor="text1"/>
                <w:sz w:val="22"/>
                <w:szCs w:val="22"/>
                <w:lang w:val="uk-UA" w:eastAsia="ru-RU"/>
              </w:rPr>
              <w:t xml:space="preserve"> </w:t>
            </w:r>
            <w:r w:rsidRPr="00D005A1">
              <w:rPr>
                <w:rFonts w:ascii="Times New Roman" w:hAnsi="Times New Roman" w:cs="Times New Roman"/>
                <w:b/>
                <w:color w:val="000000" w:themeColor="text1"/>
                <w:sz w:val="22"/>
                <w:szCs w:val="22"/>
                <w:lang w:val="it-IT" w:eastAsia="ru-RU"/>
              </w:rPr>
              <w:t>DSV</w:t>
            </w:r>
          </w:p>
        </w:tc>
        <w:tc>
          <w:tcPr>
            <w:tcW w:w="851" w:type="dxa"/>
            <w:tcBorders>
              <w:bottom w:val="single" w:sz="12" w:space="0" w:color="auto"/>
            </w:tcBorders>
            <w:vAlign w:val="center"/>
          </w:tcPr>
          <w:p w14:paraId="3D0819CF" w14:textId="336D7E7B" w:rsidR="003A2EEA" w:rsidRPr="00D005A1" w:rsidRDefault="003A2EEA" w:rsidP="00D005A1">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D005A1">
              <w:rPr>
                <w:rFonts w:ascii="Times New Roman" w:hAnsi="Times New Roman" w:cs="Times New Roman"/>
                <w:b/>
                <w:color w:val="000000" w:themeColor="text1"/>
                <w:sz w:val="22"/>
                <w:szCs w:val="22"/>
                <w:lang w:val="it-IT" w:eastAsia="ru-RU"/>
              </w:rPr>
              <w:t>GZR/EBR</w:t>
            </w:r>
          </w:p>
        </w:tc>
        <w:tc>
          <w:tcPr>
            <w:tcW w:w="850" w:type="dxa"/>
            <w:tcBorders>
              <w:bottom w:val="single" w:sz="12" w:space="0" w:color="auto"/>
            </w:tcBorders>
            <w:vAlign w:val="center"/>
          </w:tcPr>
          <w:p w14:paraId="7AD2ED5E" w14:textId="69598065" w:rsidR="003A2EEA" w:rsidRPr="00D005A1" w:rsidRDefault="003A2EEA" w:rsidP="00D005A1">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D005A1">
              <w:rPr>
                <w:rFonts w:ascii="Times New Roman" w:hAnsi="Times New Roman" w:cs="Times New Roman"/>
                <w:b/>
                <w:color w:val="000000" w:themeColor="text1"/>
                <w:sz w:val="22"/>
                <w:szCs w:val="22"/>
                <w:lang w:val="it-IT" w:eastAsia="ru-RU"/>
              </w:rPr>
              <w:t>SOF/VEL/VOX</w:t>
            </w:r>
          </w:p>
        </w:tc>
        <w:tc>
          <w:tcPr>
            <w:tcW w:w="851" w:type="dxa"/>
            <w:tcBorders>
              <w:bottom w:val="single" w:sz="12" w:space="0" w:color="auto"/>
            </w:tcBorders>
            <w:vAlign w:val="center"/>
          </w:tcPr>
          <w:p w14:paraId="08E920D1" w14:textId="4333256F" w:rsidR="003A2EEA" w:rsidRPr="00D005A1" w:rsidRDefault="003A2EEA" w:rsidP="00D005A1">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D005A1">
              <w:rPr>
                <w:rFonts w:ascii="Times New Roman" w:hAnsi="Times New Roman" w:cs="Times New Roman"/>
                <w:b/>
                <w:color w:val="000000" w:themeColor="text1"/>
                <w:sz w:val="22"/>
                <w:szCs w:val="22"/>
                <w:lang w:val="it-IT" w:eastAsia="ru-RU"/>
              </w:rPr>
              <w:t>GLE/PIB</w:t>
            </w:r>
          </w:p>
        </w:tc>
      </w:tr>
      <w:tr w:rsidR="00171E61" w14:paraId="1CC7AC12" w14:textId="77777777" w:rsidTr="00C92E83">
        <w:tc>
          <w:tcPr>
            <w:tcW w:w="841" w:type="dxa"/>
            <w:vMerge w:val="restart"/>
            <w:tcBorders>
              <w:top w:val="single" w:sz="12" w:space="0" w:color="auto"/>
              <w:left w:val="single" w:sz="12" w:space="0" w:color="auto"/>
            </w:tcBorders>
            <w:textDirection w:val="btLr"/>
            <w:vAlign w:val="center"/>
          </w:tcPr>
          <w:p w14:paraId="01ACCDA0" w14:textId="27AB21DE" w:rsidR="008578BD" w:rsidRPr="00D005A1" w:rsidRDefault="008578BD" w:rsidP="00D005A1">
            <w:pPr>
              <w:spacing w:beforeAutospacing="1" w:afterAutospacing="1"/>
              <w:ind w:left="113" w:right="113"/>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НІЗТ</w:t>
            </w:r>
          </w:p>
        </w:tc>
        <w:tc>
          <w:tcPr>
            <w:tcW w:w="2840" w:type="dxa"/>
            <w:tcBorders>
              <w:top w:val="single" w:sz="12" w:space="0" w:color="auto"/>
            </w:tcBorders>
            <w:vAlign w:val="center"/>
          </w:tcPr>
          <w:p w14:paraId="5D591AE9" w14:textId="579152DE"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Абакавір</w:t>
            </w:r>
          </w:p>
        </w:tc>
        <w:tc>
          <w:tcPr>
            <w:tcW w:w="709" w:type="dxa"/>
            <w:tcBorders>
              <w:top w:val="single" w:sz="12" w:space="0" w:color="auto"/>
            </w:tcBorders>
            <w:shd w:val="clear" w:color="auto" w:fill="C5E0B3" w:themeFill="accent6" w:themeFillTint="66"/>
            <w:vAlign w:val="center"/>
          </w:tcPr>
          <w:p w14:paraId="3E6A47CB" w14:textId="4CE250F7"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708" w:type="dxa"/>
            <w:tcBorders>
              <w:top w:val="single" w:sz="12" w:space="0" w:color="auto"/>
            </w:tcBorders>
            <w:shd w:val="clear" w:color="auto" w:fill="C5E0B3" w:themeFill="accent6" w:themeFillTint="66"/>
            <w:vAlign w:val="center"/>
          </w:tcPr>
          <w:p w14:paraId="0E511DDA" w14:textId="01068483"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C5E0B3" w:themeFill="accent6" w:themeFillTint="66"/>
            <w:vAlign w:val="center"/>
          </w:tcPr>
          <w:p w14:paraId="58F2E546" w14:textId="39685E14"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tcBorders>
              <w:top w:val="single" w:sz="12" w:space="0" w:color="auto"/>
            </w:tcBorders>
            <w:shd w:val="clear" w:color="auto" w:fill="C5E0B3" w:themeFill="accent6" w:themeFillTint="66"/>
            <w:vAlign w:val="center"/>
          </w:tcPr>
          <w:p w14:paraId="7952874B" w14:textId="4BEC7448"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C5E0B3" w:themeFill="accent6" w:themeFillTint="66"/>
            <w:vAlign w:val="center"/>
          </w:tcPr>
          <w:p w14:paraId="6E1D326B" w14:textId="6C6B3094"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tcBorders>
              <w:top w:val="single" w:sz="12" w:space="0" w:color="auto"/>
            </w:tcBorders>
            <w:shd w:val="clear" w:color="auto" w:fill="C5E0B3" w:themeFill="accent6" w:themeFillTint="66"/>
            <w:vAlign w:val="center"/>
          </w:tcPr>
          <w:p w14:paraId="71241B8B" w14:textId="41BA3073"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top w:val="single" w:sz="12" w:space="0" w:color="auto"/>
              <w:right w:val="single" w:sz="12" w:space="0" w:color="auto"/>
            </w:tcBorders>
            <w:shd w:val="clear" w:color="auto" w:fill="C5E0B3" w:themeFill="accent6" w:themeFillTint="66"/>
            <w:vAlign w:val="center"/>
          </w:tcPr>
          <w:p w14:paraId="11419A43" w14:textId="690FCF5E"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r>
      <w:tr w:rsidR="00171E61" w14:paraId="21EA6AE7" w14:textId="77777777" w:rsidTr="00C92E83">
        <w:tc>
          <w:tcPr>
            <w:tcW w:w="841" w:type="dxa"/>
            <w:vMerge/>
            <w:tcBorders>
              <w:left w:val="single" w:sz="12" w:space="0" w:color="auto"/>
            </w:tcBorders>
            <w:vAlign w:val="center"/>
          </w:tcPr>
          <w:p w14:paraId="3320FD11" w14:textId="77777777"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840" w:type="dxa"/>
            <w:vAlign w:val="center"/>
          </w:tcPr>
          <w:p w14:paraId="13993671" w14:textId="1C3E3475"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Емтріцитабін</w:t>
            </w:r>
          </w:p>
        </w:tc>
        <w:tc>
          <w:tcPr>
            <w:tcW w:w="709" w:type="dxa"/>
            <w:shd w:val="clear" w:color="auto" w:fill="C5E0B3" w:themeFill="accent6" w:themeFillTint="66"/>
            <w:vAlign w:val="center"/>
          </w:tcPr>
          <w:p w14:paraId="77CA488A" w14:textId="0AF98699"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708" w:type="dxa"/>
            <w:shd w:val="clear" w:color="auto" w:fill="C5E0B3" w:themeFill="accent6" w:themeFillTint="66"/>
            <w:vAlign w:val="center"/>
          </w:tcPr>
          <w:p w14:paraId="264DDEE1" w14:textId="21AD4385"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146C2440" w14:textId="0F04180A"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13B75BCE" w14:textId="2B1AFF7E"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7C49BC48" w14:textId="45C83FAB"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33C91D2E" w14:textId="2E3F541F"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right w:val="single" w:sz="12" w:space="0" w:color="auto"/>
            </w:tcBorders>
            <w:shd w:val="clear" w:color="auto" w:fill="C5E0B3" w:themeFill="accent6" w:themeFillTint="66"/>
            <w:vAlign w:val="center"/>
          </w:tcPr>
          <w:p w14:paraId="45712D7A" w14:textId="4E8AEA4D"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r>
      <w:tr w:rsidR="00171E61" w14:paraId="0D894753" w14:textId="77777777" w:rsidTr="00C92E83">
        <w:tc>
          <w:tcPr>
            <w:tcW w:w="841" w:type="dxa"/>
            <w:vMerge/>
            <w:tcBorders>
              <w:left w:val="single" w:sz="12" w:space="0" w:color="auto"/>
            </w:tcBorders>
            <w:vAlign w:val="center"/>
          </w:tcPr>
          <w:p w14:paraId="3913E1A1" w14:textId="77777777"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840" w:type="dxa"/>
            <w:vAlign w:val="center"/>
          </w:tcPr>
          <w:p w14:paraId="4AC3C2CA" w14:textId="4DAE5BFB"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Ламівудин</w:t>
            </w:r>
          </w:p>
        </w:tc>
        <w:tc>
          <w:tcPr>
            <w:tcW w:w="709" w:type="dxa"/>
            <w:shd w:val="clear" w:color="auto" w:fill="C5E0B3" w:themeFill="accent6" w:themeFillTint="66"/>
            <w:vAlign w:val="center"/>
          </w:tcPr>
          <w:p w14:paraId="5314AF66" w14:textId="3B43C39A"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708" w:type="dxa"/>
            <w:shd w:val="clear" w:color="auto" w:fill="C5E0B3" w:themeFill="accent6" w:themeFillTint="66"/>
            <w:vAlign w:val="center"/>
          </w:tcPr>
          <w:p w14:paraId="5B99CB19" w14:textId="31B3B5F3"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36115F44" w14:textId="5657FE4C"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53807DBB" w14:textId="08C38D58"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03645A76" w14:textId="51121361"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3BEF0715" w14:textId="3D7E42BC"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right w:val="single" w:sz="12" w:space="0" w:color="auto"/>
            </w:tcBorders>
            <w:shd w:val="clear" w:color="auto" w:fill="C5E0B3" w:themeFill="accent6" w:themeFillTint="66"/>
            <w:vAlign w:val="center"/>
          </w:tcPr>
          <w:p w14:paraId="5BEF7C88" w14:textId="2FD2FF9D"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r>
      <w:tr w:rsidR="00171E61" w14:paraId="362DA9AF" w14:textId="77777777" w:rsidTr="00C92E83">
        <w:tc>
          <w:tcPr>
            <w:tcW w:w="841" w:type="dxa"/>
            <w:vMerge/>
            <w:tcBorders>
              <w:left w:val="single" w:sz="12" w:space="0" w:color="auto"/>
            </w:tcBorders>
            <w:vAlign w:val="center"/>
          </w:tcPr>
          <w:p w14:paraId="6681ED6D" w14:textId="77777777"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840" w:type="dxa"/>
            <w:vAlign w:val="center"/>
          </w:tcPr>
          <w:p w14:paraId="217E6A3B" w14:textId="5B84BB49"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Тенофовір дизопроксил фумарат</w:t>
            </w:r>
          </w:p>
        </w:tc>
        <w:tc>
          <w:tcPr>
            <w:tcW w:w="709" w:type="dxa"/>
            <w:shd w:val="clear" w:color="auto" w:fill="C5E0B3" w:themeFill="accent6" w:themeFillTint="66"/>
            <w:vAlign w:val="center"/>
          </w:tcPr>
          <w:p w14:paraId="09BE2809" w14:textId="2DEB49C7"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708" w:type="dxa"/>
            <w:shd w:val="clear" w:color="auto" w:fill="F7CAAC" w:themeFill="accent2" w:themeFillTint="66"/>
            <w:vAlign w:val="center"/>
          </w:tcPr>
          <w:p w14:paraId="5F12A980" w14:textId="3D7E5027"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F7CAAC" w:themeFill="accent2" w:themeFillTint="66"/>
            <w:vAlign w:val="center"/>
          </w:tcPr>
          <w:p w14:paraId="69FD713C" w14:textId="32FEAE4E"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3AEDED8E" w14:textId="3641EDC9"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54BF237F" w14:textId="1A4C13E2"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F7CAAC" w:themeFill="accent2" w:themeFillTint="66"/>
            <w:vAlign w:val="center"/>
          </w:tcPr>
          <w:p w14:paraId="43C1A0D8" w14:textId="40F43E6F"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right w:val="single" w:sz="12" w:space="0" w:color="auto"/>
            </w:tcBorders>
            <w:shd w:val="clear" w:color="auto" w:fill="C5E0B3" w:themeFill="accent6" w:themeFillTint="66"/>
            <w:vAlign w:val="center"/>
          </w:tcPr>
          <w:p w14:paraId="764452E9" w14:textId="654F29A7"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r>
      <w:tr w:rsidR="00171E61" w14:paraId="6EB93DE0" w14:textId="77777777" w:rsidTr="00C92E83">
        <w:tc>
          <w:tcPr>
            <w:tcW w:w="841" w:type="dxa"/>
            <w:vMerge/>
            <w:tcBorders>
              <w:left w:val="single" w:sz="12" w:space="0" w:color="auto"/>
              <w:bottom w:val="single" w:sz="12" w:space="0" w:color="auto"/>
            </w:tcBorders>
            <w:vAlign w:val="center"/>
          </w:tcPr>
          <w:p w14:paraId="10D36DED" w14:textId="77777777"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840" w:type="dxa"/>
            <w:tcBorders>
              <w:bottom w:val="single" w:sz="12" w:space="0" w:color="auto"/>
            </w:tcBorders>
            <w:vAlign w:val="center"/>
          </w:tcPr>
          <w:p w14:paraId="1A2CDE4A" w14:textId="54B16965"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Тенофовір алафенамід</w:t>
            </w:r>
          </w:p>
        </w:tc>
        <w:tc>
          <w:tcPr>
            <w:tcW w:w="709" w:type="dxa"/>
            <w:tcBorders>
              <w:bottom w:val="single" w:sz="12" w:space="0" w:color="auto"/>
            </w:tcBorders>
            <w:shd w:val="clear" w:color="auto" w:fill="C5E0B3" w:themeFill="accent6" w:themeFillTint="66"/>
            <w:vAlign w:val="center"/>
          </w:tcPr>
          <w:p w14:paraId="46587168" w14:textId="1942BE61"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708" w:type="dxa"/>
            <w:tcBorders>
              <w:bottom w:val="single" w:sz="12" w:space="0" w:color="auto"/>
            </w:tcBorders>
            <w:shd w:val="clear" w:color="auto" w:fill="C5E0B3" w:themeFill="accent6" w:themeFillTint="66"/>
            <w:vAlign w:val="center"/>
          </w:tcPr>
          <w:p w14:paraId="4A038948" w14:textId="308E52D3"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C5E0B3" w:themeFill="accent6" w:themeFillTint="66"/>
            <w:vAlign w:val="center"/>
          </w:tcPr>
          <w:p w14:paraId="04B67B95" w14:textId="5F0C3C58"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tcBorders>
              <w:bottom w:val="single" w:sz="12" w:space="0" w:color="auto"/>
            </w:tcBorders>
            <w:shd w:val="clear" w:color="auto" w:fill="F7CAAC" w:themeFill="accent2" w:themeFillTint="66"/>
            <w:vAlign w:val="center"/>
          </w:tcPr>
          <w:p w14:paraId="67AFB03C" w14:textId="6F437382"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C5E0B3" w:themeFill="accent6" w:themeFillTint="66"/>
            <w:vAlign w:val="center"/>
          </w:tcPr>
          <w:p w14:paraId="5A08D4F9" w14:textId="42FFDCC5"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tcBorders>
              <w:bottom w:val="single" w:sz="12" w:space="0" w:color="auto"/>
            </w:tcBorders>
            <w:shd w:val="clear" w:color="auto" w:fill="F7CAAC" w:themeFill="accent2" w:themeFillTint="66"/>
            <w:vAlign w:val="center"/>
          </w:tcPr>
          <w:p w14:paraId="1FDF32DE" w14:textId="3484FD29"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bottom w:val="single" w:sz="12" w:space="0" w:color="auto"/>
              <w:right w:val="single" w:sz="12" w:space="0" w:color="auto"/>
            </w:tcBorders>
            <w:shd w:val="clear" w:color="auto" w:fill="C5E0B3" w:themeFill="accent6" w:themeFillTint="66"/>
            <w:vAlign w:val="center"/>
          </w:tcPr>
          <w:p w14:paraId="50AF4364" w14:textId="67552D2D"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r>
      <w:tr w:rsidR="00171E61" w14:paraId="6657BF60" w14:textId="77777777" w:rsidTr="00C92E83">
        <w:tc>
          <w:tcPr>
            <w:tcW w:w="841" w:type="dxa"/>
            <w:vMerge w:val="restart"/>
            <w:tcBorders>
              <w:top w:val="single" w:sz="12" w:space="0" w:color="auto"/>
              <w:left w:val="single" w:sz="12" w:space="0" w:color="auto"/>
            </w:tcBorders>
            <w:textDirection w:val="btLr"/>
            <w:vAlign w:val="center"/>
          </w:tcPr>
          <w:p w14:paraId="53879F74" w14:textId="3B80E7A2" w:rsidR="008578BD" w:rsidRPr="00D005A1" w:rsidRDefault="00171E61" w:rsidP="00D005A1">
            <w:pPr>
              <w:spacing w:beforeAutospacing="1" w:afterAutospacing="1"/>
              <w:ind w:left="113" w:right="113"/>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ННІЗТ</w:t>
            </w:r>
          </w:p>
        </w:tc>
        <w:tc>
          <w:tcPr>
            <w:tcW w:w="2840" w:type="dxa"/>
            <w:tcBorders>
              <w:top w:val="single" w:sz="12" w:space="0" w:color="auto"/>
            </w:tcBorders>
            <w:vAlign w:val="center"/>
          </w:tcPr>
          <w:p w14:paraId="14FD0055" w14:textId="52DD070C"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Ефавіренц</w:t>
            </w:r>
          </w:p>
        </w:tc>
        <w:tc>
          <w:tcPr>
            <w:tcW w:w="709" w:type="dxa"/>
            <w:tcBorders>
              <w:top w:val="single" w:sz="12" w:space="0" w:color="auto"/>
            </w:tcBorders>
            <w:shd w:val="clear" w:color="auto" w:fill="C5E0B3" w:themeFill="accent6" w:themeFillTint="66"/>
            <w:vAlign w:val="center"/>
          </w:tcPr>
          <w:p w14:paraId="49027287" w14:textId="4C7E4558"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708" w:type="dxa"/>
            <w:tcBorders>
              <w:top w:val="single" w:sz="12" w:space="0" w:color="auto"/>
            </w:tcBorders>
            <w:shd w:val="clear" w:color="auto" w:fill="F7CAAC" w:themeFill="accent2" w:themeFillTint="66"/>
            <w:vAlign w:val="center"/>
          </w:tcPr>
          <w:p w14:paraId="7DF080FA" w14:textId="09F7C51A"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FF5050"/>
            <w:vAlign w:val="center"/>
          </w:tcPr>
          <w:p w14:paraId="0E90F228" w14:textId="35A1FA07"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tcBorders>
              <w:top w:val="single" w:sz="12" w:space="0" w:color="auto"/>
            </w:tcBorders>
            <w:shd w:val="clear" w:color="auto" w:fill="FF5050"/>
            <w:vAlign w:val="center"/>
          </w:tcPr>
          <w:p w14:paraId="69A69B68" w14:textId="64BD35C6"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FF5050"/>
            <w:vAlign w:val="center"/>
          </w:tcPr>
          <w:p w14:paraId="37A4CB6F" w14:textId="78786AE0"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tcBorders>
              <w:top w:val="single" w:sz="12" w:space="0" w:color="auto"/>
            </w:tcBorders>
            <w:shd w:val="clear" w:color="auto" w:fill="FF5050"/>
            <w:vAlign w:val="center"/>
          </w:tcPr>
          <w:p w14:paraId="481D3552" w14:textId="6610E3FD"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top w:val="single" w:sz="12" w:space="0" w:color="auto"/>
              <w:right w:val="single" w:sz="12" w:space="0" w:color="auto"/>
            </w:tcBorders>
            <w:shd w:val="clear" w:color="auto" w:fill="FF5050"/>
            <w:vAlign w:val="center"/>
          </w:tcPr>
          <w:p w14:paraId="23935605" w14:textId="0EFA0DCF"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r>
      <w:tr w:rsidR="00171E61" w14:paraId="3F2290C1" w14:textId="77777777" w:rsidTr="00C92E83">
        <w:tc>
          <w:tcPr>
            <w:tcW w:w="841" w:type="dxa"/>
            <w:vMerge/>
            <w:tcBorders>
              <w:left w:val="single" w:sz="12" w:space="0" w:color="auto"/>
            </w:tcBorders>
            <w:vAlign w:val="center"/>
          </w:tcPr>
          <w:p w14:paraId="4F55C39B" w14:textId="77777777"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840" w:type="dxa"/>
            <w:vAlign w:val="center"/>
          </w:tcPr>
          <w:p w14:paraId="283DE335" w14:textId="10FEB95D"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Етравірин</w:t>
            </w:r>
          </w:p>
        </w:tc>
        <w:tc>
          <w:tcPr>
            <w:tcW w:w="709" w:type="dxa"/>
            <w:shd w:val="clear" w:color="auto" w:fill="C5E0B3" w:themeFill="accent6" w:themeFillTint="66"/>
            <w:vAlign w:val="center"/>
          </w:tcPr>
          <w:p w14:paraId="6942302F" w14:textId="299C6077"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708" w:type="dxa"/>
            <w:shd w:val="clear" w:color="auto" w:fill="C5E0B3" w:themeFill="accent6" w:themeFillTint="66"/>
            <w:vAlign w:val="center"/>
          </w:tcPr>
          <w:p w14:paraId="2B3F634D" w14:textId="18EA3045"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FF5050"/>
            <w:vAlign w:val="center"/>
          </w:tcPr>
          <w:p w14:paraId="39D14DDA" w14:textId="41F615CA"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FF5050"/>
            <w:vAlign w:val="center"/>
          </w:tcPr>
          <w:p w14:paraId="2DA4659C" w14:textId="18AEB8E2"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FF5050"/>
            <w:vAlign w:val="center"/>
          </w:tcPr>
          <w:p w14:paraId="16DADB1B" w14:textId="01F7690F"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FF5050"/>
            <w:vAlign w:val="center"/>
          </w:tcPr>
          <w:p w14:paraId="65144E95" w14:textId="0B860559"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right w:val="single" w:sz="12" w:space="0" w:color="auto"/>
            </w:tcBorders>
            <w:shd w:val="clear" w:color="auto" w:fill="FF5050"/>
            <w:vAlign w:val="center"/>
          </w:tcPr>
          <w:p w14:paraId="571797AC" w14:textId="2F87D0D9"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r>
      <w:tr w:rsidR="00171E61" w14:paraId="567FF881" w14:textId="77777777" w:rsidTr="00C92E83">
        <w:tc>
          <w:tcPr>
            <w:tcW w:w="841" w:type="dxa"/>
            <w:vMerge/>
            <w:tcBorders>
              <w:left w:val="single" w:sz="12" w:space="0" w:color="auto"/>
            </w:tcBorders>
            <w:vAlign w:val="center"/>
          </w:tcPr>
          <w:p w14:paraId="2C180BD7" w14:textId="77777777"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840" w:type="dxa"/>
            <w:vAlign w:val="center"/>
          </w:tcPr>
          <w:p w14:paraId="318AF4C6" w14:textId="7A26B210"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Невірапін</w:t>
            </w:r>
          </w:p>
        </w:tc>
        <w:tc>
          <w:tcPr>
            <w:tcW w:w="709" w:type="dxa"/>
            <w:shd w:val="clear" w:color="auto" w:fill="C5E0B3" w:themeFill="accent6" w:themeFillTint="66"/>
            <w:vAlign w:val="center"/>
          </w:tcPr>
          <w:p w14:paraId="3ADD1637" w14:textId="5C5F2EA7"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708" w:type="dxa"/>
            <w:shd w:val="clear" w:color="auto" w:fill="C5E0B3" w:themeFill="accent6" w:themeFillTint="66"/>
            <w:vAlign w:val="center"/>
          </w:tcPr>
          <w:p w14:paraId="4EA9FDFE" w14:textId="4A8DA3EB"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FF5050"/>
            <w:vAlign w:val="center"/>
          </w:tcPr>
          <w:p w14:paraId="6A81D416" w14:textId="36D653C0"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FF5050"/>
            <w:vAlign w:val="center"/>
          </w:tcPr>
          <w:p w14:paraId="11B22F87" w14:textId="5757BD5F"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FF5050"/>
            <w:vAlign w:val="center"/>
          </w:tcPr>
          <w:p w14:paraId="7BD61838" w14:textId="5C08D06F"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FF5050"/>
            <w:vAlign w:val="center"/>
          </w:tcPr>
          <w:p w14:paraId="5F6C15CD" w14:textId="593113E1"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right w:val="single" w:sz="12" w:space="0" w:color="auto"/>
            </w:tcBorders>
            <w:shd w:val="clear" w:color="auto" w:fill="FF5050"/>
            <w:vAlign w:val="center"/>
          </w:tcPr>
          <w:p w14:paraId="508D443F" w14:textId="4AD48B9C"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r>
      <w:tr w:rsidR="00171E61" w14:paraId="54B7779E" w14:textId="77777777" w:rsidTr="00C92E83">
        <w:tc>
          <w:tcPr>
            <w:tcW w:w="841" w:type="dxa"/>
            <w:vMerge/>
            <w:tcBorders>
              <w:left w:val="single" w:sz="12" w:space="0" w:color="auto"/>
              <w:bottom w:val="single" w:sz="12" w:space="0" w:color="auto"/>
            </w:tcBorders>
            <w:vAlign w:val="center"/>
          </w:tcPr>
          <w:p w14:paraId="066D61FB" w14:textId="77777777"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840" w:type="dxa"/>
            <w:tcBorders>
              <w:bottom w:val="single" w:sz="12" w:space="0" w:color="auto"/>
            </w:tcBorders>
            <w:vAlign w:val="center"/>
          </w:tcPr>
          <w:p w14:paraId="2D5489FD" w14:textId="5E4F986E"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Рилпівірин</w:t>
            </w:r>
          </w:p>
        </w:tc>
        <w:tc>
          <w:tcPr>
            <w:tcW w:w="709" w:type="dxa"/>
            <w:tcBorders>
              <w:bottom w:val="single" w:sz="12" w:space="0" w:color="auto"/>
            </w:tcBorders>
            <w:shd w:val="clear" w:color="auto" w:fill="C5E0B3" w:themeFill="accent6" w:themeFillTint="66"/>
            <w:vAlign w:val="center"/>
          </w:tcPr>
          <w:p w14:paraId="1F3E8468" w14:textId="7263F857"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708" w:type="dxa"/>
            <w:tcBorders>
              <w:bottom w:val="single" w:sz="12" w:space="0" w:color="auto"/>
            </w:tcBorders>
            <w:shd w:val="clear" w:color="auto" w:fill="C5E0B3" w:themeFill="accent6" w:themeFillTint="66"/>
            <w:vAlign w:val="center"/>
          </w:tcPr>
          <w:p w14:paraId="3C6A46EC" w14:textId="003B2555"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C5E0B3" w:themeFill="accent6" w:themeFillTint="66"/>
            <w:vAlign w:val="center"/>
          </w:tcPr>
          <w:p w14:paraId="542FADF7" w14:textId="7813EDF1"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tcBorders>
              <w:bottom w:val="single" w:sz="12" w:space="0" w:color="auto"/>
            </w:tcBorders>
            <w:shd w:val="clear" w:color="auto" w:fill="F7CAAC" w:themeFill="accent2" w:themeFillTint="66"/>
            <w:vAlign w:val="center"/>
          </w:tcPr>
          <w:p w14:paraId="4431BB97" w14:textId="05182518"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C5E0B3" w:themeFill="accent6" w:themeFillTint="66"/>
            <w:vAlign w:val="center"/>
          </w:tcPr>
          <w:p w14:paraId="42F6680C" w14:textId="12EB3858"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tcBorders>
              <w:bottom w:val="single" w:sz="12" w:space="0" w:color="auto"/>
            </w:tcBorders>
            <w:shd w:val="clear" w:color="auto" w:fill="C5E0B3" w:themeFill="accent6" w:themeFillTint="66"/>
            <w:vAlign w:val="center"/>
          </w:tcPr>
          <w:p w14:paraId="0202662F" w14:textId="64DD439C"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bottom w:val="single" w:sz="12" w:space="0" w:color="auto"/>
              <w:right w:val="single" w:sz="12" w:space="0" w:color="auto"/>
            </w:tcBorders>
            <w:shd w:val="clear" w:color="auto" w:fill="C5E0B3" w:themeFill="accent6" w:themeFillTint="66"/>
            <w:vAlign w:val="center"/>
          </w:tcPr>
          <w:p w14:paraId="3116DA0A" w14:textId="1777A7FE" w:rsidR="008578BD" w:rsidRPr="00D005A1" w:rsidRDefault="008578BD"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r>
      <w:tr w:rsidR="00171E61" w14:paraId="10994DAA" w14:textId="77777777" w:rsidTr="00C92E83">
        <w:tc>
          <w:tcPr>
            <w:tcW w:w="841" w:type="dxa"/>
            <w:vMerge w:val="restart"/>
            <w:tcBorders>
              <w:top w:val="single" w:sz="12" w:space="0" w:color="auto"/>
              <w:left w:val="single" w:sz="12" w:space="0" w:color="auto"/>
            </w:tcBorders>
            <w:textDirection w:val="btLr"/>
            <w:vAlign w:val="center"/>
          </w:tcPr>
          <w:p w14:paraId="1D74CBE8" w14:textId="0723BFC6" w:rsidR="00171E61" w:rsidRPr="00D005A1" w:rsidRDefault="00171E61" w:rsidP="00D005A1">
            <w:pPr>
              <w:spacing w:beforeAutospacing="1" w:afterAutospacing="1"/>
              <w:ind w:left="113" w:right="113"/>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Інгібітори протеази</w:t>
            </w:r>
          </w:p>
        </w:tc>
        <w:tc>
          <w:tcPr>
            <w:tcW w:w="2840" w:type="dxa"/>
            <w:tcBorders>
              <w:top w:val="single" w:sz="12" w:space="0" w:color="auto"/>
            </w:tcBorders>
            <w:vAlign w:val="center"/>
          </w:tcPr>
          <w:p w14:paraId="24BF3F27" w14:textId="64ED9A60"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Атазанавір/ ритонавір</w:t>
            </w:r>
          </w:p>
        </w:tc>
        <w:tc>
          <w:tcPr>
            <w:tcW w:w="709" w:type="dxa"/>
            <w:tcBorders>
              <w:top w:val="single" w:sz="12" w:space="0" w:color="auto"/>
            </w:tcBorders>
            <w:shd w:val="clear" w:color="auto" w:fill="C5E0B3" w:themeFill="accent6" w:themeFillTint="66"/>
            <w:vAlign w:val="center"/>
          </w:tcPr>
          <w:p w14:paraId="57E673AA" w14:textId="71D9B00A"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708" w:type="dxa"/>
            <w:tcBorders>
              <w:top w:val="single" w:sz="12" w:space="0" w:color="auto"/>
            </w:tcBorders>
            <w:shd w:val="clear" w:color="auto" w:fill="C5E0B3" w:themeFill="accent6" w:themeFillTint="66"/>
            <w:vAlign w:val="center"/>
          </w:tcPr>
          <w:p w14:paraId="3EF018F3" w14:textId="5E0CDF19"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C5E0B3" w:themeFill="accent6" w:themeFillTint="66"/>
            <w:vAlign w:val="center"/>
          </w:tcPr>
          <w:p w14:paraId="1BF9F41A" w14:textId="5601B2DB"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tcBorders>
              <w:top w:val="single" w:sz="12" w:space="0" w:color="auto"/>
            </w:tcBorders>
            <w:shd w:val="clear" w:color="auto" w:fill="F7CAAC" w:themeFill="accent2" w:themeFillTint="66"/>
            <w:vAlign w:val="center"/>
          </w:tcPr>
          <w:p w14:paraId="5F164A68" w14:textId="58EACF2E"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FF5050"/>
            <w:vAlign w:val="center"/>
          </w:tcPr>
          <w:p w14:paraId="75316420" w14:textId="7EF5FA42"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tcBorders>
              <w:top w:val="single" w:sz="12" w:space="0" w:color="auto"/>
            </w:tcBorders>
            <w:shd w:val="clear" w:color="auto" w:fill="FF5050"/>
            <w:vAlign w:val="center"/>
          </w:tcPr>
          <w:p w14:paraId="02DB127E" w14:textId="2560465C"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top w:val="single" w:sz="12" w:space="0" w:color="auto"/>
              <w:right w:val="single" w:sz="12" w:space="0" w:color="auto"/>
            </w:tcBorders>
            <w:shd w:val="clear" w:color="auto" w:fill="FF5050"/>
            <w:vAlign w:val="center"/>
          </w:tcPr>
          <w:p w14:paraId="296130C9" w14:textId="0DC52E51"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r>
      <w:tr w:rsidR="00171E61" w14:paraId="3B7F21CB" w14:textId="77777777" w:rsidTr="00C92E83">
        <w:tc>
          <w:tcPr>
            <w:tcW w:w="841" w:type="dxa"/>
            <w:vMerge/>
            <w:tcBorders>
              <w:left w:val="single" w:sz="12" w:space="0" w:color="auto"/>
            </w:tcBorders>
            <w:vAlign w:val="center"/>
          </w:tcPr>
          <w:p w14:paraId="6445378A" w14:textId="77777777"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840" w:type="dxa"/>
            <w:vAlign w:val="center"/>
          </w:tcPr>
          <w:p w14:paraId="4E709F98" w14:textId="139A7FA2"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Атазанавір/ кобіцистат</w:t>
            </w:r>
          </w:p>
        </w:tc>
        <w:tc>
          <w:tcPr>
            <w:tcW w:w="709" w:type="dxa"/>
            <w:shd w:val="clear" w:color="auto" w:fill="C5E0B3" w:themeFill="accent6" w:themeFillTint="66"/>
            <w:vAlign w:val="center"/>
          </w:tcPr>
          <w:p w14:paraId="51A76ABA" w14:textId="0B2CC7B8"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708" w:type="dxa"/>
            <w:shd w:val="clear" w:color="auto" w:fill="C5E0B3" w:themeFill="accent6" w:themeFillTint="66"/>
            <w:vAlign w:val="center"/>
          </w:tcPr>
          <w:p w14:paraId="1EB6399D" w14:textId="4FF6A34E"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4FCCFFEB" w14:textId="43E3B4ED"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FF5050"/>
            <w:vAlign w:val="center"/>
          </w:tcPr>
          <w:p w14:paraId="0682C9F1" w14:textId="54AB18AE"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FF5050"/>
            <w:vAlign w:val="center"/>
          </w:tcPr>
          <w:p w14:paraId="6289E7C8" w14:textId="5CDE6125"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FF5050"/>
            <w:vAlign w:val="center"/>
          </w:tcPr>
          <w:p w14:paraId="5F8DDD90" w14:textId="5A41BB61"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right w:val="single" w:sz="12" w:space="0" w:color="auto"/>
            </w:tcBorders>
            <w:shd w:val="clear" w:color="auto" w:fill="FF5050"/>
            <w:vAlign w:val="center"/>
          </w:tcPr>
          <w:p w14:paraId="6079CB75" w14:textId="26BE6A81"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r>
      <w:tr w:rsidR="00171E61" w14:paraId="47C6257A" w14:textId="77777777" w:rsidTr="00C92E83">
        <w:tc>
          <w:tcPr>
            <w:tcW w:w="841" w:type="dxa"/>
            <w:vMerge/>
            <w:tcBorders>
              <w:left w:val="single" w:sz="12" w:space="0" w:color="auto"/>
            </w:tcBorders>
            <w:vAlign w:val="center"/>
          </w:tcPr>
          <w:p w14:paraId="17403DDE" w14:textId="77777777"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840" w:type="dxa"/>
            <w:vAlign w:val="center"/>
          </w:tcPr>
          <w:p w14:paraId="16922E50" w14:textId="69582A01"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Дарунавір/ритонавір</w:t>
            </w:r>
          </w:p>
        </w:tc>
        <w:tc>
          <w:tcPr>
            <w:tcW w:w="709" w:type="dxa"/>
            <w:shd w:val="clear" w:color="auto" w:fill="C5E0B3" w:themeFill="accent6" w:themeFillTint="66"/>
            <w:vAlign w:val="center"/>
          </w:tcPr>
          <w:p w14:paraId="0107838A" w14:textId="4EEEAC18"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708" w:type="dxa"/>
            <w:shd w:val="clear" w:color="auto" w:fill="C5E0B3" w:themeFill="accent6" w:themeFillTint="66"/>
            <w:vAlign w:val="center"/>
          </w:tcPr>
          <w:p w14:paraId="184DFBC2" w14:textId="354CF1A1"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02C004EB" w14:textId="63DE9051"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F7CAAC" w:themeFill="accent2" w:themeFillTint="66"/>
            <w:vAlign w:val="center"/>
          </w:tcPr>
          <w:p w14:paraId="1B895645" w14:textId="6C5363AA"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FF5050"/>
            <w:vAlign w:val="center"/>
          </w:tcPr>
          <w:p w14:paraId="7EBF5B4F" w14:textId="562374B5"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F7CAAC" w:themeFill="accent2" w:themeFillTint="66"/>
            <w:vAlign w:val="center"/>
          </w:tcPr>
          <w:p w14:paraId="0E1EF4C7" w14:textId="2A7EC258"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right w:val="single" w:sz="12" w:space="0" w:color="auto"/>
            </w:tcBorders>
            <w:shd w:val="clear" w:color="auto" w:fill="FF5050"/>
            <w:vAlign w:val="center"/>
          </w:tcPr>
          <w:p w14:paraId="54A136F5" w14:textId="415B6A6D"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r>
      <w:tr w:rsidR="00171E61" w14:paraId="7F9113A9" w14:textId="77777777" w:rsidTr="00C92E83">
        <w:tc>
          <w:tcPr>
            <w:tcW w:w="841" w:type="dxa"/>
            <w:vMerge/>
            <w:tcBorders>
              <w:left w:val="single" w:sz="12" w:space="0" w:color="auto"/>
            </w:tcBorders>
            <w:vAlign w:val="center"/>
          </w:tcPr>
          <w:p w14:paraId="1798964F" w14:textId="77777777"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840" w:type="dxa"/>
            <w:vAlign w:val="center"/>
          </w:tcPr>
          <w:p w14:paraId="53CB1822" w14:textId="7A3650D8"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Дарунавір/кобіцистат</w:t>
            </w:r>
          </w:p>
        </w:tc>
        <w:tc>
          <w:tcPr>
            <w:tcW w:w="709" w:type="dxa"/>
            <w:shd w:val="clear" w:color="auto" w:fill="C5E0B3" w:themeFill="accent6" w:themeFillTint="66"/>
            <w:vAlign w:val="center"/>
          </w:tcPr>
          <w:p w14:paraId="3169BC79" w14:textId="0F973C79"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708" w:type="dxa"/>
            <w:shd w:val="clear" w:color="auto" w:fill="C5E0B3" w:themeFill="accent6" w:themeFillTint="66"/>
            <w:vAlign w:val="center"/>
          </w:tcPr>
          <w:p w14:paraId="40704BEB" w14:textId="37F7B72A"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2F1D47AB" w14:textId="353A8B7E"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FF5050"/>
            <w:vAlign w:val="center"/>
          </w:tcPr>
          <w:p w14:paraId="11534809" w14:textId="14E03C48"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FF5050"/>
            <w:vAlign w:val="center"/>
          </w:tcPr>
          <w:p w14:paraId="42FF3DBD" w14:textId="6311F592"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54F0458A" w14:textId="28FC749C"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right w:val="single" w:sz="12" w:space="0" w:color="auto"/>
            </w:tcBorders>
            <w:shd w:val="clear" w:color="auto" w:fill="FF5050"/>
            <w:vAlign w:val="center"/>
          </w:tcPr>
          <w:p w14:paraId="20A89CB8" w14:textId="7473B7A2"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r>
      <w:tr w:rsidR="003A669B" w14:paraId="4B78CEEC" w14:textId="77777777" w:rsidTr="00C92E83">
        <w:tc>
          <w:tcPr>
            <w:tcW w:w="841" w:type="dxa"/>
            <w:vMerge/>
            <w:tcBorders>
              <w:left w:val="single" w:sz="12" w:space="0" w:color="auto"/>
              <w:bottom w:val="single" w:sz="12" w:space="0" w:color="auto"/>
            </w:tcBorders>
            <w:vAlign w:val="center"/>
          </w:tcPr>
          <w:p w14:paraId="7BAC2BE8" w14:textId="77777777"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840" w:type="dxa"/>
            <w:tcBorders>
              <w:bottom w:val="single" w:sz="12" w:space="0" w:color="auto"/>
            </w:tcBorders>
            <w:vAlign w:val="center"/>
          </w:tcPr>
          <w:p w14:paraId="171D6AAE" w14:textId="6FA210FF"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Лопінавір/ритонавір</w:t>
            </w:r>
          </w:p>
        </w:tc>
        <w:tc>
          <w:tcPr>
            <w:tcW w:w="709" w:type="dxa"/>
            <w:tcBorders>
              <w:bottom w:val="single" w:sz="12" w:space="0" w:color="auto"/>
            </w:tcBorders>
            <w:shd w:val="clear" w:color="auto" w:fill="C5E0B3" w:themeFill="accent6" w:themeFillTint="66"/>
            <w:vAlign w:val="center"/>
          </w:tcPr>
          <w:p w14:paraId="5E925160" w14:textId="6D6B2AB5"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708" w:type="dxa"/>
            <w:tcBorders>
              <w:bottom w:val="single" w:sz="12" w:space="0" w:color="auto"/>
            </w:tcBorders>
            <w:shd w:val="clear" w:color="auto" w:fill="C5E0B3" w:themeFill="accent6" w:themeFillTint="66"/>
            <w:vAlign w:val="center"/>
          </w:tcPr>
          <w:p w14:paraId="2E48CA9C" w14:textId="180F3EC5"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C5E0B3" w:themeFill="accent6" w:themeFillTint="66"/>
            <w:vAlign w:val="center"/>
          </w:tcPr>
          <w:p w14:paraId="39918A61" w14:textId="4ACCA271"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tcBorders>
              <w:bottom w:val="single" w:sz="12" w:space="0" w:color="auto"/>
            </w:tcBorders>
            <w:shd w:val="clear" w:color="auto" w:fill="FF5050"/>
            <w:vAlign w:val="center"/>
          </w:tcPr>
          <w:p w14:paraId="1F767E90" w14:textId="2780AE81"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FF5050"/>
            <w:vAlign w:val="center"/>
          </w:tcPr>
          <w:p w14:paraId="1FE20D31" w14:textId="0EB36275"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tcBorders>
              <w:bottom w:val="single" w:sz="12" w:space="0" w:color="auto"/>
            </w:tcBorders>
            <w:shd w:val="clear" w:color="auto" w:fill="FF5050"/>
            <w:vAlign w:val="center"/>
          </w:tcPr>
          <w:p w14:paraId="3E20D117" w14:textId="12D4E2F2"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bottom w:val="single" w:sz="12" w:space="0" w:color="auto"/>
              <w:right w:val="single" w:sz="12" w:space="0" w:color="auto"/>
            </w:tcBorders>
            <w:shd w:val="clear" w:color="auto" w:fill="FF5050"/>
            <w:vAlign w:val="center"/>
          </w:tcPr>
          <w:p w14:paraId="0C02335B" w14:textId="0C13197C"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r>
      <w:tr w:rsidR="00171E61" w14:paraId="3DDF807E" w14:textId="77777777" w:rsidTr="00C92E83">
        <w:tc>
          <w:tcPr>
            <w:tcW w:w="841" w:type="dxa"/>
            <w:vMerge w:val="restart"/>
            <w:tcBorders>
              <w:top w:val="single" w:sz="12" w:space="0" w:color="auto"/>
              <w:left w:val="single" w:sz="12" w:space="0" w:color="auto"/>
            </w:tcBorders>
            <w:textDirection w:val="btLr"/>
            <w:vAlign w:val="center"/>
          </w:tcPr>
          <w:p w14:paraId="74A71BA8" w14:textId="13A32EB1" w:rsidR="00171E61" w:rsidRPr="00D005A1" w:rsidRDefault="00171E61" w:rsidP="00D005A1">
            <w:pPr>
              <w:spacing w:beforeAutospacing="1" w:afterAutospacing="1"/>
              <w:ind w:left="113" w:right="113"/>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Інгібітори інтегрази</w:t>
            </w:r>
          </w:p>
        </w:tc>
        <w:tc>
          <w:tcPr>
            <w:tcW w:w="2840" w:type="dxa"/>
            <w:tcBorders>
              <w:top w:val="single" w:sz="12" w:space="0" w:color="auto"/>
            </w:tcBorders>
            <w:vAlign w:val="center"/>
          </w:tcPr>
          <w:p w14:paraId="49DCF9C3" w14:textId="0F5241F7"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Долутегравір</w:t>
            </w:r>
          </w:p>
        </w:tc>
        <w:tc>
          <w:tcPr>
            <w:tcW w:w="709" w:type="dxa"/>
            <w:tcBorders>
              <w:top w:val="single" w:sz="12" w:space="0" w:color="auto"/>
            </w:tcBorders>
            <w:shd w:val="clear" w:color="auto" w:fill="C5E0B3" w:themeFill="accent6" w:themeFillTint="66"/>
            <w:vAlign w:val="center"/>
          </w:tcPr>
          <w:p w14:paraId="3D667FE3" w14:textId="75255406"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708" w:type="dxa"/>
            <w:tcBorders>
              <w:top w:val="single" w:sz="12" w:space="0" w:color="auto"/>
            </w:tcBorders>
            <w:shd w:val="clear" w:color="auto" w:fill="C5E0B3" w:themeFill="accent6" w:themeFillTint="66"/>
            <w:vAlign w:val="center"/>
          </w:tcPr>
          <w:p w14:paraId="2044FD56" w14:textId="34155C39"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C5E0B3" w:themeFill="accent6" w:themeFillTint="66"/>
            <w:vAlign w:val="center"/>
          </w:tcPr>
          <w:p w14:paraId="11B785DD" w14:textId="327FBBDE"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tcBorders>
              <w:top w:val="single" w:sz="12" w:space="0" w:color="auto"/>
            </w:tcBorders>
            <w:shd w:val="clear" w:color="auto" w:fill="C5E0B3" w:themeFill="accent6" w:themeFillTint="66"/>
            <w:vAlign w:val="center"/>
          </w:tcPr>
          <w:p w14:paraId="48973CE9" w14:textId="69570039"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C5E0B3" w:themeFill="accent6" w:themeFillTint="66"/>
            <w:vAlign w:val="center"/>
          </w:tcPr>
          <w:p w14:paraId="6D089760" w14:textId="49B07CF9"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tcBorders>
              <w:top w:val="single" w:sz="12" w:space="0" w:color="auto"/>
            </w:tcBorders>
            <w:shd w:val="clear" w:color="auto" w:fill="C5E0B3" w:themeFill="accent6" w:themeFillTint="66"/>
            <w:vAlign w:val="center"/>
          </w:tcPr>
          <w:p w14:paraId="7DA42AD1" w14:textId="12B73660"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top w:val="single" w:sz="12" w:space="0" w:color="auto"/>
              <w:right w:val="single" w:sz="12" w:space="0" w:color="auto"/>
            </w:tcBorders>
            <w:shd w:val="clear" w:color="auto" w:fill="C5E0B3" w:themeFill="accent6" w:themeFillTint="66"/>
            <w:vAlign w:val="center"/>
          </w:tcPr>
          <w:p w14:paraId="1E0B9854" w14:textId="19ADB328"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r>
      <w:tr w:rsidR="00171E61" w14:paraId="657FA547" w14:textId="77777777" w:rsidTr="00C92E83">
        <w:tc>
          <w:tcPr>
            <w:tcW w:w="841" w:type="dxa"/>
            <w:vMerge/>
            <w:tcBorders>
              <w:left w:val="single" w:sz="12" w:space="0" w:color="auto"/>
            </w:tcBorders>
            <w:vAlign w:val="center"/>
          </w:tcPr>
          <w:p w14:paraId="42514188" w14:textId="77777777"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840" w:type="dxa"/>
            <w:vAlign w:val="center"/>
          </w:tcPr>
          <w:p w14:paraId="424BDD7E" w14:textId="4196BA3A"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Елвітегравір/кобіцистат/емтріцитабін/тенофовір дизопроксил фумарат</w:t>
            </w:r>
          </w:p>
        </w:tc>
        <w:tc>
          <w:tcPr>
            <w:tcW w:w="709" w:type="dxa"/>
            <w:shd w:val="clear" w:color="auto" w:fill="C5E0B3" w:themeFill="accent6" w:themeFillTint="66"/>
            <w:vAlign w:val="center"/>
          </w:tcPr>
          <w:p w14:paraId="737CF181" w14:textId="2DCC727F"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708" w:type="dxa"/>
            <w:shd w:val="clear" w:color="auto" w:fill="F7CAAC" w:themeFill="accent2" w:themeFillTint="66"/>
            <w:vAlign w:val="center"/>
          </w:tcPr>
          <w:p w14:paraId="1B49CDB0" w14:textId="3ADA7F8E"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F7CAAC" w:themeFill="accent2" w:themeFillTint="66"/>
            <w:vAlign w:val="center"/>
          </w:tcPr>
          <w:p w14:paraId="79649B19" w14:textId="4E36063E"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FF5050"/>
            <w:vAlign w:val="center"/>
          </w:tcPr>
          <w:p w14:paraId="239EF6D5" w14:textId="4D7F2EDE"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FF5050"/>
            <w:vAlign w:val="center"/>
          </w:tcPr>
          <w:p w14:paraId="247020D2" w14:textId="2335DCBB"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F7CAAC" w:themeFill="accent2" w:themeFillTint="66"/>
            <w:vAlign w:val="center"/>
          </w:tcPr>
          <w:p w14:paraId="7CA7F127" w14:textId="0643F07F"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right w:val="single" w:sz="12" w:space="0" w:color="auto"/>
            </w:tcBorders>
            <w:shd w:val="clear" w:color="auto" w:fill="C5E0B3" w:themeFill="accent6" w:themeFillTint="66"/>
            <w:vAlign w:val="center"/>
          </w:tcPr>
          <w:p w14:paraId="51DB4F57" w14:textId="213DCE0D"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r>
      <w:tr w:rsidR="00171E61" w14:paraId="035179E4" w14:textId="77777777" w:rsidTr="00C92E83">
        <w:tc>
          <w:tcPr>
            <w:tcW w:w="841" w:type="dxa"/>
            <w:vMerge/>
            <w:tcBorders>
              <w:left w:val="single" w:sz="12" w:space="0" w:color="auto"/>
            </w:tcBorders>
            <w:vAlign w:val="center"/>
          </w:tcPr>
          <w:p w14:paraId="6CF48B7A" w14:textId="77777777"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840" w:type="dxa"/>
            <w:vAlign w:val="center"/>
          </w:tcPr>
          <w:p w14:paraId="7C97BCBB" w14:textId="7C36E23C"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Елвітегравір/кобіцистат/емтріцитабін/тенофовір алафенамід</w:t>
            </w:r>
          </w:p>
        </w:tc>
        <w:tc>
          <w:tcPr>
            <w:tcW w:w="709" w:type="dxa"/>
            <w:shd w:val="clear" w:color="auto" w:fill="C5E0B3" w:themeFill="accent6" w:themeFillTint="66"/>
            <w:vAlign w:val="center"/>
          </w:tcPr>
          <w:p w14:paraId="6430440C" w14:textId="491F39A2"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708" w:type="dxa"/>
            <w:shd w:val="clear" w:color="auto" w:fill="C5E0B3" w:themeFill="accent6" w:themeFillTint="66"/>
            <w:vAlign w:val="center"/>
          </w:tcPr>
          <w:p w14:paraId="2AAF72C7" w14:textId="4DF2CC8C"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27D2FDC8" w14:textId="769E08BF"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FF5050"/>
            <w:vAlign w:val="center"/>
          </w:tcPr>
          <w:p w14:paraId="645EB20D" w14:textId="065B34C9"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FF5050"/>
            <w:vAlign w:val="center"/>
          </w:tcPr>
          <w:p w14:paraId="1FE1991B" w14:textId="7404C567"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2CBB685E" w14:textId="293627AD"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right w:val="single" w:sz="12" w:space="0" w:color="auto"/>
            </w:tcBorders>
            <w:shd w:val="clear" w:color="auto" w:fill="C5E0B3" w:themeFill="accent6" w:themeFillTint="66"/>
            <w:vAlign w:val="center"/>
          </w:tcPr>
          <w:p w14:paraId="2C9FA389" w14:textId="1D9CE8B3"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r>
      <w:tr w:rsidR="00171E61" w14:paraId="4CA1CCC2" w14:textId="77777777" w:rsidTr="00C92E83">
        <w:tc>
          <w:tcPr>
            <w:tcW w:w="841" w:type="dxa"/>
            <w:vMerge/>
            <w:tcBorders>
              <w:left w:val="single" w:sz="12" w:space="0" w:color="auto"/>
            </w:tcBorders>
            <w:vAlign w:val="center"/>
          </w:tcPr>
          <w:p w14:paraId="67BDDF5D" w14:textId="77777777"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840" w:type="dxa"/>
            <w:vAlign w:val="center"/>
          </w:tcPr>
          <w:p w14:paraId="7A2EF42F" w14:textId="5BC23A25"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Маравірок</w:t>
            </w:r>
          </w:p>
        </w:tc>
        <w:tc>
          <w:tcPr>
            <w:tcW w:w="709" w:type="dxa"/>
            <w:shd w:val="clear" w:color="auto" w:fill="C5E0B3" w:themeFill="accent6" w:themeFillTint="66"/>
            <w:vAlign w:val="center"/>
          </w:tcPr>
          <w:p w14:paraId="765ABA83" w14:textId="43392913"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708" w:type="dxa"/>
            <w:shd w:val="clear" w:color="auto" w:fill="C5E0B3" w:themeFill="accent6" w:themeFillTint="66"/>
            <w:vAlign w:val="center"/>
          </w:tcPr>
          <w:p w14:paraId="11B23525" w14:textId="02E997D2"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7CAD8229" w14:textId="56720591"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F7CAAC" w:themeFill="accent2" w:themeFillTint="66"/>
            <w:vAlign w:val="center"/>
          </w:tcPr>
          <w:p w14:paraId="2767682A" w14:textId="4AD0674B" w:rsidR="00171E61" w:rsidRPr="00D005A1" w:rsidRDefault="00075B99"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4513E41B" w14:textId="60300984"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2722B946" w14:textId="2DE9F27B"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right w:val="single" w:sz="12" w:space="0" w:color="auto"/>
            </w:tcBorders>
            <w:shd w:val="clear" w:color="auto" w:fill="C5E0B3" w:themeFill="accent6" w:themeFillTint="66"/>
            <w:vAlign w:val="center"/>
          </w:tcPr>
          <w:p w14:paraId="7A2A879F" w14:textId="0308373F"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r>
      <w:tr w:rsidR="00171E61" w14:paraId="3FB50E70" w14:textId="77777777" w:rsidTr="00C92E83">
        <w:tc>
          <w:tcPr>
            <w:tcW w:w="841" w:type="dxa"/>
            <w:vMerge/>
            <w:tcBorders>
              <w:left w:val="single" w:sz="12" w:space="0" w:color="auto"/>
              <w:bottom w:val="single" w:sz="12" w:space="0" w:color="auto"/>
            </w:tcBorders>
            <w:vAlign w:val="center"/>
          </w:tcPr>
          <w:p w14:paraId="7638FAD3" w14:textId="77777777"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840" w:type="dxa"/>
            <w:tcBorders>
              <w:bottom w:val="single" w:sz="12" w:space="0" w:color="auto"/>
            </w:tcBorders>
            <w:vAlign w:val="center"/>
          </w:tcPr>
          <w:p w14:paraId="02FB7461" w14:textId="5EB266BF"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Ралтегравір</w:t>
            </w:r>
          </w:p>
        </w:tc>
        <w:tc>
          <w:tcPr>
            <w:tcW w:w="709" w:type="dxa"/>
            <w:tcBorders>
              <w:bottom w:val="single" w:sz="12" w:space="0" w:color="auto"/>
            </w:tcBorders>
            <w:shd w:val="clear" w:color="auto" w:fill="C5E0B3" w:themeFill="accent6" w:themeFillTint="66"/>
            <w:vAlign w:val="center"/>
          </w:tcPr>
          <w:p w14:paraId="03AC6D4E" w14:textId="6A5FE8C5"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708" w:type="dxa"/>
            <w:tcBorders>
              <w:bottom w:val="single" w:sz="12" w:space="0" w:color="auto"/>
            </w:tcBorders>
            <w:shd w:val="clear" w:color="auto" w:fill="C5E0B3" w:themeFill="accent6" w:themeFillTint="66"/>
            <w:vAlign w:val="center"/>
          </w:tcPr>
          <w:p w14:paraId="08EA086E" w14:textId="7C71CE97"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C5E0B3" w:themeFill="accent6" w:themeFillTint="66"/>
            <w:vAlign w:val="center"/>
          </w:tcPr>
          <w:p w14:paraId="15522C2F" w14:textId="350F6ED1"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tcBorders>
              <w:bottom w:val="single" w:sz="12" w:space="0" w:color="auto"/>
            </w:tcBorders>
            <w:shd w:val="clear" w:color="auto" w:fill="C5E0B3" w:themeFill="accent6" w:themeFillTint="66"/>
            <w:vAlign w:val="center"/>
          </w:tcPr>
          <w:p w14:paraId="0C75D58E" w14:textId="2C1B1A6C"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C5E0B3" w:themeFill="accent6" w:themeFillTint="66"/>
            <w:vAlign w:val="center"/>
          </w:tcPr>
          <w:p w14:paraId="1F8E6A4D" w14:textId="26D17A8D"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0" w:type="dxa"/>
            <w:tcBorders>
              <w:bottom w:val="single" w:sz="12" w:space="0" w:color="auto"/>
            </w:tcBorders>
            <w:shd w:val="clear" w:color="auto" w:fill="C5E0B3" w:themeFill="accent6" w:themeFillTint="66"/>
            <w:vAlign w:val="center"/>
          </w:tcPr>
          <w:p w14:paraId="3590CAEA" w14:textId="4D573A7B"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c>
          <w:tcPr>
            <w:tcW w:w="851" w:type="dxa"/>
            <w:tcBorders>
              <w:bottom w:val="single" w:sz="12" w:space="0" w:color="auto"/>
              <w:right w:val="single" w:sz="12" w:space="0" w:color="auto"/>
            </w:tcBorders>
            <w:shd w:val="clear" w:color="auto" w:fill="C5E0B3" w:themeFill="accent6" w:themeFillTint="66"/>
            <w:vAlign w:val="center"/>
          </w:tcPr>
          <w:p w14:paraId="0EC53CAA" w14:textId="266B508F" w:rsidR="00171E61" w:rsidRPr="00D005A1" w:rsidRDefault="00171E61" w:rsidP="00D005A1">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005A1">
              <w:rPr>
                <w:rFonts w:ascii="Times New Roman" w:hAnsi="Times New Roman" w:cs="Times New Roman"/>
                <w:b/>
                <w:color w:val="000000" w:themeColor="text1"/>
                <w:sz w:val="22"/>
                <w:szCs w:val="22"/>
                <w:lang w:val="uk-UA" w:eastAsia="ru-RU"/>
              </w:rPr>
              <w:t>♦</w:t>
            </w:r>
          </w:p>
        </w:tc>
      </w:tr>
    </w:tbl>
    <w:p w14:paraId="7C850C13" w14:textId="6599D20B" w:rsidR="007A67FE" w:rsidRPr="00DD7838" w:rsidRDefault="00171E61" w:rsidP="007A67FE">
      <w:pPr>
        <w:tabs>
          <w:tab w:val="left" w:pos="1089"/>
        </w:tabs>
        <w:ind w:left="360"/>
        <w:jc w:val="both"/>
        <w:rPr>
          <w:rFonts w:ascii="Times New Roman" w:hAnsi="Times New Roman" w:cs="Times New Roman"/>
          <w:color w:val="000000" w:themeColor="text1"/>
          <w:sz w:val="20"/>
          <w:szCs w:val="20"/>
          <w:lang w:val="uk-UA"/>
        </w:rPr>
      </w:pPr>
      <w:r w:rsidRPr="00DD7838">
        <w:rPr>
          <w:rFonts w:ascii="Times New Roman" w:hAnsi="Times New Roman" w:cs="Times New Roman"/>
          <w:color w:val="000000" w:themeColor="text1"/>
          <w:sz w:val="20"/>
          <w:szCs w:val="20"/>
          <w:lang w:val="uk-UA"/>
        </w:rPr>
        <w:t>АРВП</w:t>
      </w:r>
      <w:r w:rsidR="00DD7838" w:rsidRPr="00DD7838">
        <w:rPr>
          <w:rFonts w:ascii="Times New Roman" w:hAnsi="Times New Roman" w:cs="Times New Roman"/>
          <w:color w:val="000000" w:themeColor="text1"/>
          <w:sz w:val="20"/>
          <w:szCs w:val="20"/>
          <w:lang w:val="uk-UA"/>
        </w:rPr>
        <w:t xml:space="preserve"> –</w:t>
      </w:r>
      <w:r w:rsidRPr="00DD7838">
        <w:rPr>
          <w:rFonts w:ascii="Times New Roman" w:hAnsi="Times New Roman" w:cs="Times New Roman"/>
          <w:color w:val="000000" w:themeColor="text1"/>
          <w:sz w:val="20"/>
          <w:szCs w:val="20"/>
          <w:lang w:val="uk-UA"/>
        </w:rPr>
        <w:t xml:space="preserve"> антиретровірусні препарати; НІЗТ</w:t>
      </w:r>
      <w:r w:rsidR="00DD7838" w:rsidRPr="00DD7838">
        <w:rPr>
          <w:rFonts w:ascii="Times New Roman" w:hAnsi="Times New Roman" w:cs="Times New Roman"/>
          <w:color w:val="000000" w:themeColor="text1"/>
          <w:sz w:val="20"/>
          <w:szCs w:val="20"/>
          <w:lang w:val="uk-UA"/>
        </w:rPr>
        <w:t xml:space="preserve"> –</w:t>
      </w:r>
      <w:r w:rsidRPr="00DD7838">
        <w:rPr>
          <w:rFonts w:ascii="Times New Roman" w:hAnsi="Times New Roman" w:cs="Times New Roman"/>
          <w:color w:val="000000" w:themeColor="text1"/>
          <w:sz w:val="20"/>
          <w:szCs w:val="20"/>
          <w:lang w:val="uk-UA"/>
        </w:rPr>
        <w:t xml:space="preserve"> нуклеозидні інгібітори зворотньої ттранскриптази; ННІЗТ</w:t>
      </w:r>
      <w:r w:rsidR="00DD7838" w:rsidRPr="00DD7838">
        <w:rPr>
          <w:rFonts w:ascii="Times New Roman" w:hAnsi="Times New Roman" w:cs="Times New Roman"/>
          <w:color w:val="000000" w:themeColor="text1"/>
          <w:sz w:val="20"/>
          <w:szCs w:val="20"/>
          <w:lang w:val="uk-UA"/>
        </w:rPr>
        <w:t xml:space="preserve"> –</w:t>
      </w:r>
      <w:r w:rsidRPr="00DD7838">
        <w:rPr>
          <w:rFonts w:ascii="Times New Roman" w:hAnsi="Times New Roman" w:cs="Times New Roman"/>
          <w:color w:val="000000" w:themeColor="text1"/>
          <w:sz w:val="20"/>
          <w:szCs w:val="20"/>
          <w:lang w:val="uk-UA"/>
        </w:rPr>
        <w:t xml:space="preserve"> ненуклеозидні інгібітори зворотньої транскриптази;</w:t>
      </w:r>
      <w:r w:rsidR="007A67FE" w:rsidRPr="00DD7838">
        <w:rPr>
          <w:rFonts w:ascii="Times New Roman" w:hAnsi="Times New Roman" w:cs="Times New Roman"/>
          <w:color w:val="000000" w:themeColor="text1"/>
          <w:sz w:val="20"/>
          <w:szCs w:val="20"/>
          <w:lang w:val="uk-UA"/>
        </w:rPr>
        <w:t xml:space="preserve"> DSV</w:t>
      </w:r>
      <w:r w:rsidR="00DD7838" w:rsidRPr="00DD7838">
        <w:rPr>
          <w:rFonts w:ascii="Times New Roman" w:hAnsi="Times New Roman" w:cs="Times New Roman"/>
          <w:color w:val="000000" w:themeColor="text1"/>
          <w:sz w:val="20"/>
          <w:szCs w:val="20"/>
          <w:lang w:val="uk-UA"/>
        </w:rPr>
        <w:t xml:space="preserve"> –</w:t>
      </w:r>
      <w:r w:rsidR="007A67FE" w:rsidRPr="00DD7838">
        <w:rPr>
          <w:rFonts w:ascii="Times New Roman" w:hAnsi="Times New Roman" w:cs="Times New Roman"/>
          <w:color w:val="000000" w:themeColor="text1"/>
          <w:sz w:val="20"/>
          <w:szCs w:val="20"/>
          <w:lang w:val="uk-UA"/>
        </w:rPr>
        <w:t xml:space="preserve"> </w:t>
      </w:r>
      <w:r w:rsidR="00E76D74" w:rsidRPr="00DD7838">
        <w:rPr>
          <w:rFonts w:ascii="Times New Roman" w:hAnsi="Times New Roman" w:cs="Times New Roman"/>
          <w:color w:val="000000" w:themeColor="text1"/>
          <w:sz w:val="20"/>
          <w:szCs w:val="20"/>
          <w:lang w:val="uk-UA"/>
        </w:rPr>
        <w:t>дасабувір</w:t>
      </w:r>
      <w:r w:rsidR="007A67FE" w:rsidRPr="00DD7838">
        <w:rPr>
          <w:rFonts w:ascii="Times New Roman" w:hAnsi="Times New Roman" w:cs="Times New Roman"/>
          <w:color w:val="000000" w:themeColor="text1"/>
          <w:sz w:val="20"/>
          <w:szCs w:val="20"/>
          <w:lang w:val="uk-UA"/>
        </w:rPr>
        <w:t>; EBR</w:t>
      </w:r>
      <w:r w:rsidR="00DD7838" w:rsidRPr="00DD7838">
        <w:rPr>
          <w:rFonts w:ascii="Times New Roman" w:hAnsi="Times New Roman" w:cs="Times New Roman"/>
          <w:color w:val="000000" w:themeColor="text1"/>
          <w:sz w:val="20"/>
          <w:szCs w:val="20"/>
          <w:lang w:val="uk-UA"/>
        </w:rPr>
        <w:t xml:space="preserve"> –</w:t>
      </w:r>
      <w:r w:rsidR="007A67FE" w:rsidRPr="00DD7838">
        <w:rPr>
          <w:rFonts w:ascii="Times New Roman" w:hAnsi="Times New Roman" w:cs="Times New Roman"/>
          <w:color w:val="000000" w:themeColor="text1"/>
          <w:sz w:val="20"/>
          <w:szCs w:val="20"/>
          <w:lang w:val="uk-UA"/>
        </w:rPr>
        <w:t xml:space="preserve"> елвасвір; GLE</w:t>
      </w:r>
      <w:r w:rsidR="00DD7838" w:rsidRPr="00DD7838">
        <w:rPr>
          <w:rFonts w:ascii="Times New Roman" w:hAnsi="Times New Roman" w:cs="Times New Roman"/>
          <w:color w:val="000000" w:themeColor="text1"/>
          <w:sz w:val="20"/>
          <w:szCs w:val="20"/>
          <w:lang w:val="uk-UA"/>
        </w:rPr>
        <w:t xml:space="preserve"> –</w:t>
      </w:r>
      <w:r w:rsidR="007A67FE" w:rsidRPr="00DD7838">
        <w:rPr>
          <w:rFonts w:ascii="Times New Roman" w:hAnsi="Times New Roman" w:cs="Times New Roman"/>
          <w:color w:val="000000" w:themeColor="text1"/>
          <w:sz w:val="20"/>
          <w:szCs w:val="20"/>
          <w:lang w:val="uk-UA"/>
        </w:rPr>
        <w:t xml:space="preserve"> глекапревір; GZR</w:t>
      </w:r>
      <w:r w:rsidR="00DD7838" w:rsidRPr="00DD7838">
        <w:rPr>
          <w:rFonts w:ascii="Times New Roman" w:hAnsi="Times New Roman" w:cs="Times New Roman"/>
          <w:color w:val="000000" w:themeColor="text1"/>
          <w:sz w:val="20"/>
          <w:szCs w:val="20"/>
          <w:lang w:val="uk-UA"/>
        </w:rPr>
        <w:t xml:space="preserve"> –</w:t>
      </w:r>
      <w:r w:rsidR="007A67FE" w:rsidRPr="00DD7838">
        <w:rPr>
          <w:rFonts w:ascii="Times New Roman" w:hAnsi="Times New Roman" w:cs="Times New Roman"/>
          <w:color w:val="000000" w:themeColor="text1"/>
          <w:sz w:val="20"/>
          <w:szCs w:val="20"/>
          <w:lang w:val="uk-UA"/>
        </w:rPr>
        <w:t xml:space="preserve"> гразопревір; ВГС</w:t>
      </w:r>
      <w:r w:rsidR="00DD7838" w:rsidRPr="00DD7838">
        <w:rPr>
          <w:rFonts w:ascii="Times New Roman" w:hAnsi="Times New Roman" w:cs="Times New Roman"/>
          <w:color w:val="000000" w:themeColor="text1"/>
          <w:sz w:val="20"/>
          <w:szCs w:val="20"/>
          <w:lang w:val="uk-UA"/>
        </w:rPr>
        <w:t xml:space="preserve"> –</w:t>
      </w:r>
      <w:r w:rsidR="007A67FE" w:rsidRPr="00DD7838">
        <w:rPr>
          <w:rFonts w:ascii="Times New Roman" w:hAnsi="Times New Roman" w:cs="Times New Roman"/>
          <w:color w:val="000000" w:themeColor="text1"/>
          <w:sz w:val="20"/>
          <w:szCs w:val="20"/>
          <w:lang w:val="uk-UA"/>
        </w:rPr>
        <w:t xml:space="preserve"> вірус гепатиту С; LDV</w:t>
      </w:r>
      <w:r w:rsidR="00DD7838" w:rsidRPr="00DD7838">
        <w:rPr>
          <w:rFonts w:ascii="Times New Roman" w:hAnsi="Times New Roman" w:cs="Times New Roman"/>
          <w:color w:val="000000" w:themeColor="text1"/>
          <w:sz w:val="20"/>
          <w:szCs w:val="20"/>
          <w:lang w:val="uk-UA"/>
        </w:rPr>
        <w:t xml:space="preserve"> –</w:t>
      </w:r>
      <w:r w:rsidR="007A67FE" w:rsidRPr="00DD7838">
        <w:rPr>
          <w:rFonts w:ascii="Times New Roman" w:hAnsi="Times New Roman" w:cs="Times New Roman"/>
          <w:color w:val="000000" w:themeColor="text1"/>
          <w:sz w:val="20"/>
          <w:szCs w:val="20"/>
          <w:lang w:val="uk-UA"/>
        </w:rPr>
        <w:t xml:space="preserve"> ледіпасвір; </w:t>
      </w:r>
      <w:r w:rsidR="00DD7838" w:rsidRPr="00DD7838">
        <w:rPr>
          <w:rFonts w:ascii="Times New Roman" w:hAnsi="Times New Roman" w:cs="Times New Roman"/>
          <w:color w:val="000000" w:themeColor="text1"/>
          <w:sz w:val="20"/>
          <w:szCs w:val="20"/>
          <w:lang w:val="it-IT" w:eastAsia="ru-RU"/>
        </w:rPr>
        <w:t>OBV</w:t>
      </w:r>
      <w:r w:rsidR="00DD7838" w:rsidRPr="00DD7838">
        <w:rPr>
          <w:rFonts w:ascii="Times New Roman" w:hAnsi="Times New Roman" w:cs="Times New Roman"/>
          <w:color w:val="000000" w:themeColor="text1"/>
          <w:sz w:val="20"/>
          <w:szCs w:val="20"/>
          <w:lang w:val="uk-UA"/>
        </w:rPr>
        <w:t xml:space="preserve"> – </w:t>
      </w:r>
      <w:r w:rsidR="007A67FE" w:rsidRPr="00DD7838">
        <w:rPr>
          <w:rFonts w:ascii="Times New Roman" w:hAnsi="Times New Roman" w:cs="Times New Roman"/>
          <w:color w:val="000000" w:themeColor="text1"/>
          <w:sz w:val="20"/>
          <w:szCs w:val="20"/>
          <w:lang w:val="uk-UA"/>
        </w:rPr>
        <w:t>омбітасвір; PIB</w:t>
      </w:r>
      <w:r w:rsidR="00DD7838">
        <w:rPr>
          <w:rFonts w:ascii="Times New Roman" w:hAnsi="Times New Roman" w:cs="Times New Roman"/>
          <w:color w:val="000000" w:themeColor="text1"/>
          <w:sz w:val="20"/>
          <w:szCs w:val="20"/>
          <w:lang w:val="uk-UA"/>
        </w:rPr>
        <w:t xml:space="preserve"> –</w:t>
      </w:r>
      <w:r w:rsidR="007A67FE" w:rsidRPr="00DD7838">
        <w:rPr>
          <w:rFonts w:ascii="Times New Roman" w:hAnsi="Times New Roman" w:cs="Times New Roman"/>
          <w:color w:val="000000" w:themeColor="text1"/>
          <w:sz w:val="20"/>
          <w:szCs w:val="20"/>
          <w:lang w:val="uk-UA"/>
        </w:rPr>
        <w:t xml:space="preserve"> пібрентасвір; </w:t>
      </w:r>
      <w:r w:rsidR="007A67FE" w:rsidRPr="00DD7838">
        <w:rPr>
          <w:rFonts w:ascii="Times New Roman" w:hAnsi="Times New Roman" w:cs="Times New Roman"/>
          <w:color w:val="000000" w:themeColor="text1"/>
          <w:sz w:val="20"/>
          <w:szCs w:val="20"/>
          <w:lang w:val="en-US"/>
        </w:rPr>
        <w:t>PTV</w:t>
      </w:r>
      <w:r w:rsidR="00DD7838">
        <w:rPr>
          <w:rFonts w:ascii="Times New Roman" w:hAnsi="Times New Roman" w:cs="Times New Roman"/>
          <w:color w:val="000000" w:themeColor="text1"/>
          <w:sz w:val="20"/>
          <w:szCs w:val="20"/>
          <w:lang w:val="uk-UA"/>
        </w:rPr>
        <w:t xml:space="preserve"> –</w:t>
      </w:r>
      <w:r w:rsidR="007A67FE" w:rsidRPr="00DD7838">
        <w:rPr>
          <w:rFonts w:ascii="Times New Roman" w:hAnsi="Times New Roman" w:cs="Times New Roman"/>
          <w:color w:val="000000" w:themeColor="text1"/>
          <w:sz w:val="20"/>
          <w:szCs w:val="20"/>
          <w:lang w:val="uk-UA"/>
        </w:rPr>
        <w:t xml:space="preserve"> </w:t>
      </w:r>
      <w:r w:rsidR="00DA25AC" w:rsidRPr="00DD7838">
        <w:rPr>
          <w:rFonts w:ascii="Times New Roman" w:hAnsi="Times New Roman" w:cs="Times New Roman"/>
          <w:color w:val="000000" w:themeColor="text1"/>
          <w:sz w:val="20"/>
          <w:szCs w:val="20"/>
          <w:lang w:val="uk-UA"/>
        </w:rPr>
        <w:t>п</w:t>
      </w:r>
      <w:r w:rsidR="00E76D74" w:rsidRPr="00DD7838">
        <w:rPr>
          <w:rFonts w:ascii="Times New Roman" w:hAnsi="Times New Roman" w:cs="Times New Roman"/>
          <w:color w:val="000000" w:themeColor="text1"/>
          <w:sz w:val="20"/>
          <w:szCs w:val="20"/>
          <w:lang w:val="uk-UA"/>
        </w:rPr>
        <w:t>аритапревір</w:t>
      </w:r>
      <w:r w:rsidR="007A67FE" w:rsidRPr="00DD7838">
        <w:rPr>
          <w:rFonts w:ascii="Times New Roman" w:hAnsi="Times New Roman" w:cs="Times New Roman"/>
          <w:color w:val="000000" w:themeColor="text1"/>
          <w:sz w:val="20"/>
          <w:szCs w:val="20"/>
          <w:lang w:val="uk-UA"/>
        </w:rPr>
        <w:t xml:space="preserve">; </w:t>
      </w:r>
      <w:r w:rsidR="007A67FE" w:rsidRPr="00DD7838">
        <w:rPr>
          <w:rFonts w:ascii="Times New Roman" w:hAnsi="Times New Roman" w:cs="Times New Roman"/>
          <w:color w:val="000000" w:themeColor="text1"/>
          <w:sz w:val="20"/>
          <w:szCs w:val="20"/>
          <w:lang w:val="en-US"/>
        </w:rPr>
        <w:t>r</w:t>
      </w:r>
      <w:r w:rsidR="00DD7838">
        <w:rPr>
          <w:rFonts w:ascii="Times New Roman" w:hAnsi="Times New Roman" w:cs="Times New Roman"/>
          <w:color w:val="000000" w:themeColor="text1"/>
          <w:sz w:val="20"/>
          <w:szCs w:val="20"/>
          <w:lang w:val="uk-UA"/>
        </w:rPr>
        <w:t xml:space="preserve"> –</w:t>
      </w:r>
      <w:r w:rsidR="007A67FE" w:rsidRPr="00DD7838">
        <w:rPr>
          <w:rFonts w:ascii="Times New Roman" w:hAnsi="Times New Roman" w:cs="Times New Roman"/>
          <w:color w:val="000000" w:themeColor="text1"/>
          <w:sz w:val="20"/>
          <w:szCs w:val="20"/>
          <w:lang w:val="uk-UA"/>
        </w:rPr>
        <w:t xml:space="preserve"> ритонавір; SOF</w:t>
      </w:r>
      <w:r w:rsidR="00DD7838">
        <w:rPr>
          <w:rFonts w:ascii="Times New Roman" w:hAnsi="Times New Roman" w:cs="Times New Roman"/>
          <w:color w:val="000000" w:themeColor="text1"/>
          <w:sz w:val="20"/>
          <w:szCs w:val="20"/>
          <w:lang w:val="uk-UA"/>
        </w:rPr>
        <w:t xml:space="preserve"> –</w:t>
      </w:r>
      <w:r w:rsidR="007A67FE" w:rsidRPr="00DD7838">
        <w:rPr>
          <w:rFonts w:ascii="Times New Roman" w:hAnsi="Times New Roman" w:cs="Times New Roman"/>
          <w:color w:val="000000" w:themeColor="text1"/>
          <w:sz w:val="20"/>
          <w:szCs w:val="20"/>
          <w:lang w:val="uk-UA"/>
        </w:rPr>
        <w:t xml:space="preserve"> софосбувір; VEL</w:t>
      </w:r>
      <w:r w:rsidR="00DD7838">
        <w:rPr>
          <w:rFonts w:ascii="Times New Roman" w:hAnsi="Times New Roman" w:cs="Times New Roman"/>
          <w:color w:val="000000" w:themeColor="text1"/>
          <w:sz w:val="20"/>
          <w:szCs w:val="20"/>
          <w:lang w:val="uk-UA"/>
        </w:rPr>
        <w:t xml:space="preserve"> –</w:t>
      </w:r>
      <w:r w:rsidR="007A67FE" w:rsidRPr="00DD7838">
        <w:rPr>
          <w:rFonts w:ascii="Times New Roman" w:hAnsi="Times New Roman" w:cs="Times New Roman"/>
          <w:color w:val="000000" w:themeColor="text1"/>
          <w:sz w:val="20"/>
          <w:szCs w:val="20"/>
          <w:lang w:val="uk-UA"/>
        </w:rPr>
        <w:t xml:space="preserve"> велпатасвір; VOX</w:t>
      </w:r>
      <w:r w:rsidR="00DD7838">
        <w:rPr>
          <w:rFonts w:ascii="Times New Roman" w:hAnsi="Times New Roman" w:cs="Times New Roman"/>
          <w:color w:val="000000" w:themeColor="text1"/>
          <w:sz w:val="20"/>
          <w:szCs w:val="20"/>
          <w:lang w:val="uk-UA"/>
        </w:rPr>
        <w:t xml:space="preserve"> – </w:t>
      </w:r>
      <w:r w:rsidR="007A67FE" w:rsidRPr="00DD7838">
        <w:rPr>
          <w:rFonts w:ascii="Times New Roman" w:hAnsi="Times New Roman" w:cs="Times New Roman"/>
          <w:color w:val="000000" w:themeColor="text1"/>
          <w:sz w:val="20"/>
          <w:szCs w:val="20"/>
          <w:lang w:val="uk-UA"/>
        </w:rPr>
        <w:t>воксілапревір.</w:t>
      </w:r>
    </w:p>
    <w:p w14:paraId="172D2167" w14:textId="74104A0D" w:rsidR="007A67FE" w:rsidRDefault="00075B99" w:rsidP="007A67FE">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w:t>
      </w:r>
    </w:p>
    <w:tbl>
      <w:tblPr>
        <w:tblStyle w:val="a6"/>
        <w:tblW w:w="0" w:type="auto"/>
        <w:tblInd w:w="-5" w:type="dxa"/>
        <w:tblLook w:val="04A0" w:firstRow="1" w:lastRow="0" w:firstColumn="1" w:lastColumn="0" w:noHBand="0" w:noVBand="1"/>
      </w:tblPr>
      <w:tblGrid>
        <w:gridCol w:w="486"/>
        <w:gridCol w:w="9060"/>
      </w:tblGrid>
      <w:tr w:rsidR="00075B99" w14:paraId="6B220A3A" w14:textId="77777777" w:rsidTr="00DC3BDB">
        <w:tc>
          <w:tcPr>
            <w:tcW w:w="486" w:type="dxa"/>
            <w:shd w:val="clear" w:color="auto" w:fill="C5E0B3" w:themeFill="accent6" w:themeFillTint="66"/>
          </w:tcPr>
          <w:p w14:paraId="4CB60563" w14:textId="69D82652" w:rsidR="00075B99" w:rsidRDefault="00075B99" w:rsidP="00D005A1">
            <w:pPr>
              <w:spacing w:beforeAutospacing="1" w:afterAutospacing="1"/>
              <w:jc w:val="center"/>
              <w:textAlignment w:val="baseline"/>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7DF996FB" w14:textId="15A405D1" w:rsidR="00075B99" w:rsidRDefault="00075B99" w:rsidP="007A67FE">
            <w:pPr>
              <w:tabs>
                <w:tab w:val="left" w:pos="1089"/>
              </w:tabs>
              <w:jc w:val="both"/>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Ніяких клінічно значущих взаємодій не очікується.</w:t>
            </w:r>
          </w:p>
        </w:tc>
      </w:tr>
      <w:tr w:rsidR="00075B99" w14:paraId="332211C1" w14:textId="77777777" w:rsidTr="00DC3BDB">
        <w:tc>
          <w:tcPr>
            <w:tcW w:w="486" w:type="dxa"/>
            <w:shd w:val="clear" w:color="auto" w:fill="F4B083" w:themeFill="accent2" w:themeFillTint="99"/>
          </w:tcPr>
          <w:p w14:paraId="13EF3468" w14:textId="6AB835C2" w:rsidR="00075B99" w:rsidRDefault="00075B99" w:rsidP="00D005A1">
            <w:pPr>
              <w:tabs>
                <w:tab w:val="left" w:pos="1089"/>
              </w:tabs>
              <w:jc w:val="center"/>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5ABA2B75" w14:textId="2EC5FA7E" w:rsidR="00075B99" w:rsidRDefault="00075B99" w:rsidP="00D005A1">
            <w:pPr>
              <w:tabs>
                <w:tab w:val="left" w:pos="1089"/>
              </w:tabs>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Потенційна взаємодія, яка може потребувати регулювання дози, змін</w:t>
            </w:r>
            <w:r w:rsidR="00DD7838">
              <w:rPr>
                <w:rFonts w:ascii="Times New Roman" w:hAnsi="Times New Roman" w:cs="Times New Roman"/>
                <w:color w:val="000000" w:themeColor="text1"/>
                <w:lang w:val="uk-UA"/>
              </w:rPr>
              <w:t>и</w:t>
            </w:r>
            <w:r>
              <w:rPr>
                <w:rFonts w:ascii="Times New Roman" w:hAnsi="Times New Roman" w:cs="Times New Roman"/>
                <w:color w:val="000000" w:themeColor="text1"/>
                <w:lang w:val="uk-UA"/>
              </w:rPr>
              <w:t xml:space="preserve"> </w:t>
            </w:r>
            <w:r w:rsidRPr="00F15C59">
              <w:rPr>
                <w:rFonts w:ascii="Times New Roman" w:hAnsi="Times New Roman" w:cs="Times New Roman"/>
                <w:color w:val="000000" w:themeColor="text1"/>
                <w:lang w:val="uk-UA"/>
              </w:rPr>
              <w:t xml:space="preserve">часу </w:t>
            </w:r>
            <w:r>
              <w:rPr>
                <w:rFonts w:ascii="Times New Roman" w:hAnsi="Times New Roman" w:cs="Times New Roman"/>
                <w:color w:val="000000" w:themeColor="text1"/>
                <w:lang w:val="uk-UA"/>
              </w:rPr>
              <w:t>вживання</w:t>
            </w:r>
            <w:r w:rsidRPr="00F15C59">
              <w:rPr>
                <w:rFonts w:ascii="Times New Roman" w:hAnsi="Times New Roman" w:cs="Times New Roman"/>
                <w:color w:val="000000" w:themeColor="text1"/>
                <w:lang w:val="uk-UA"/>
              </w:rPr>
              <w:t xml:space="preserve"> або додатков</w:t>
            </w:r>
            <w:r w:rsidR="00DD7838">
              <w:rPr>
                <w:rFonts w:ascii="Times New Roman" w:hAnsi="Times New Roman" w:cs="Times New Roman"/>
                <w:color w:val="000000" w:themeColor="text1"/>
                <w:lang w:val="uk-UA"/>
              </w:rPr>
              <w:t>ого</w:t>
            </w:r>
            <w:r w:rsidRPr="00F15C59">
              <w:rPr>
                <w:rFonts w:ascii="Times New Roman" w:hAnsi="Times New Roman" w:cs="Times New Roman"/>
                <w:color w:val="000000" w:themeColor="text1"/>
                <w:lang w:val="uk-UA"/>
              </w:rPr>
              <w:t xml:space="preserve"> контрол</w:t>
            </w:r>
            <w:r w:rsidR="00DD7838">
              <w:rPr>
                <w:rFonts w:ascii="Times New Roman" w:hAnsi="Times New Roman" w:cs="Times New Roman"/>
                <w:color w:val="000000" w:themeColor="text1"/>
                <w:lang w:val="uk-UA"/>
              </w:rPr>
              <w:t>ю</w:t>
            </w:r>
            <w:r w:rsidRPr="00F15C59">
              <w:rPr>
                <w:rFonts w:ascii="Times New Roman" w:hAnsi="Times New Roman" w:cs="Times New Roman"/>
                <w:color w:val="000000" w:themeColor="text1"/>
                <w:lang w:val="uk-UA"/>
              </w:rPr>
              <w:t xml:space="preserve">. </w:t>
            </w:r>
          </w:p>
        </w:tc>
      </w:tr>
      <w:tr w:rsidR="00075B99" w14:paraId="74B49EB9" w14:textId="77777777" w:rsidTr="00DC3BDB">
        <w:tc>
          <w:tcPr>
            <w:tcW w:w="486" w:type="dxa"/>
            <w:shd w:val="clear" w:color="auto" w:fill="FF5050"/>
          </w:tcPr>
          <w:p w14:paraId="3D0FE252" w14:textId="628E0B07" w:rsidR="00075B99" w:rsidRDefault="00075B99" w:rsidP="00D005A1">
            <w:pPr>
              <w:tabs>
                <w:tab w:val="left" w:pos="1089"/>
              </w:tabs>
              <w:jc w:val="center"/>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256A2906" w14:textId="422063C0" w:rsidR="00075B99" w:rsidRDefault="00075B99" w:rsidP="007A67FE">
            <w:pPr>
              <w:tabs>
                <w:tab w:val="left" w:pos="1089"/>
              </w:tabs>
              <w:jc w:val="both"/>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Ці препарати н</w:t>
            </w:r>
            <w:r>
              <w:rPr>
                <w:rFonts w:ascii="Times New Roman" w:hAnsi="Times New Roman" w:cs="Times New Roman"/>
                <w:color w:val="000000" w:themeColor="text1"/>
                <w:lang w:val="uk-UA"/>
              </w:rPr>
              <w:t>е повинні застосовуватися разом</w:t>
            </w:r>
            <w:r w:rsidRPr="00F15C59">
              <w:rPr>
                <w:rFonts w:ascii="Times New Roman" w:hAnsi="Times New Roman" w:cs="Times New Roman"/>
                <w:color w:val="000000" w:themeColor="text1"/>
                <w:lang w:val="uk-UA"/>
              </w:rPr>
              <w:t>.</w:t>
            </w:r>
          </w:p>
        </w:tc>
      </w:tr>
    </w:tbl>
    <w:p w14:paraId="2FF5D839" w14:textId="77777777" w:rsidR="00075B99" w:rsidRDefault="00075B99" w:rsidP="007A67FE">
      <w:pPr>
        <w:tabs>
          <w:tab w:val="left" w:pos="1089"/>
        </w:tabs>
        <w:ind w:left="360"/>
        <w:jc w:val="both"/>
        <w:rPr>
          <w:rFonts w:ascii="Times New Roman" w:hAnsi="Times New Roman" w:cs="Times New Roman"/>
          <w:color w:val="000000" w:themeColor="text1"/>
          <w:lang w:val="uk-UA"/>
        </w:rPr>
      </w:pPr>
    </w:p>
    <w:p w14:paraId="6DABEF8A" w14:textId="328735C5" w:rsidR="007A67FE" w:rsidRDefault="007A67FE" w:rsidP="00DC3BDB">
      <w:pPr>
        <w:tabs>
          <w:tab w:val="left" w:pos="1089"/>
        </w:tabs>
        <w:ind w:left="284"/>
        <w:contextualSpacing/>
        <w:jc w:val="both"/>
        <w:rPr>
          <w:rFonts w:ascii="Times New Roman" w:hAnsi="Times New Roman" w:cs="Times New Roman"/>
          <w:i/>
          <w:color w:val="000000" w:themeColor="text1"/>
          <w:sz w:val="20"/>
          <w:szCs w:val="20"/>
          <w:lang w:val="uk-UA"/>
        </w:rPr>
      </w:pPr>
      <w:r w:rsidRPr="00DA6F76">
        <w:rPr>
          <w:rFonts w:ascii="Times New Roman" w:hAnsi="Times New Roman" w:cs="Times New Roman"/>
          <w:i/>
          <w:color w:val="000000" w:themeColor="text1"/>
          <w:sz w:val="20"/>
          <w:szCs w:val="20"/>
          <w:lang w:val="uk-UA"/>
        </w:rPr>
        <w:t xml:space="preserve">Примітки. Деякі лікарські засоби можуть вимагати зміни дози залежно від функції печінки. Будь ласка, </w:t>
      </w:r>
      <w:r w:rsidR="00075B99">
        <w:rPr>
          <w:rFonts w:ascii="Times New Roman" w:hAnsi="Times New Roman" w:cs="Times New Roman"/>
          <w:i/>
          <w:color w:val="000000" w:themeColor="text1"/>
          <w:sz w:val="20"/>
          <w:szCs w:val="20"/>
          <w:lang w:val="uk-UA"/>
        </w:rPr>
        <w:t>ознайомтеся з</w:t>
      </w:r>
      <w:r w:rsidRPr="00DA6F76">
        <w:rPr>
          <w:rFonts w:ascii="Times New Roman" w:hAnsi="Times New Roman" w:cs="Times New Roman"/>
          <w:i/>
          <w:color w:val="000000" w:themeColor="text1"/>
          <w:sz w:val="20"/>
          <w:szCs w:val="20"/>
          <w:lang w:val="uk-UA"/>
        </w:rPr>
        <w:t xml:space="preserve"> </w:t>
      </w:r>
      <w:r w:rsidR="00DD7838">
        <w:rPr>
          <w:rFonts w:ascii="Times New Roman" w:hAnsi="Times New Roman" w:cs="Times New Roman"/>
          <w:i/>
          <w:color w:val="000000" w:themeColor="text1"/>
          <w:sz w:val="20"/>
          <w:szCs w:val="20"/>
          <w:lang w:val="uk-UA"/>
        </w:rPr>
        <w:t>інструкцією</w:t>
      </w:r>
      <w:r w:rsidRPr="00DA6F76">
        <w:rPr>
          <w:rFonts w:ascii="Times New Roman" w:hAnsi="Times New Roman" w:cs="Times New Roman"/>
          <w:i/>
          <w:color w:val="000000" w:themeColor="text1"/>
          <w:sz w:val="20"/>
          <w:szCs w:val="20"/>
          <w:lang w:val="uk-UA"/>
        </w:rPr>
        <w:t xml:space="preserve"> </w:t>
      </w:r>
      <w:r w:rsidR="00DD7838">
        <w:rPr>
          <w:rFonts w:ascii="Times New Roman" w:hAnsi="Times New Roman" w:cs="Times New Roman"/>
          <w:i/>
          <w:color w:val="000000" w:themeColor="text1"/>
          <w:sz w:val="20"/>
          <w:szCs w:val="20"/>
          <w:lang w:val="uk-UA"/>
        </w:rPr>
        <w:t>лікарського засобу</w:t>
      </w:r>
      <w:r w:rsidRPr="00DA6F76">
        <w:rPr>
          <w:rFonts w:ascii="Times New Roman" w:hAnsi="Times New Roman" w:cs="Times New Roman"/>
          <w:i/>
          <w:color w:val="000000" w:themeColor="text1"/>
          <w:sz w:val="20"/>
          <w:szCs w:val="20"/>
          <w:lang w:val="uk-UA"/>
        </w:rPr>
        <w:t xml:space="preserve"> щодо рекомендованих доз. Символи (зелений, помаранчевий, червоний), що використовуються в таблиці для оцінки клінічного значення взаємодії </w:t>
      </w:r>
      <w:r w:rsidR="00DD7838">
        <w:rPr>
          <w:rFonts w:ascii="Times New Roman" w:hAnsi="Times New Roman" w:cs="Times New Roman"/>
          <w:i/>
          <w:color w:val="000000" w:themeColor="text1"/>
          <w:sz w:val="20"/>
          <w:szCs w:val="20"/>
          <w:lang w:val="uk-UA"/>
        </w:rPr>
        <w:t>лікарських засобів,</w:t>
      </w:r>
      <w:r w:rsidRPr="00DA6F76">
        <w:rPr>
          <w:rFonts w:ascii="Times New Roman" w:hAnsi="Times New Roman" w:cs="Times New Roman"/>
          <w:i/>
          <w:color w:val="000000" w:themeColor="text1"/>
          <w:sz w:val="20"/>
          <w:szCs w:val="20"/>
          <w:lang w:val="uk-UA"/>
        </w:rPr>
        <w:t xml:space="preserve"> створені на основі www.hep</w:t>
      </w:r>
      <w:r w:rsidR="00FC6D8A">
        <w:rPr>
          <w:rFonts w:ascii="Times New Roman" w:hAnsi="Times New Roman" w:cs="Times New Roman"/>
          <w:i/>
          <w:color w:val="000000" w:themeColor="text1"/>
          <w:sz w:val="20"/>
          <w:szCs w:val="20"/>
          <w:lang w:val="uk-UA"/>
        </w:rPr>
        <w:t>–</w:t>
      </w:r>
      <w:r w:rsidRPr="00DA6F76">
        <w:rPr>
          <w:rFonts w:ascii="Times New Roman" w:hAnsi="Times New Roman" w:cs="Times New Roman"/>
          <w:i/>
          <w:color w:val="000000" w:themeColor="text1"/>
          <w:sz w:val="20"/>
          <w:szCs w:val="20"/>
          <w:lang w:val="uk-UA"/>
        </w:rPr>
        <w:t>druginteractions.org (University of Liverpool). У випадку потреби у додатковій інформації стосовно взаємодій між лікарськими засобами для більш широкого кола препаратів, а також щодо докладних даних про фармакокінетичну взаємодію та коригування доз, звертайтеся до вищезазначеного веб</w:t>
      </w:r>
      <w:r w:rsidR="00FC6D8A">
        <w:rPr>
          <w:rFonts w:ascii="Times New Roman" w:hAnsi="Times New Roman" w:cs="Times New Roman"/>
          <w:i/>
          <w:color w:val="000000" w:themeColor="text1"/>
          <w:sz w:val="20"/>
          <w:szCs w:val="20"/>
          <w:lang w:val="uk-UA"/>
        </w:rPr>
        <w:t>–</w:t>
      </w:r>
      <w:r w:rsidRPr="00DA6F76">
        <w:rPr>
          <w:rFonts w:ascii="Times New Roman" w:hAnsi="Times New Roman" w:cs="Times New Roman"/>
          <w:i/>
          <w:color w:val="000000" w:themeColor="text1"/>
          <w:sz w:val="20"/>
          <w:szCs w:val="20"/>
          <w:lang w:val="uk-UA"/>
        </w:rPr>
        <w:t>сайту.</w:t>
      </w:r>
    </w:p>
    <w:p w14:paraId="481C7187" w14:textId="0F08B6F1" w:rsidR="005047D7" w:rsidRDefault="005047D7" w:rsidP="005047D7">
      <w:pPr>
        <w:tabs>
          <w:tab w:val="left" w:pos="1089"/>
        </w:tabs>
        <w:ind w:left="357"/>
        <w:contextualSpacing/>
        <w:jc w:val="both"/>
        <w:rPr>
          <w:rFonts w:ascii="Times New Roman" w:hAnsi="Times New Roman" w:cs="Times New Roman"/>
          <w:i/>
          <w:color w:val="000000" w:themeColor="text1"/>
          <w:sz w:val="20"/>
          <w:szCs w:val="20"/>
          <w:lang w:val="uk-UA"/>
        </w:rPr>
      </w:pPr>
      <w:r w:rsidRPr="00DA6F76">
        <w:rPr>
          <w:rFonts w:ascii="Times New Roman" w:hAnsi="Times New Roman" w:cs="Times New Roman"/>
          <w:i/>
          <w:color w:val="000000" w:themeColor="text1"/>
          <w:sz w:val="20"/>
          <w:szCs w:val="20"/>
          <w:lang w:val="uk-UA"/>
        </w:rPr>
        <w:t>* Відоме або очікуване збільшення концентрації тенофовіру у схемах, що містять тенофовір дизопроксил фумарат. Обережність та постійний моніторинг нирок.</w:t>
      </w:r>
    </w:p>
    <w:p w14:paraId="5C5EEC7A" w14:textId="40A2F59D" w:rsidR="005047D7" w:rsidRDefault="005047D7" w:rsidP="005047D7">
      <w:pPr>
        <w:tabs>
          <w:tab w:val="left" w:pos="1089"/>
        </w:tabs>
        <w:ind w:left="357"/>
        <w:contextualSpacing/>
        <w:jc w:val="both"/>
        <w:rPr>
          <w:rFonts w:ascii="Times New Roman" w:hAnsi="Times New Roman" w:cs="Times New Roman"/>
          <w:i/>
          <w:color w:val="000000" w:themeColor="text1"/>
          <w:sz w:val="20"/>
          <w:szCs w:val="20"/>
          <w:lang w:val="uk-UA"/>
        </w:rPr>
      </w:pPr>
    </w:p>
    <w:p w14:paraId="3567B7D8" w14:textId="6CE674E3" w:rsidR="005047D7" w:rsidRPr="00D45EE4" w:rsidRDefault="005047D7" w:rsidP="005047D7">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Експозиція </w:t>
      </w:r>
      <w:r w:rsidRPr="00D052AE">
        <w:rPr>
          <w:rFonts w:ascii="Times New Roman" w:hAnsi="Times New Roman" w:cs="Times New Roman"/>
          <w:color w:val="000000" w:themeColor="text1"/>
          <w:lang w:val="uk-UA"/>
        </w:rPr>
        <w:t>ледіпасвіру</w:t>
      </w:r>
      <w:r w:rsidRPr="00D45EE4">
        <w:rPr>
          <w:rFonts w:ascii="Times New Roman" w:hAnsi="Times New Roman" w:cs="Times New Roman"/>
          <w:color w:val="000000" w:themeColor="text1"/>
          <w:lang w:val="uk-UA"/>
        </w:rPr>
        <w:t xml:space="preserve"> в плазмі крові (область під кривою </w:t>
      </w:r>
      <w:r>
        <w:rPr>
          <w:rFonts w:ascii="Times New Roman" w:hAnsi="Times New Roman" w:cs="Times New Roman"/>
          <w:color w:val="000000" w:themeColor="text1"/>
          <w:lang w:val="uk-UA"/>
        </w:rPr>
        <w:t xml:space="preserve">(далі – </w:t>
      </w:r>
      <w:r w:rsidRPr="00D45EE4">
        <w:rPr>
          <w:rFonts w:ascii="Times New Roman" w:hAnsi="Times New Roman" w:cs="Times New Roman"/>
          <w:color w:val="000000" w:themeColor="text1"/>
          <w:lang w:val="uk-UA"/>
        </w:rPr>
        <w:t>AUC) була подібною у пацієнтів з важкими порушенн</w:t>
      </w:r>
      <w:r>
        <w:rPr>
          <w:rFonts w:ascii="Times New Roman" w:hAnsi="Times New Roman" w:cs="Times New Roman"/>
          <w:color w:val="000000" w:themeColor="text1"/>
          <w:lang w:val="uk-UA"/>
        </w:rPr>
        <w:t>ями функції печінки та</w:t>
      </w:r>
      <w:r w:rsidRPr="00D45EE4">
        <w:rPr>
          <w:rFonts w:ascii="Times New Roman" w:hAnsi="Times New Roman" w:cs="Times New Roman"/>
          <w:color w:val="000000" w:themeColor="text1"/>
          <w:lang w:val="uk-UA"/>
        </w:rPr>
        <w:t xml:space="preserve"> пацієнтів </w:t>
      </w:r>
      <w:r>
        <w:rPr>
          <w:rFonts w:ascii="Times New Roman" w:hAnsi="Times New Roman" w:cs="Times New Roman"/>
          <w:color w:val="000000" w:themeColor="text1"/>
          <w:lang w:val="uk-UA"/>
        </w:rPr>
        <w:t xml:space="preserve">з групи контролю </w:t>
      </w:r>
      <w:r w:rsidRPr="00D45EE4">
        <w:rPr>
          <w:rFonts w:ascii="Times New Roman" w:hAnsi="Times New Roman" w:cs="Times New Roman"/>
          <w:color w:val="000000" w:themeColor="text1"/>
          <w:lang w:val="uk-UA"/>
        </w:rPr>
        <w:t>з нормальною печінковою функцією. Аналіз фармакокінетики у хворих з ВІЛ</w:t>
      </w:r>
      <w:r w:rsidR="00FC6D8A">
        <w:rPr>
          <w:rFonts w:ascii="Times New Roman" w:hAnsi="Times New Roman" w:cs="Times New Roman"/>
          <w:color w:val="000000" w:themeColor="text1"/>
          <w:lang w:val="uk-UA"/>
        </w:rPr>
        <w:t>–</w:t>
      </w:r>
      <w:r w:rsidRPr="00D45EE4">
        <w:rPr>
          <w:rFonts w:ascii="Times New Roman" w:hAnsi="Times New Roman" w:cs="Times New Roman"/>
          <w:color w:val="000000" w:themeColor="text1"/>
          <w:lang w:val="uk-UA"/>
        </w:rPr>
        <w:t>інфекцією показав, що цироз печінки (включаючи декомпенсований цироз печінки) не мав кл</w:t>
      </w:r>
      <w:r>
        <w:rPr>
          <w:rFonts w:ascii="Times New Roman" w:hAnsi="Times New Roman" w:cs="Times New Roman"/>
          <w:color w:val="000000" w:themeColor="text1"/>
          <w:lang w:val="uk-UA"/>
        </w:rPr>
        <w:t>інічно зна</w:t>
      </w:r>
      <w:r w:rsidR="005F2833">
        <w:rPr>
          <w:rFonts w:ascii="Times New Roman" w:hAnsi="Times New Roman" w:cs="Times New Roman"/>
          <w:color w:val="000000" w:themeColor="text1"/>
          <w:lang w:val="uk-UA"/>
        </w:rPr>
        <w:t>чущого</w:t>
      </w:r>
      <w:r>
        <w:rPr>
          <w:rFonts w:ascii="Times New Roman" w:hAnsi="Times New Roman" w:cs="Times New Roman"/>
          <w:color w:val="000000" w:themeColor="text1"/>
          <w:lang w:val="uk-UA"/>
        </w:rPr>
        <w:t xml:space="preserve"> впливу на експозицію </w:t>
      </w:r>
      <w:r w:rsidRPr="00D052AE">
        <w:rPr>
          <w:rFonts w:ascii="Times New Roman" w:hAnsi="Times New Roman" w:cs="Times New Roman"/>
          <w:color w:val="000000" w:themeColor="text1"/>
          <w:lang w:val="uk-UA"/>
        </w:rPr>
        <w:t>ледіпасвіру</w:t>
      </w:r>
      <w:r w:rsidRPr="00D45EE4">
        <w:rPr>
          <w:rFonts w:ascii="Times New Roman" w:hAnsi="Times New Roman" w:cs="Times New Roman"/>
          <w:color w:val="000000" w:themeColor="text1"/>
          <w:lang w:val="uk-UA"/>
        </w:rPr>
        <w:t>.</w:t>
      </w:r>
    </w:p>
    <w:p w14:paraId="6704A9DD" w14:textId="77777777" w:rsidR="005047D7" w:rsidRDefault="005047D7" w:rsidP="005047D7">
      <w:pPr>
        <w:tabs>
          <w:tab w:val="left" w:pos="1089"/>
        </w:tabs>
        <w:ind w:left="360"/>
        <w:jc w:val="both"/>
        <w:rPr>
          <w:rFonts w:ascii="Times New Roman" w:hAnsi="Times New Roman" w:cs="Times New Roman"/>
          <w:color w:val="000000" w:themeColor="text1"/>
          <w:lang w:val="uk-UA"/>
        </w:rPr>
      </w:pPr>
    </w:p>
    <w:p w14:paraId="38F57FAB" w14:textId="1FC885B8" w:rsidR="005047D7" w:rsidRDefault="005047D7" w:rsidP="005047D7">
      <w:pPr>
        <w:tabs>
          <w:tab w:val="left" w:pos="1089"/>
        </w:tabs>
        <w:ind w:left="360"/>
        <w:jc w:val="both"/>
        <w:rPr>
          <w:rFonts w:ascii="Times New Roman" w:hAnsi="Times New Roman" w:cs="Times New Roman"/>
          <w:color w:val="000000" w:themeColor="text1"/>
          <w:lang w:val="uk-UA"/>
        </w:rPr>
      </w:pPr>
      <w:r w:rsidRPr="00D45EE4">
        <w:rPr>
          <w:rFonts w:ascii="Times New Roman" w:hAnsi="Times New Roman" w:cs="Times New Roman"/>
          <w:color w:val="000000" w:themeColor="text1"/>
          <w:lang w:val="uk-UA"/>
        </w:rPr>
        <w:t>Незважаючи на те, що для пацієнтів з легким або середнім пошкодженням нирок не потрібна кор</w:t>
      </w:r>
      <w:r>
        <w:rPr>
          <w:rFonts w:ascii="Times New Roman" w:hAnsi="Times New Roman" w:cs="Times New Roman"/>
          <w:color w:val="000000" w:themeColor="text1"/>
          <w:lang w:val="uk-UA"/>
        </w:rPr>
        <w:t>екц</w:t>
      </w:r>
      <w:r w:rsidRPr="00D45EE4">
        <w:rPr>
          <w:rFonts w:ascii="Times New Roman" w:hAnsi="Times New Roman" w:cs="Times New Roman"/>
          <w:color w:val="000000" w:themeColor="text1"/>
          <w:lang w:val="uk-UA"/>
        </w:rPr>
        <w:t xml:space="preserve">ія дози софосбувіру і </w:t>
      </w:r>
      <w:r>
        <w:rPr>
          <w:rFonts w:ascii="Times New Roman" w:hAnsi="Times New Roman" w:cs="Times New Roman"/>
          <w:color w:val="000000" w:themeColor="text1"/>
          <w:lang w:val="uk-UA"/>
        </w:rPr>
        <w:t>ледіпасвір</w:t>
      </w:r>
      <w:r w:rsidRPr="00D45EE4">
        <w:rPr>
          <w:rFonts w:ascii="Times New Roman" w:hAnsi="Times New Roman" w:cs="Times New Roman"/>
          <w:color w:val="000000" w:themeColor="text1"/>
          <w:lang w:val="uk-UA"/>
        </w:rPr>
        <w:t>у, безпека комбінації софосбувір</w:t>
      </w:r>
      <w:r w:rsidR="005F2833">
        <w:rPr>
          <w:rFonts w:ascii="Times New Roman" w:hAnsi="Times New Roman" w:cs="Times New Roman"/>
          <w:color w:val="000000" w:themeColor="text1"/>
          <w:lang w:val="uk-UA"/>
        </w:rPr>
        <w:t>-</w:t>
      </w:r>
      <w:r>
        <w:rPr>
          <w:rFonts w:ascii="Times New Roman" w:hAnsi="Times New Roman" w:cs="Times New Roman"/>
          <w:color w:val="000000" w:themeColor="text1"/>
          <w:lang w:val="uk-UA"/>
        </w:rPr>
        <w:t>ледіпасвір</w:t>
      </w:r>
      <w:r w:rsidRPr="00D45EE4">
        <w:rPr>
          <w:rFonts w:ascii="Times New Roman" w:hAnsi="Times New Roman" w:cs="Times New Roman"/>
          <w:color w:val="000000" w:themeColor="text1"/>
          <w:lang w:val="uk-UA"/>
        </w:rPr>
        <w:t xml:space="preserve"> не була оцінена у хворих з важкими порушен</w:t>
      </w:r>
      <w:r>
        <w:rPr>
          <w:rFonts w:ascii="Times New Roman" w:hAnsi="Times New Roman" w:cs="Times New Roman"/>
          <w:color w:val="000000" w:themeColor="text1"/>
          <w:lang w:val="uk-UA"/>
        </w:rPr>
        <w:t xml:space="preserve">нями функції нирок (ШКФ &lt;30 мл/ хв/1,73 м2) або </w:t>
      </w:r>
      <w:r w:rsidR="005C66E8">
        <w:rPr>
          <w:rFonts w:ascii="Times New Roman" w:hAnsi="Times New Roman" w:cs="Times New Roman"/>
          <w:color w:val="000000" w:themeColor="text1"/>
          <w:lang w:val="uk-UA"/>
        </w:rPr>
        <w:t>термінальн</w:t>
      </w:r>
      <w:r>
        <w:rPr>
          <w:rFonts w:ascii="Times New Roman" w:hAnsi="Times New Roman" w:cs="Times New Roman"/>
          <w:color w:val="000000" w:themeColor="text1"/>
          <w:lang w:val="uk-UA"/>
        </w:rPr>
        <w:t xml:space="preserve">ими стадіями захворювання нирок, що потребують </w:t>
      </w:r>
      <w:r w:rsidRPr="00D45EE4">
        <w:rPr>
          <w:rFonts w:ascii="Times New Roman" w:hAnsi="Times New Roman" w:cs="Times New Roman"/>
          <w:color w:val="000000" w:themeColor="text1"/>
          <w:lang w:val="uk-UA"/>
        </w:rPr>
        <w:t>гемодіаліз</w:t>
      </w:r>
      <w:r>
        <w:rPr>
          <w:rFonts w:ascii="Times New Roman" w:hAnsi="Times New Roman" w:cs="Times New Roman"/>
          <w:color w:val="000000" w:themeColor="text1"/>
          <w:lang w:val="uk-UA"/>
        </w:rPr>
        <w:t>у</w:t>
      </w:r>
      <w:r w:rsidRPr="00D45EE4">
        <w:rPr>
          <w:rFonts w:ascii="Times New Roman" w:hAnsi="Times New Roman" w:cs="Times New Roman"/>
          <w:color w:val="000000" w:themeColor="text1"/>
          <w:lang w:val="uk-UA"/>
        </w:rPr>
        <w:t xml:space="preserve">, але спостерігається все більша кількість доказів прийнятності </w:t>
      </w:r>
      <w:r>
        <w:rPr>
          <w:rFonts w:ascii="Times New Roman" w:hAnsi="Times New Roman" w:cs="Times New Roman"/>
          <w:color w:val="000000" w:themeColor="text1"/>
          <w:lang w:val="uk-UA"/>
        </w:rPr>
        <w:t>з точки зору шкоди та користі</w:t>
      </w:r>
      <w:r w:rsidRPr="00D45EE4">
        <w:rPr>
          <w:rFonts w:ascii="Times New Roman" w:hAnsi="Times New Roman" w:cs="Times New Roman"/>
          <w:color w:val="000000" w:themeColor="text1"/>
          <w:lang w:val="uk-UA"/>
        </w:rPr>
        <w:t>.</w:t>
      </w:r>
      <w:r w:rsidRPr="00454AA5">
        <w:rPr>
          <w:rFonts w:ascii="Times New Roman" w:hAnsi="Times New Roman" w:cs="Times New Roman"/>
          <w:b/>
          <w:color w:val="000000" w:themeColor="text1"/>
          <w:vertAlign w:val="superscript"/>
          <w:lang w:val="uk-UA"/>
        </w:rPr>
        <w:t>62</w:t>
      </w:r>
      <w:r w:rsidRPr="00D45EE4">
        <w:rPr>
          <w:rFonts w:ascii="Times New Roman" w:hAnsi="Times New Roman" w:cs="Times New Roman"/>
          <w:color w:val="000000" w:themeColor="text1"/>
          <w:lang w:val="uk-UA"/>
        </w:rPr>
        <w:t xml:space="preserve"> Відносно пацієнтів з нормаль</w:t>
      </w:r>
      <w:r>
        <w:rPr>
          <w:rFonts w:ascii="Times New Roman" w:hAnsi="Times New Roman" w:cs="Times New Roman"/>
          <w:color w:val="000000" w:themeColor="text1"/>
          <w:lang w:val="uk-UA"/>
        </w:rPr>
        <w:t>ною функцією нирок (ШКФ&gt; 80 мл/</w:t>
      </w:r>
      <w:r w:rsidRPr="00D45EE4">
        <w:rPr>
          <w:rFonts w:ascii="Times New Roman" w:hAnsi="Times New Roman" w:cs="Times New Roman"/>
          <w:color w:val="000000" w:themeColor="text1"/>
          <w:lang w:val="uk-UA"/>
        </w:rPr>
        <w:t>хв</w:t>
      </w:r>
      <w:r>
        <w:rPr>
          <w:rFonts w:ascii="Times New Roman" w:hAnsi="Times New Roman" w:cs="Times New Roman"/>
          <w:color w:val="000000" w:themeColor="text1"/>
          <w:lang w:val="uk-UA"/>
        </w:rPr>
        <w:t xml:space="preserve">/ 1,73 м2), </w:t>
      </w:r>
      <w:r w:rsidRPr="00DB67F9">
        <w:rPr>
          <w:rFonts w:ascii="Times New Roman" w:hAnsi="Times New Roman" w:cs="Times New Roman"/>
          <w:color w:val="000000" w:themeColor="text1"/>
          <w:lang w:val="uk-UA"/>
        </w:rPr>
        <w:t xml:space="preserve">AUC софосбувіру була </w:t>
      </w:r>
      <w:r w:rsidR="008927BE">
        <w:rPr>
          <w:rFonts w:ascii="Times New Roman" w:hAnsi="Times New Roman" w:cs="Times New Roman"/>
          <w:color w:val="000000" w:themeColor="text1"/>
          <w:lang w:val="uk-UA"/>
        </w:rPr>
        <w:t xml:space="preserve">на </w:t>
      </w:r>
      <w:r w:rsidRPr="00DB67F9">
        <w:rPr>
          <w:rFonts w:ascii="Times New Roman" w:hAnsi="Times New Roman" w:cs="Times New Roman"/>
          <w:color w:val="000000" w:themeColor="text1"/>
          <w:lang w:val="uk-UA"/>
        </w:rPr>
        <w:t xml:space="preserve">61%, 107% та 171% вищою у хворих з легким, </w:t>
      </w:r>
      <w:r w:rsidR="008927BE">
        <w:rPr>
          <w:rFonts w:ascii="Times New Roman" w:hAnsi="Times New Roman" w:cs="Times New Roman"/>
          <w:color w:val="000000" w:themeColor="text1"/>
          <w:lang w:val="uk-UA"/>
        </w:rPr>
        <w:t>помірним</w:t>
      </w:r>
      <w:r w:rsidRPr="00DB67F9">
        <w:rPr>
          <w:rFonts w:ascii="Times New Roman" w:hAnsi="Times New Roman" w:cs="Times New Roman"/>
          <w:color w:val="000000" w:themeColor="text1"/>
          <w:lang w:val="uk-UA"/>
        </w:rPr>
        <w:t xml:space="preserve"> та важким захворюванням нирок, тоді як AUC GS</w:t>
      </w:r>
      <w:r w:rsidR="00FC6D8A">
        <w:rPr>
          <w:rFonts w:ascii="Times New Roman" w:hAnsi="Times New Roman" w:cs="Times New Roman"/>
          <w:color w:val="000000" w:themeColor="text1"/>
          <w:lang w:val="uk-UA"/>
        </w:rPr>
        <w:t>–</w:t>
      </w:r>
      <w:r w:rsidRPr="00DB67F9">
        <w:rPr>
          <w:rFonts w:ascii="Times New Roman" w:hAnsi="Times New Roman" w:cs="Times New Roman"/>
          <w:color w:val="000000" w:themeColor="text1"/>
          <w:lang w:val="uk-UA"/>
        </w:rPr>
        <w:t>331007 становила 55%, 88% та 451% відповідно. Таким чином, пацієнти з легким або середнім захворюванням нирок не потребують корекції дози, проте наразі немає рекомендацій щодо дозування для пацієнтів з важкими порушеннями</w:t>
      </w:r>
      <w:r w:rsidRPr="00D45EE4">
        <w:rPr>
          <w:rFonts w:ascii="Times New Roman" w:hAnsi="Times New Roman" w:cs="Times New Roman"/>
          <w:color w:val="000000" w:themeColor="text1"/>
          <w:lang w:val="uk-UA"/>
        </w:rPr>
        <w:t xml:space="preserve"> функції нирок (</w:t>
      </w:r>
      <w:r>
        <w:rPr>
          <w:rFonts w:ascii="Times New Roman" w:hAnsi="Times New Roman" w:cs="Times New Roman"/>
          <w:color w:val="000000" w:themeColor="text1"/>
          <w:lang w:val="uk-UA"/>
        </w:rPr>
        <w:t>ШКФ &lt;30 мл/хв/</w:t>
      </w:r>
      <w:r w:rsidRPr="00D45EE4">
        <w:rPr>
          <w:rFonts w:ascii="Times New Roman" w:hAnsi="Times New Roman" w:cs="Times New Roman"/>
          <w:color w:val="000000" w:themeColor="text1"/>
          <w:lang w:val="uk-UA"/>
        </w:rPr>
        <w:t xml:space="preserve">1,73 м2) або </w:t>
      </w:r>
      <w:r w:rsidR="00CF0D47">
        <w:rPr>
          <w:rFonts w:ascii="Times New Roman" w:hAnsi="Times New Roman" w:cs="Times New Roman"/>
          <w:color w:val="000000" w:themeColor="text1"/>
          <w:lang w:val="uk-UA"/>
        </w:rPr>
        <w:t>термінальною</w:t>
      </w:r>
      <w:r w:rsidRPr="00D45EE4">
        <w:rPr>
          <w:rFonts w:ascii="Times New Roman" w:hAnsi="Times New Roman" w:cs="Times New Roman"/>
          <w:color w:val="000000" w:themeColor="text1"/>
          <w:lang w:val="uk-UA"/>
        </w:rPr>
        <w:t xml:space="preserve"> ста</w:t>
      </w:r>
      <w:r>
        <w:rPr>
          <w:rFonts w:ascii="Times New Roman" w:hAnsi="Times New Roman" w:cs="Times New Roman"/>
          <w:color w:val="000000" w:themeColor="text1"/>
          <w:lang w:val="uk-UA"/>
        </w:rPr>
        <w:t xml:space="preserve">дією ниркової недостатності. На сьогодні, </w:t>
      </w:r>
      <w:r w:rsidRPr="006449EA">
        <w:rPr>
          <w:rFonts w:ascii="Times New Roman" w:hAnsi="Times New Roman" w:cs="Times New Roman"/>
          <w:color w:val="000000" w:themeColor="text1"/>
          <w:lang w:val="uk-UA"/>
        </w:rPr>
        <w:t>є доступними</w:t>
      </w:r>
      <w:r>
        <w:rPr>
          <w:rFonts w:ascii="Times New Roman" w:hAnsi="Times New Roman" w:cs="Times New Roman"/>
          <w:color w:val="000000" w:themeColor="text1"/>
          <w:lang w:val="uk-UA"/>
        </w:rPr>
        <w:t xml:space="preserve"> п</w:t>
      </w:r>
      <w:r w:rsidRPr="00D45EE4">
        <w:rPr>
          <w:rFonts w:ascii="Times New Roman" w:hAnsi="Times New Roman" w:cs="Times New Roman"/>
          <w:color w:val="000000" w:themeColor="text1"/>
          <w:lang w:val="uk-UA"/>
        </w:rPr>
        <w:t xml:space="preserve">ангенотипні комбінації лікарських </w:t>
      </w:r>
      <w:r>
        <w:rPr>
          <w:rFonts w:ascii="Times New Roman" w:hAnsi="Times New Roman" w:cs="Times New Roman"/>
          <w:color w:val="000000" w:themeColor="text1"/>
          <w:lang w:val="uk-UA"/>
        </w:rPr>
        <w:t xml:space="preserve">засобів, які не виводяться нирками, </w:t>
      </w:r>
      <w:r w:rsidRPr="00D45EE4">
        <w:rPr>
          <w:rFonts w:ascii="Times New Roman" w:hAnsi="Times New Roman" w:cs="Times New Roman"/>
          <w:color w:val="000000" w:themeColor="text1"/>
          <w:lang w:val="uk-UA"/>
        </w:rPr>
        <w:t xml:space="preserve">таким чином </w:t>
      </w:r>
      <w:r>
        <w:rPr>
          <w:rFonts w:ascii="Times New Roman" w:hAnsi="Times New Roman" w:cs="Times New Roman"/>
          <w:color w:val="000000" w:themeColor="text1"/>
          <w:lang w:val="uk-UA"/>
        </w:rPr>
        <w:t xml:space="preserve">виключається необхідність у режимах, </w:t>
      </w:r>
      <w:r w:rsidRPr="00FC690F">
        <w:rPr>
          <w:rFonts w:ascii="Times New Roman" w:hAnsi="Times New Roman" w:cs="Times New Roman"/>
          <w:color w:val="000000" w:themeColor="text1"/>
          <w:lang w:val="uk-UA"/>
        </w:rPr>
        <w:t>заснованих на софусбувірі.</w:t>
      </w:r>
      <w:r>
        <w:rPr>
          <w:rFonts w:ascii="Times New Roman" w:hAnsi="Times New Roman" w:cs="Times New Roman"/>
          <w:color w:val="000000" w:themeColor="text1"/>
          <w:lang w:val="uk-UA"/>
        </w:rPr>
        <w:t xml:space="preserve"> </w:t>
      </w:r>
    </w:p>
    <w:p w14:paraId="3D2F8AAE" w14:textId="77777777" w:rsidR="005047D7" w:rsidRDefault="005047D7" w:rsidP="005047D7">
      <w:pPr>
        <w:tabs>
          <w:tab w:val="left" w:pos="1089"/>
        </w:tabs>
        <w:ind w:left="360"/>
        <w:jc w:val="both"/>
        <w:rPr>
          <w:rFonts w:ascii="Times New Roman" w:hAnsi="Times New Roman" w:cs="Times New Roman"/>
          <w:color w:val="000000" w:themeColor="text1"/>
          <w:lang w:val="uk-UA"/>
        </w:rPr>
      </w:pPr>
    </w:p>
    <w:p w14:paraId="63E7FA98" w14:textId="77777777" w:rsidR="005047D7" w:rsidRPr="006E07BD" w:rsidRDefault="005047D7" w:rsidP="005047D7">
      <w:pPr>
        <w:tabs>
          <w:tab w:val="left" w:pos="1089"/>
        </w:tabs>
        <w:ind w:left="360"/>
        <w:jc w:val="both"/>
        <w:rPr>
          <w:rFonts w:ascii="Times New Roman" w:hAnsi="Times New Roman" w:cs="Times New Roman"/>
          <w:color w:val="000000" w:themeColor="text1"/>
          <w:lang w:val="uk-UA"/>
        </w:rPr>
      </w:pPr>
      <w:r w:rsidRPr="006E07BD">
        <w:rPr>
          <w:rFonts w:ascii="Times New Roman" w:hAnsi="Times New Roman" w:cs="Times New Roman"/>
          <w:color w:val="000000" w:themeColor="text1"/>
          <w:lang w:val="uk-UA"/>
        </w:rPr>
        <w:t>Найбіл</w:t>
      </w:r>
      <w:r>
        <w:rPr>
          <w:rFonts w:ascii="Times New Roman" w:hAnsi="Times New Roman" w:cs="Times New Roman"/>
          <w:color w:val="000000" w:themeColor="text1"/>
          <w:lang w:val="uk-UA"/>
        </w:rPr>
        <w:t>ьш поширеними побічними реакціями</w:t>
      </w:r>
      <w:r w:rsidRPr="006E07BD">
        <w:rPr>
          <w:rFonts w:ascii="Times New Roman" w:hAnsi="Times New Roman" w:cs="Times New Roman"/>
          <w:color w:val="000000" w:themeColor="text1"/>
          <w:lang w:val="uk-UA"/>
        </w:rPr>
        <w:t>, про які повідомляло</w:t>
      </w:r>
      <w:r>
        <w:rPr>
          <w:rFonts w:ascii="Times New Roman" w:hAnsi="Times New Roman" w:cs="Times New Roman"/>
          <w:color w:val="000000" w:themeColor="text1"/>
          <w:lang w:val="uk-UA"/>
        </w:rPr>
        <w:t>ся при цій комбінації, були втома</w:t>
      </w:r>
      <w:r w:rsidRPr="006E07BD">
        <w:rPr>
          <w:rFonts w:ascii="Times New Roman" w:hAnsi="Times New Roman" w:cs="Times New Roman"/>
          <w:color w:val="000000" w:themeColor="text1"/>
          <w:lang w:val="uk-UA"/>
        </w:rPr>
        <w:t xml:space="preserve"> та головний біль.</w:t>
      </w:r>
    </w:p>
    <w:p w14:paraId="55857AB3" w14:textId="77777777" w:rsidR="005047D7" w:rsidRDefault="005047D7" w:rsidP="005047D7">
      <w:pPr>
        <w:tabs>
          <w:tab w:val="left" w:pos="1089"/>
        </w:tabs>
        <w:ind w:left="360"/>
        <w:jc w:val="both"/>
        <w:rPr>
          <w:rFonts w:ascii="Times New Roman" w:hAnsi="Times New Roman" w:cs="Times New Roman"/>
          <w:color w:val="000000" w:themeColor="text1"/>
          <w:lang w:val="uk-UA"/>
        </w:rPr>
      </w:pPr>
    </w:p>
    <w:p w14:paraId="7CC10AED" w14:textId="0A742353" w:rsidR="005047D7" w:rsidRDefault="005047D7" w:rsidP="005047D7">
      <w:pPr>
        <w:tabs>
          <w:tab w:val="left" w:pos="1089"/>
        </w:tabs>
        <w:ind w:left="360"/>
        <w:jc w:val="both"/>
        <w:rPr>
          <w:rFonts w:ascii="Times New Roman" w:hAnsi="Times New Roman" w:cs="Times New Roman"/>
          <w:color w:val="000000" w:themeColor="text1"/>
          <w:lang w:val="uk-UA"/>
        </w:rPr>
      </w:pPr>
      <w:r w:rsidRPr="006E07BD">
        <w:rPr>
          <w:rFonts w:ascii="Times New Roman" w:hAnsi="Times New Roman" w:cs="Times New Roman"/>
          <w:color w:val="000000" w:themeColor="text1"/>
          <w:lang w:val="uk-UA"/>
        </w:rPr>
        <w:t xml:space="preserve">Оскільки комбінація містить </w:t>
      </w:r>
      <w:r>
        <w:rPr>
          <w:rFonts w:ascii="Times New Roman" w:hAnsi="Times New Roman" w:cs="Times New Roman"/>
          <w:color w:val="000000" w:themeColor="text1"/>
          <w:lang w:val="uk-UA"/>
        </w:rPr>
        <w:t>ледіпасвір</w:t>
      </w:r>
      <w:r w:rsidRPr="006E07BD">
        <w:rPr>
          <w:rFonts w:ascii="Times New Roman" w:hAnsi="Times New Roman" w:cs="Times New Roman"/>
          <w:color w:val="000000" w:themeColor="text1"/>
          <w:lang w:val="uk-UA"/>
        </w:rPr>
        <w:t xml:space="preserve"> і софосбувір</w:t>
      </w:r>
      <w:r>
        <w:rPr>
          <w:rFonts w:ascii="Times New Roman" w:hAnsi="Times New Roman" w:cs="Times New Roman"/>
          <w:color w:val="000000" w:themeColor="text1"/>
          <w:lang w:val="uk-UA"/>
        </w:rPr>
        <w:t>, будь</w:t>
      </w:r>
      <w:r w:rsidR="00FC6D8A">
        <w:rPr>
          <w:rFonts w:ascii="Times New Roman" w:hAnsi="Times New Roman" w:cs="Times New Roman"/>
          <w:color w:val="000000" w:themeColor="text1"/>
          <w:lang w:val="uk-UA"/>
        </w:rPr>
        <w:t>–</w:t>
      </w:r>
      <w:r>
        <w:rPr>
          <w:rFonts w:ascii="Times New Roman" w:hAnsi="Times New Roman" w:cs="Times New Roman"/>
          <w:color w:val="000000" w:themeColor="text1"/>
          <w:lang w:val="uk-UA"/>
        </w:rPr>
        <w:t>які взаємодії, виявле</w:t>
      </w:r>
      <w:r w:rsidRPr="006E07BD">
        <w:rPr>
          <w:rFonts w:ascii="Times New Roman" w:hAnsi="Times New Roman" w:cs="Times New Roman"/>
          <w:color w:val="000000" w:themeColor="text1"/>
          <w:lang w:val="uk-UA"/>
        </w:rPr>
        <w:t xml:space="preserve">ні з окремими препаратами, будуть застосовуватися до цієї комбінації. Потенційні (обмежені) взаємодії з софосбувіром були описані раніше. </w:t>
      </w:r>
      <w:r>
        <w:rPr>
          <w:rFonts w:ascii="Times New Roman" w:hAnsi="Times New Roman" w:cs="Times New Roman"/>
          <w:color w:val="000000" w:themeColor="text1"/>
          <w:lang w:val="uk-UA"/>
        </w:rPr>
        <w:t>Б</w:t>
      </w:r>
      <w:r w:rsidRPr="006E07BD">
        <w:rPr>
          <w:rFonts w:ascii="Times New Roman" w:hAnsi="Times New Roman" w:cs="Times New Roman"/>
          <w:color w:val="000000" w:themeColor="text1"/>
          <w:lang w:val="uk-UA"/>
        </w:rPr>
        <w:t>удь</w:t>
      </w:r>
      <w:r w:rsidR="008927BE">
        <w:rPr>
          <w:rFonts w:ascii="Times New Roman" w:hAnsi="Times New Roman" w:cs="Times New Roman"/>
          <w:color w:val="000000" w:themeColor="text1"/>
          <w:lang w:val="uk-UA"/>
        </w:rPr>
        <w:t>-</w:t>
      </w:r>
      <w:r w:rsidRPr="006E07BD">
        <w:rPr>
          <w:rFonts w:ascii="Times New Roman" w:hAnsi="Times New Roman" w:cs="Times New Roman"/>
          <w:color w:val="000000" w:themeColor="text1"/>
          <w:lang w:val="uk-UA"/>
        </w:rPr>
        <w:t>які препарати</w:t>
      </w:r>
      <w:r w:rsidR="008927BE">
        <w:rPr>
          <w:rFonts w:ascii="Times New Roman" w:hAnsi="Times New Roman" w:cs="Times New Roman"/>
          <w:color w:val="000000" w:themeColor="text1"/>
          <w:lang w:val="uk-UA"/>
        </w:rPr>
        <w:t>, що вживаються одночасно і які є</w:t>
      </w:r>
      <w:r w:rsidRPr="006E07BD">
        <w:rPr>
          <w:rFonts w:ascii="Times New Roman" w:hAnsi="Times New Roman" w:cs="Times New Roman"/>
          <w:color w:val="000000" w:themeColor="text1"/>
          <w:lang w:val="uk-UA"/>
        </w:rPr>
        <w:t xml:space="preserve"> потужними інг</w:t>
      </w:r>
      <w:r>
        <w:rPr>
          <w:rFonts w:ascii="Times New Roman" w:hAnsi="Times New Roman" w:cs="Times New Roman"/>
          <w:color w:val="000000" w:themeColor="text1"/>
          <w:lang w:val="uk-UA"/>
        </w:rPr>
        <w:t>ібіторами P</w:t>
      </w:r>
      <w:r w:rsidR="008927BE">
        <w:rPr>
          <w:rFonts w:ascii="Times New Roman" w:hAnsi="Times New Roman" w:cs="Times New Roman"/>
          <w:color w:val="000000" w:themeColor="text1"/>
          <w:lang w:val="uk-UA"/>
        </w:rPr>
        <w:t>-</w:t>
      </w:r>
      <w:r>
        <w:rPr>
          <w:rFonts w:ascii="Times New Roman" w:hAnsi="Times New Roman" w:cs="Times New Roman"/>
          <w:color w:val="000000" w:themeColor="text1"/>
          <w:lang w:val="uk-UA"/>
        </w:rPr>
        <w:t>gp, не тільки зменшую</w:t>
      </w:r>
      <w:r w:rsidRPr="006E07BD">
        <w:rPr>
          <w:rFonts w:ascii="Times New Roman" w:hAnsi="Times New Roman" w:cs="Times New Roman"/>
          <w:color w:val="000000" w:themeColor="text1"/>
          <w:lang w:val="uk-UA"/>
        </w:rPr>
        <w:t xml:space="preserve">ть </w:t>
      </w:r>
      <w:r>
        <w:rPr>
          <w:rFonts w:ascii="Times New Roman" w:hAnsi="Times New Roman" w:cs="Times New Roman"/>
          <w:color w:val="000000" w:themeColor="text1"/>
          <w:lang w:val="uk-UA"/>
        </w:rPr>
        <w:t xml:space="preserve">концентрацію </w:t>
      </w:r>
      <w:r w:rsidR="008927BE" w:rsidRPr="006E07BD">
        <w:rPr>
          <w:rFonts w:ascii="Times New Roman" w:hAnsi="Times New Roman" w:cs="Times New Roman"/>
          <w:color w:val="000000" w:themeColor="text1"/>
          <w:lang w:val="uk-UA"/>
        </w:rPr>
        <w:t>софосбувір</w:t>
      </w:r>
      <w:r w:rsidR="008927BE">
        <w:rPr>
          <w:rFonts w:ascii="Times New Roman" w:hAnsi="Times New Roman" w:cs="Times New Roman"/>
          <w:color w:val="000000" w:themeColor="text1"/>
          <w:lang w:val="uk-UA"/>
        </w:rPr>
        <w:t xml:space="preserve">у </w:t>
      </w:r>
      <w:r>
        <w:rPr>
          <w:rFonts w:ascii="Times New Roman" w:hAnsi="Times New Roman" w:cs="Times New Roman"/>
          <w:color w:val="000000" w:themeColor="text1"/>
          <w:lang w:val="uk-UA"/>
        </w:rPr>
        <w:t>в плазмі крові</w:t>
      </w:r>
      <w:r w:rsidRPr="006E07BD">
        <w:rPr>
          <w:rFonts w:ascii="Times New Roman" w:hAnsi="Times New Roman" w:cs="Times New Roman"/>
          <w:color w:val="000000" w:themeColor="text1"/>
          <w:lang w:val="uk-UA"/>
        </w:rPr>
        <w:t>, але також призводять до зниження терапевтич</w:t>
      </w:r>
      <w:r>
        <w:rPr>
          <w:rFonts w:ascii="Times New Roman" w:hAnsi="Times New Roman" w:cs="Times New Roman"/>
          <w:color w:val="000000" w:themeColor="text1"/>
          <w:lang w:val="uk-UA"/>
        </w:rPr>
        <w:t>ного ефекту ледіпасвіру. Хоча спільний прийом з препарата</w:t>
      </w:r>
      <w:r w:rsidRPr="006E07BD">
        <w:rPr>
          <w:rFonts w:ascii="Times New Roman" w:hAnsi="Times New Roman" w:cs="Times New Roman"/>
          <w:color w:val="000000" w:themeColor="text1"/>
          <w:lang w:val="uk-UA"/>
        </w:rPr>
        <w:t>м</w:t>
      </w:r>
      <w:r>
        <w:rPr>
          <w:rFonts w:ascii="Times New Roman" w:hAnsi="Times New Roman" w:cs="Times New Roman"/>
          <w:color w:val="000000" w:themeColor="text1"/>
          <w:lang w:val="uk-UA"/>
        </w:rPr>
        <w:t xml:space="preserve">и, що інгібують </w:t>
      </w:r>
      <w:r w:rsidR="004D2A4F">
        <w:rPr>
          <w:rFonts w:ascii="Times New Roman" w:hAnsi="Times New Roman" w:cs="Times New Roman"/>
          <w:color w:val="000000" w:themeColor="text1"/>
          <w:lang w:val="uk-UA"/>
        </w:rPr>
        <w:t xml:space="preserve">P-gp </w:t>
      </w:r>
      <w:r>
        <w:rPr>
          <w:rFonts w:ascii="Times New Roman" w:hAnsi="Times New Roman" w:cs="Times New Roman"/>
          <w:color w:val="000000" w:themeColor="text1"/>
          <w:lang w:val="uk-UA"/>
        </w:rPr>
        <w:t>і/</w:t>
      </w:r>
      <w:r w:rsidRPr="006E07BD">
        <w:rPr>
          <w:rFonts w:ascii="Times New Roman" w:hAnsi="Times New Roman" w:cs="Times New Roman"/>
          <w:color w:val="000000" w:themeColor="text1"/>
          <w:lang w:val="uk-UA"/>
        </w:rPr>
        <w:t xml:space="preserve">або </w:t>
      </w:r>
      <w:r w:rsidR="008927BE">
        <w:rPr>
          <w:rFonts w:ascii="Times New Roman" w:hAnsi="Times New Roman" w:cs="Times New Roman"/>
          <w:color w:val="000000" w:themeColor="text1"/>
          <w:lang w:val="uk-UA"/>
        </w:rPr>
        <w:t>білок стійкості раку молочної залози (</w:t>
      </w:r>
      <w:r w:rsidR="008927BE" w:rsidRPr="008927BE">
        <w:rPr>
          <w:rFonts w:ascii="Times New Roman" w:hAnsi="Times New Roman" w:cs="Times New Roman"/>
          <w:color w:val="000000" w:themeColor="text1"/>
          <w:lang w:val="uk-UA"/>
        </w:rPr>
        <w:t>breast cancer resistance protein</w:t>
      </w:r>
      <w:r w:rsidR="008927BE">
        <w:rPr>
          <w:rFonts w:ascii="Times New Roman" w:hAnsi="Times New Roman" w:cs="Times New Roman"/>
          <w:color w:val="000000" w:themeColor="text1"/>
          <w:lang w:val="uk-UA"/>
        </w:rPr>
        <w:t xml:space="preserve">, </w:t>
      </w:r>
      <w:r w:rsidRPr="006E07BD">
        <w:rPr>
          <w:rFonts w:ascii="Times New Roman" w:hAnsi="Times New Roman" w:cs="Times New Roman"/>
          <w:color w:val="000000" w:themeColor="text1"/>
          <w:lang w:val="uk-UA"/>
        </w:rPr>
        <w:t>BCRP</w:t>
      </w:r>
      <w:r w:rsidR="008927BE">
        <w:rPr>
          <w:rFonts w:ascii="Times New Roman" w:hAnsi="Times New Roman" w:cs="Times New Roman"/>
          <w:color w:val="000000" w:themeColor="text1"/>
          <w:lang w:val="uk-UA"/>
        </w:rPr>
        <w:t>),</w:t>
      </w:r>
      <w:r w:rsidRPr="006E07BD">
        <w:rPr>
          <w:rFonts w:ascii="Times New Roman" w:hAnsi="Times New Roman" w:cs="Times New Roman"/>
          <w:color w:val="000000" w:themeColor="text1"/>
          <w:lang w:val="uk-UA"/>
        </w:rPr>
        <w:t xml:space="preserve"> може збільшити експозицію софосбу</w:t>
      </w:r>
      <w:r>
        <w:rPr>
          <w:rFonts w:ascii="Times New Roman" w:hAnsi="Times New Roman" w:cs="Times New Roman"/>
          <w:color w:val="000000" w:themeColor="text1"/>
          <w:lang w:val="uk-UA"/>
        </w:rPr>
        <w:t>віру</w:t>
      </w:r>
      <w:r w:rsidRPr="006E07BD">
        <w:rPr>
          <w:rFonts w:ascii="Times New Roman" w:hAnsi="Times New Roman" w:cs="Times New Roman"/>
          <w:color w:val="000000" w:themeColor="text1"/>
          <w:lang w:val="uk-UA"/>
        </w:rPr>
        <w:t xml:space="preserve"> та </w:t>
      </w:r>
      <w:r>
        <w:rPr>
          <w:rFonts w:ascii="Times New Roman" w:hAnsi="Times New Roman" w:cs="Times New Roman"/>
          <w:color w:val="000000" w:themeColor="text1"/>
          <w:lang w:val="uk-UA"/>
        </w:rPr>
        <w:t>ледіпасвіру</w:t>
      </w:r>
      <w:r w:rsidRPr="006E07BD">
        <w:rPr>
          <w:rFonts w:ascii="Times New Roman" w:hAnsi="Times New Roman" w:cs="Times New Roman"/>
          <w:color w:val="000000" w:themeColor="text1"/>
          <w:lang w:val="uk-UA"/>
        </w:rPr>
        <w:t>, кл</w:t>
      </w:r>
      <w:r>
        <w:rPr>
          <w:rFonts w:ascii="Times New Roman" w:hAnsi="Times New Roman" w:cs="Times New Roman"/>
          <w:color w:val="000000" w:themeColor="text1"/>
          <w:lang w:val="uk-UA"/>
        </w:rPr>
        <w:t>інічні наслідки є малоймовірними</w:t>
      </w:r>
      <w:r w:rsidRPr="006E07BD">
        <w:rPr>
          <w:rFonts w:ascii="Times New Roman" w:hAnsi="Times New Roman" w:cs="Times New Roman"/>
          <w:color w:val="000000" w:themeColor="text1"/>
          <w:lang w:val="uk-UA"/>
        </w:rPr>
        <w:t>.</w:t>
      </w:r>
    </w:p>
    <w:p w14:paraId="46B55416" w14:textId="77777777" w:rsidR="005047D7" w:rsidRPr="00DA6F76" w:rsidRDefault="005047D7" w:rsidP="005047D7">
      <w:pPr>
        <w:tabs>
          <w:tab w:val="left" w:pos="1089"/>
        </w:tabs>
        <w:ind w:left="357"/>
        <w:contextualSpacing/>
        <w:jc w:val="both"/>
        <w:rPr>
          <w:rFonts w:ascii="Times New Roman" w:hAnsi="Times New Roman" w:cs="Times New Roman"/>
          <w:i/>
          <w:color w:val="000000" w:themeColor="text1"/>
          <w:sz w:val="20"/>
          <w:szCs w:val="20"/>
          <w:lang w:val="uk-UA"/>
        </w:rPr>
      </w:pPr>
    </w:p>
    <w:p w14:paraId="1F884680" w14:textId="50D014B2" w:rsidR="007A67FE" w:rsidRDefault="007A67FE" w:rsidP="007A67FE">
      <w:pPr>
        <w:tabs>
          <w:tab w:val="left" w:pos="1089"/>
        </w:tabs>
        <w:ind w:left="357"/>
        <w:contextualSpacing/>
        <w:jc w:val="both"/>
        <w:rPr>
          <w:rFonts w:ascii="Times New Roman" w:hAnsi="Times New Roman" w:cs="Times New Roman"/>
          <w:i/>
          <w:color w:val="000000" w:themeColor="text1"/>
          <w:sz w:val="20"/>
          <w:szCs w:val="20"/>
          <w:lang w:val="uk-UA"/>
        </w:rPr>
      </w:pPr>
    </w:p>
    <w:p w14:paraId="59B6D18C" w14:textId="5591BC61" w:rsidR="00DD7838" w:rsidRDefault="00DD7838" w:rsidP="007A67FE">
      <w:pPr>
        <w:tabs>
          <w:tab w:val="left" w:pos="1089"/>
        </w:tabs>
        <w:ind w:left="357"/>
        <w:contextualSpacing/>
        <w:jc w:val="both"/>
        <w:rPr>
          <w:rFonts w:ascii="Times New Roman" w:hAnsi="Times New Roman" w:cs="Times New Roman"/>
          <w:i/>
          <w:color w:val="000000" w:themeColor="text1"/>
          <w:sz w:val="20"/>
          <w:szCs w:val="20"/>
          <w:lang w:val="uk-UA"/>
        </w:rPr>
      </w:pPr>
    </w:p>
    <w:p w14:paraId="52F4AAE1" w14:textId="0F4C6B2F" w:rsidR="00DD7838" w:rsidRDefault="00DD7838" w:rsidP="007A67FE">
      <w:pPr>
        <w:tabs>
          <w:tab w:val="left" w:pos="1089"/>
        </w:tabs>
        <w:ind w:left="357"/>
        <w:contextualSpacing/>
        <w:jc w:val="both"/>
        <w:rPr>
          <w:rFonts w:ascii="Times New Roman" w:hAnsi="Times New Roman" w:cs="Times New Roman"/>
          <w:i/>
          <w:color w:val="000000" w:themeColor="text1"/>
          <w:sz w:val="20"/>
          <w:szCs w:val="20"/>
          <w:lang w:val="uk-UA"/>
        </w:rPr>
      </w:pPr>
    </w:p>
    <w:p w14:paraId="01B89DB4" w14:textId="2286BBA3" w:rsidR="00DD7838" w:rsidRDefault="00DD7838" w:rsidP="007A67FE">
      <w:pPr>
        <w:tabs>
          <w:tab w:val="left" w:pos="1089"/>
        </w:tabs>
        <w:ind w:left="357"/>
        <w:contextualSpacing/>
        <w:jc w:val="both"/>
        <w:rPr>
          <w:rFonts w:ascii="Times New Roman" w:hAnsi="Times New Roman" w:cs="Times New Roman"/>
          <w:i/>
          <w:color w:val="000000" w:themeColor="text1"/>
          <w:sz w:val="20"/>
          <w:szCs w:val="20"/>
          <w:lang w:val="uk-UA"/>
        </w:rPr>
      </w:pPr>
    </w:p>
    <w:p w14:paraId="25D92D5E" w14:textId="17AE2EC4" w:rsidR="00DD7838" w:rsidRDefault="00DD7838" w:rsidP="007A67FE">
      <w:pPr>
        <w:tabs>
          <w:tab w:val="left" w:pos="1089"/>
        </w:tabs>
        <w:ind w:left="357"/>
        <w:contextualSpacing/>
        <w:jc w:val="both"/>
        <w:rPr>
          <w:rFonts w:ascii="Times New Roman" w:hAnsi="Times New Roman" w:cs="Times New Roman"/>
          <w:i/>
          <w:color w:val="000000" w:themeColor="text1"/>
          <w:sz w:val="20"/>
          <w:szCs w:val="20"/>
          <w:lang w:val="uk-UA"/>
        </w:rPr>
      </w:pPr>
    </w:p>
    <w:p w14:paraId="1044D0D9" w14:textId="18D30944" w:rsidR="00DD7838" w:rsidRDefault="00DD7838" w:rsidP="007A67FE">
      <w:pPr>
        <w:tabs>
          <w:tab w:val="left" w:pos="1089"/>
        </w:tabs>
        <w:ind w:left="357"/>
        <w:contextualSpacing/>
        <w:jc w:val="both"/>
        <w:rPr>
          <w:rFonts w:ascii="Times New Roman" w:hAnsi="Times New Roman" w:cs="Times New Roman"/>
          <w:i/>
          <w:color w:val="000000" w:themeColor="text1"/>
          <w:sz w:val="20"/>
          <w:szCs w:val="20"/>
          <w:lang w:val="uk-UA"/>
        </w:rPr>
      </w:pPr>
    </w:p>
    <w:p w14:paraId="731738FC" w14:textId="5CF22018" w:rsidR="007C2563" w:rsidRDefault="007C2563" w:rsidP="007A67FE">
      <w:pPr>
        <w:tabs>
          <w:tab w:val="left" w:pos="1089"/>
        </w:tabs>
        <w:ind w:left="357"/>
        <w:contextualSpacing/>
        <w:jc w:val="both"/>
        <w:rPr>
          <w:rFonts w:ascii="Times New Roman" w:hAnsi="Times New Roman" w:cs="Times New Roman"/>
          <w:i/>
          <w:color w:val="000000" w:themeColor="text1"/>
          <w:sz w:val="20"/>
          <w:szCs w:val="20"/>
          <w:lang w:val="uk-UA"/>
        </w:rPr>
      </w:pPr>
    </w:p>
    <w:p w14:paraId="4FC61EFF" w14:textId="7E9FF426" w:rsidR="007C2563" w:rsidRDefault="007C2563" w:rsidP="007A67FE">
      <w:pPr>
        <w:tabs>
          <w:tab w:val="left" w:pos="1089"/>
        </w:tabs>
        <w:ind w:left="357"/>
        <w:contextualSpacing/>
        <w:jc w:val="both"/>
        <w:rPr>
          <w:rFonts w:ascii="Times New Roman" w:hAnsi="Times New Roman" w:cs="Times New Roman"/>
          <w:i/>
          <w:color w:val="000000" w:themeColor="text1"/>
          <w:sz w:val="20"/>
          <w:szCs w:val="20"/>
          <w:lang w:val="uk-UA"/>
        </w:rPr>
      </w:pPr>
    </w:p>
    <w:p w14:paraId="59665C00" w14:textId="46E45221" w:rsidR="007C2563" w:rsidRDefault="007C2563" w:rsidP="007A67FE">
      <w:pPr>
        <w:tabs>
          <w:tab w:val="left" w:pos="1089"/>
        </w:tabs>
        <w:ind w:left="357"/>
        <w:contextualSpacing/>
        <w:jc w:val="both"/>
        <w:rPr>
          <w:rFonts w:ascii="Times New Roman" w:hAnsi="Times New Roman" w:cs="Times New Roman"/>
          <w:i/>
          <w:color w:val="000000" w:themeColor="text1"/>
          <w:sz w:val="20"/>
          <w:szCs w:val="20"/>
          <w:lang w:val="uk-UA"/>
        </w:rPr>
      </w:pPr>
    </w:p>
    <w:p w14:paraId="402F8591" w14:textId="77777777" w:rsidR="007C2563" w:rsidRDefault="007C2563" w:rsidP="007A67FE">
      <w:pPr>
        <w:tabs>
          <w:tab w:val="left" w:pos="1089"/>
        </w:tabs>
        <w:ind w:left="357"/>
        <w:contextualSpacing/>
        <w:jc w:val="both"/>
        <w:rPr>
          <w:rFonts w:ascii="Times New Roman" w:hAnsi="Times New Roman" w:cs="Times New Roman"/>
          <w:i/>
          <w:color w:val="000000" w:themeColor="text1"/>
          <w:sz w:val="20"/>
          <w:szCs w:val="20"/>
          <w:lang w:val="uk-UA"/>
        </w:rPr>
      </w:pPr>
    </w:p>
    <w:p w14:paraId="77CBA992" w14:textId="5B353D19" w:rsidR="00DD7838" w:rsidRDefault="00DD7838" w:rsidP="007A67FE">
      <w:pPr>
        <w:tabs>
          <w:tab w:val="left" w:pos="1089"/>
        </w:tabs>
        <w:ind w:left="357"/>
        <w:contextualSpacing/>
        <w:jc w:val="both"/>
        <w:rPr>
          <w:rFonts w:ascii="Times New Roman" w:hAnsi="Times New Roman" w:cs="Times New Roman"/>
          <w:i/>
          <w:color w:val="000000" w:themeColor="text1"/>
          <w:sz w:val="20"/>
          <w:szCs w:val="20"/>
          <w:lang w:val="uk-UA"/>
        </w:rPr>
      </w:pPr>
    </w:p>
    <w:p w14:paraId="2475DA0D" w14:textId="583AE2C3" w:rsidR="00DD7838" w:rsidRDefault="00DD7838" w:rsidP="007A67FE">
      <w:pPr>
        <w:tabs>
          <w:tab w:val="left" w:pos="1089"/>
        </w:tabs>
        <w:ind w:left="357"/>
        <w:contextualSpacing/>
        <w:jc w:val="both"/>
        <w:rPr>
          <w:rFonts w:ascii="Times New Roman" w:hAnsi="Times New Roman" w:cs="Times New Roman"/>
          <w:i/>
          <w:color w:val="000000" w:themeColor="text1"/>
          <w:sz w:val="20"/>
          <w:szCs w:val="20"/>
          <w:lang w:val="uk-UA"/>
        </w:rPr>
      </w:pPr>
    </w:p>
    <w:p w14:paraId="661A3BF6" w14:textId="77777777" w:rsidR="00DD7838" w:rsidRPr="007A67FE" w:rsidRDefault="00DD7838" w:rsidP="007A67FE">
      <w:pPr>
        <w:tabs>
          <w:tab w:val="left" w:pos="1089"/>
        </w:tabs>
        <w:ind w:left="357"/>
        <w:contextualSpacing/>
        <w:jc w:val="both"/>
        <w:rPr>
          <w:rFonts w:ascii="Times New Roman" w:hAnsi="Times New Roman" w:cs="Times New Roman"/>
          <w:i/>
          <w:color w:val="000000" w:themeColor="text1"/>
          <w:sz w:val="20"/>
          <w:szCs w:val="20"/>
          <w:lang w:val="uk-UA"/>
        </w:rPr>
      </w:pPr>
    </w:p>
    <w:p w14:paraId="40568335" w14:textId="7A23F3BF" w:rsidR="005312A2" w:rsidRDefault="005312A2" w:rsidP="005312A2">
      <w:pPr>
        <w:tabs>
          <w:tab w:val="left" w:pos="1089"/>
        </w:tabs>
        <w:ind w:left="360"/>
        <w:rPr>
          <w:rFonts w:ascii="Times New Roman" w:hAnsi="Times New Roman" w:cs="Times New Roman"/>
          <w:b/>
          <w:color w:val="000000" w:themeColor="text1"/>
          <w:lang w:val="uk-UA"/>
        </w:rPr>
      </w:pPr>
      <w:r w:rsidRPr="00FC690F">
        <w:rPr>
          <w:rFonts w:ascii="Times New Roman" w:hAnsi="Times New Roman" w:cs="Times New Roman"/>
          <w:b/>
          <w:color w:val="000000" w:themeColor="text1"/>
          <w:lang w:val="uk-UA"/>
        </w:rPr>
        <w:lastRenderedPageBreak/>
        <w:t>Таблиця 4B</w:t>
      </w:r>
      <w:r>
        <w:rPr>
          <w:rFonts w:ascii="Times New Roman" w:hAnsi="Times New Roman" w:cs="Times New Roman"/>
          <w:b/>
          <w:color w:val="000000" w:themeColor="text1"/>
          <w:lang w:val="uk-UA"/>
        </w:rPr>
        <w:t xml:space="preserve"> Лікарські взаємодії між ПППД та </w:t>
      </w:r>
      <w:r w:rsidR="00075B99">
        <w:rPr>
          <w:rFonts w:ascii="Times New Roman" w:hAnsi="Times New Roman" w:cs="Times New Roman"/>
          <w:b/>
          <w:color w:val="000000" w:themeColor="text1"/>
          <w:lang w:val="uk-UA"/>
        </w:rPr>
        <w:t>наркотичними препаратами</w:t>
      </w:r>
    </w:p>
    <w:p w14:paraId="504AF20D" w14:textId="77777777" w:rsidR="007C2563" w:rsidRDefault="007C2563" w:rsidP="005312A2">
      <w:pPr>
        <w:tabs>
          <w:tab w:val="left" w:pos="1089"/>
        </w:tabs>
        <w:ind w:left="360"/>
        <w:rPr>
          <w:rFonts w:ascii="Times New Roman" w:hAnsi="Times New Roman" w:cs="Times New Roman"/>
          <w:b/>
          <w:color w:val="000000" w:themeColor="text1"/>
          <w:lang w:val="uk-UA"/>
        </w:rPr>
      </w:pPr>
    </w:p>
    <w:tbl>
      <w:tblPr>
        <w:tblStyle w:val="a6"/>
        <w:tblW w:w="0" w:type="auto"/>
        <w:tblLayout w:type="fixed"/>
        <w:tblLook w:val="04A0" w:firstRow="1" w:lastRow="0" w:firstColumn="1" w:lastColumn="0" w:noHBand="0" w:noVBand="1"/>
      </w:tblPr>
      <w:tblGrid>
        <w:gridCol w:w="2131"/>
        <w:gridCol w:w="992"/>
        <w:gridCol w:w="851"/>
        <w:gridCol w:w="850"/>
        <w:gridCol w:w="851"/>
        <w:gridCol w:w="850"/>
        <w:gridCol w:w="851"/>
        <w:gridCol w:w="850"/>
      </w:tblGrid>
      <w:tr w:rsidR="004C4171" w14:paraId="3EF05788" w14:textId="77777777" w:rsidTr="00D005A1">
        <w:tc>
          <w:tcPr>
            <w:tcW w:w="2131" w:type="dxa"/>
            <w:tcBorders>
              <w:bottom w:val="single" w:sz="8" w:space="0" w:color="auto"/>
            </w:tcBorders>
            <w:vAlign w:val="center"/>
          </w:tcPr>
          <w:p w14:paraId="13F4E217" w14:textId="77777777" w:rsidR="004C4171" w:rsidRPr="00002FE3" w:rsidRDefault="004C4171"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992" w:type="dxa"/>
            <w:tcBorders>
              <w:bottom w:val="single" w:sz="8" w:space="0" w:color="auto"/>
            </w:tcBorders>
            <w:vAlign w:val="center"/>
          </w:tcPr>
          <w:p w14:paraId="34924E5E" w14:textId="77777777" w:rsidR="004C4171" w:rsidRPr="00002FE3" w:rsidRDefault="004C4171"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w:t>
            </w:r>
          </w:p>
        </w:tc>
        <w:tc>
          <w:tcPr>
            <w:tcW w:w="851" w:type="dxa"/>
            <w:tcBorders>
              <w:bottom w:val="single" w:sz="8" w:space="0" w:color="auto"/>
            </w:tcBorders>
            <w:vAlign w:val="center"/>
          </w:tcPr>
          <w:p w14:paraId="6BD546F6" w14:textId="77777777" w:rsidR="004C4171" w:rsidRPr="00002FE3" w:rsidRDefault="004C4171"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SOF/LDV</w:t>
            </w:r>
          </w:p>
        </w:tc>
        <w:tc>
          <w:tcPr>
            <w:tcW w:w="850" w:type="dxa"/>
            <w:tcBorders>
              <w:bottom w:val="single" w:sz="8" w:space="0" w:color="auto"/>
            </w:tcBorders>
            <w:vAlign w:val="center"/>
          </w:tcPr>
          <w:p w14:paraId="70102AE6" w14:textId="77777777" w:rsidR="004C4171" w:rsidRPr="00002FE3" w:rsidRDefault="004C4171"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SOF/VEL</w:t>
            </w:r>
          </w:p>
        </w:tc>
        <w:tc>
          <w:tcPr>
            <w:tcW w:w="851" w:type="dxa"/>
            <w:tcBorders>
              <w:bottom w:val="single" w:sz="8" w:space="0" w:color="auto"/>
            </w:tcBorders>
            <w:vAlign w:val="center"/>
          </w:tcPr>
          <w:p w14:paraId="374AAA2C" w14:textId="77777777" w:rsidR="004C4171" w:rsidRPr="00002FE3" w:rsidRDefault="004C4171"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OBV/PTV/r+</w:t>
            </w:r>
            <w:r w:rsidRPr="00002FE3">
              <w:rPr>
                <w:rFonts w:ascii="Times New Roman" w:hAnsi="Times New Roman" w:cs="Times New Roman"/>
                <w:b/>
                <w:color w:val="000000" w:themeColor="text1"/>
                <w:sz w:val="22"/>
                <w:szCs w:val="22"/>
                <w:lang w:val="uk-UA" w:eastAsia="ru-RU"/>
              </w:rPr>
              <w:t xml:space="preserve"> </w:t>
            </w:r>
            <w:r w:rsidRPr="00002FE3">
              <w:rPr>
                <w:rFonts w:ascii="Times New Roman" w:hAnsi="Times New Roman" w:cs="Times New Roman"/>
                <w:b/>
                <w:color w:val="000000" w:themeColor="text1"/>
                <w:sz w:val="22"/>
                <w:szCs w:val="22"/>
                <w:lang w:val="it-IT" w:eastAsia="ru-RU"/>
              </w:rPr>
              <w:t>DSV</w:t>
            </w:r>
          </w:p>
        </w:tc>
        <w:tc>
          <w:tcPr>
            <w:tcW w:w="850" w:type="dxa"/>
            <w:tcBorders>
              <w:bottom w:val="single" w:sz="8" w:space="0" w:color="auto"/>
            </w:tcBorders>
            <w:vAlign w:val="center"/>
          </w:tcPr>
          <w:p w14:paraId="466F341F" w14:textId="77777777" w:rsidR="004C4171" w:rsidRPr="00002FE3" w:rsidRDefault="004C4171"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GZR/EBR</w:t>
            </w:r>
          </w:p>
        </w:tc>
        <w:tc>
          <w:tcPr>
            <w:tcW w:w="851" w:type="dxa"/>
            <w:tcBorders>
              <w:bottom w:val="single" w:sz="8" w:space="0" w:color="auto"/>
            </w:tcBorders>
            <w:vAlign w:val="center"/>
          </w:tcPr>
          <w:p w14:paraId="332F76CF" w14:textId="77777777" w:rsidR="004C4171" w:rsidRPr="00002FE3" w:rsidRDefault="004C4171"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SOF/VEL/VOX</w:t>
            </w:r>
          </w:p>
        </w:tc>
        <w:tc>
          <w:tcPr>
            <w:tcW w:w="850" w:type="dxa"/>
            <w:tcBorders>
              <w:bottom w:val="single" w:sz="8" w:space="0" w:color="auto"/>
            </w:tcBorders>
            <w:vAlign w:val="center"/>
          </w:tcPr>
          <w:p w14:paraId="3EEDAC1B" w14:textId="77777777" w:rsidR="004C4171" w:rsidRPr="00002FE3" w:rsidRDefault="004C4171"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GLE/PIB</w:t>
            </w:r>
          </w:p>
        </w:tc>
      </w:tr>
      <w:tr w:rsidR="00E26BD7" w14:paraId="3A7D435E"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2A60EEF9" w14:textId="7E415410"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Амфетамін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63BC8878"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52CC3E68" w14:textId="6581D19A"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082FB52" w14:textId="5B89C880"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3BF01C9B" w14:textId="449E112B"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5863969"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9551A95"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0E98AC4"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E26BD7" w14:paraId="2AAEE255"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53C2720F" w14:textId="72498D0F"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Канабіс</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659E9AD0"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10A616F3" w14:textId="486EC25C"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4ECB25A5" w14:textId="0A7D2058"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626FFBB6" w14:textId="108371B0"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D186DF9"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D3FE923"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7DFAAFA"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E26BD7" w14:paraId="6F9C1F40"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7BBF2D16" w14:textId="129150A3"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Кокаїн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0318E1D"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3825E8BE" w14:textId="4AE9DC38"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15EA4C1" w14:textId="49F2A89E"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46E350E3" w14:textId="54773E73"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19A2E6F7"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198344AF"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5BEEB4D4"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E26BD7" w14:paraId="39F880F7"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50123E75" w14:textId="30842C74"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Діамофін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66F2FE98"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131E033C" w14:textId="08B21E0C"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16ECB80" w14:textId="71D8DE7C"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1281918B" w14:textId="082892FD"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FB94323" w14:textId="2972E688"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51515930" w14:textId="59437D5B"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38D762DD" w14:textId="125F0D7C"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E26BD7" w14:paraId="285CFB8F"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5EC42F09" w14:textId="3287ED35"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Діазепам</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74D57CB"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5D2DD352" w14:textId="4E5E5C7D"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4210E30E" w14:textId="43647FD4"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1CE36A01"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5B665AA4" w14:textId="6383B325"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0B01ADA" w14:textId="1935A20F"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F02C56E" w14:textId="6A3D6663"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E26BD7" w14:paraId="3C1F61A5"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25095CA1" w14:textId="2351930A"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Фентаніл</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33360EE"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151A7F80" w14:textId="0B832FAD"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349A20DA" w14:textId="77FA4F49"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17EB0C63" w14:textId="06B7A43A"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2F46E67E" w14:textId="30D929A2"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4E052FE9" w14:textId="1C85CD8D"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380BEA11" w14:textId="38CE49A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E26BD7" w14:paraId="5DDA9CD8"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4BE3034F" w14:textId="461EB55A"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Гамма</w:t>
            </w:r>
            <w:r w:rsidR="00FC6D8A">
              <w:rPr>
                <w:rFonts w:ascii="Times New Roman" w:hAnsi="Times New Roman" w:cs="Times New Roman"/>
                <w:b/>
                <w:color w:val="000000" w:themeColor="text1"/>
                <w:sz w:val="22"/>
                <w:szCs w:val="22"/>
                <w:lang w:val="uk-UA" w:eastAsia="ru-RU"/>
              </w:rPr>
              <w:t>–</w:t>
            </w:r>
            <w:r>
              <w:rPr>
                <w:rFonts w:ascii="Times New Roman" w:hAnsi="Times New Roman" w:cs="Times New Roman"/>
                <w:b/>
                <w:color w:val="000000" w:themeColor="text1"/>
                <w:sz w:val="22"/>
                <w:szCs w:val="22"/>
                <w:lang w:val="uk-UA" w:eastAsia="ru-RU"/>
              </w:rPr>
              <w:t>гідроксибутират</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5F02C271"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7EA539A" w14:textId="2A26B6B8"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4395F9A9" w14:textId="70DA32FA"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6B97A381" w14:textId="5FA63192"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33688745" w14:textId="161F022C"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4C1A4233" w14:textId="20868D34"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266A7A17" w14:textId="7460B980"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E26BD7" w14:paraId="11F1A425"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2DA03A1A" w14:textId="443D3156"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Кетамін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6E1BEED"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4D666EE0" w14:textId="6F56709B"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6DB86D0D" w14:textId="77DE30A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573C7838" w14:textId="05C88988"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45DCD6C8" w14:textId="7BCEACD9"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442899B6" w14:textId="5BF8182F"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649DB9E6" w14:textId="2D90A580"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E26BD7" w14:paraId="25114E04"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7E3CD9C4" w14:textId="7FBA4CB4" w:rsidR="00E26BD7" w:rsidRPr="00DD7838"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D7838">
              <w:rPr>
                <w:rFonts w:ascii="Times New Roman" w:hAnsi="Times New Roman" w:cs="Times New Roman"/>
                <w:b/>
                <w:color w:val="000000" w:themeColor="text1"/>
                <w:sz w:val="22"/>
                <w:szCs w:val="22"/>
                <w:lang w:val="uk-UA" w:eastAsia="ru-RU"/>
              </w:rPr>
              <w:t>МДМА (екстазі)</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F7B2438"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32296777" w14:textId="223183D3"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9730217" w14:textId="14449512"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4C241F98"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0DCF226"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57424CCF"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5897319"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E26BD7" w14:paraId="1C675E44"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7DA13D4C" w14:textId="2E21F8BB"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Мефедрон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DB99AC0"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44728141" w14:textId="33167B5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7D57BB8" w14:textId="722FF8C4"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53F82B44"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2A0BF6B" w14:textId="07AB30B0"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1BDC6568" w14:textId="7CB2DE58"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12B123B" w14:textId="6FBC7FC4"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E26BD7" w14:paraId="74776D42"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1B57AF85" w14:textId="720E91F3"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Метадон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DF53672"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13365E93" w14:textId="453CD621"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7D6F8DB" w14:textId="5B151CB4"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D15C006" w14:textId="428C5293" w:rsidR="00E26BD7" w:rsidRPr="00002FE3" w:rsidRDefault="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4674978C" w14:textId="37421D8D"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1E6A8F5" w14:textId="2D181EF9"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8EC8358" w14:textId="233FEFC3"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E26BD7" w14:paraId="07E2A4BC"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452129FC" w14:textId="591A7C8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Метамфетамін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4548742"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59D5B93B" w14:textId="068CFB63"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72FE67F" w14:textId="63B03778"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03AA7CB8" w14:textId="66470532"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3E7F4595" w14:textId="24CD4FF0"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339D3B73" w14:textId="7380738A"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31FE67D8" w14:textId="21DD6EAB"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E26BD7" w14:paraId="0D689E83"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6B82F4D2" w14:textId="2619F06E"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Оксикодон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19F71800"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37606748" w14:textId="097A5878"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867003D" w14:textId="716ED24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7280D7C8" w14:textId="6E2B6842"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53E319A1" w14:textId="78531662"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4A5B06A3" w14:textId="00F67F08"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211A6A31" w14:textId="54C21AA9"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E26BD7" w14:paraId="00653129"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6B750778" w14:textId="22ECD96B"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Фенциклідин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3AC84A1"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C68C113" w14:textId="14D608B1"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9C3AC4D" w14:textId="7FDAD17D"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52B5DADE" w14:textId="03A04C75"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59A48C6" w14:textId="6F6A923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AE68A67" w14:textId="2CEC620D"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69586D47" w14:textId="068FF896"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E26BD7" w14:paraId="39881EB1"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5125595D" w14:textId="61DEF3C5"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Темазепам</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0E232EF"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0C8AEC0" w14:textId="26163B76"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4DE4D0DE" w14:textId="0A48F832"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5E2DBBAC"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1B85AC53"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230A2C6"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4EE16FBA" w14:textId="77777777" w:rsidR="00E26BD7" w:rsidRPr="00002FE3" w:rsidRDefault="00E26BD7" w:rsidP="00E26BD7">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bl>
    <w:p w14:paraId="40061CA0" w14:textId="77777777" w:rsidR="00075B99" w:rsidRPr="006C7989" w:rsidRDefault="00075B99" w:rsidP="00DC3BDB">
      <w:pPr>
        <w:tabs>
          <w:tab w:val="left" w:pos="1089"/>
        </w:tabs>
        <w:rPr>
          <w:rFonts w:ascii="Times New Roman" w:hAnsi="Times New Roman" w:cs="Times New Roman"/>
          <w:b/>
          <w:color w:val="000000" w:themeColor="text1"/>
          <w:lang w:val="uk-UA"/>
        </w:rPr>
      </w:pPr>
    </w:p>
    <w:tbl>
      <w:tblPr>
        <w:tblStyle w:val="a6"/>
        <w:tblW w:w="0" w:type="auto"/>
        <w:tblInd w:w="-5" w:type="dxa"/>
        <w:tblLook w:val="04A0" w:firstRow="1" w:lastRow="0" w:firstColumn="1" w:lastColumn="0" w:noHBand="0" w:noVBand="1"/>
      </w:tblPr>
      <w:tblGrid>
        <w:gridCol w:w="486"/>
        <w:gridCol w:w="9060"/>
      </w:tblGrid>
      <w:tr w:rsidR="006B569A" w14:paraId="69D2E08A" w14:textId="77777777" w:rsidTr="00DC3BDB">
        <w:tc>
          <w:tcPr>
            <w:tcW w:w="486" w:type="dxa"/>
            <w:shd w:val="clear" w:color="auto" w:fill="C5E0B3" w:themeFill="accent6" w:themeFillTint="66"/>
          </w:tcPr>
          <w:p w14:paraId="4DFC8856" w14:textId="77777777" w:rsidR="006B569A" w:rsidRDefault="006B569A" w:rsidP="002E47FC">
            <w:pPr>
              <w:spacing w:beforeAutospacing="1" w:afterAutospacing="1"/>
              <w:jc w:val="center"/>
              <w:textAlignment w:val="baseline"/>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6C072993" w14:textId="77777777" w:rsidR="006B569A" w:rsidRDefault="006B569A" w:rsidP="002E47FC">
            <w:pPr>
              <w:tabs>
                <w:tab w:val="left" w:pos="1089"/>
              </w:tabs>
              <w:jc w:val="both"/>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Ніяких клінічно значущих взаємодій не очікується.</w:t>
            </w:r>
          </w:p>
        </w:tc>
      </w:tr>
      <w:tr w:rsidR="006B569A" w14:paraId="417455C3" w14:textId="77777777" w:rsidTr="00DC3BDB">
        <w:tc>
          <w:tcPr>
            <w:tcW w:w="486" w:type="dxa"/>
            <w:shd w:val="clear" w:color="auto" w:fill="F4B083" w:themeFill="accent2" w:themeFillTint="99"/>
          </w:tcPr>
          <w:p w14:paraId="59FCFCF3" w14:textId="77777777" w:rsidR="006B569A" w:rsidRDefault="006B569A" w:rsidP="002E47FC">
            <w:pPr>
              <w:tabs>
                <w:tab w:val="left" w:pos="1089"/>
              </w:tabs>
              <w:jc w:val="center"/>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5980E8EB" w14:textId="00197290" w:rsidR="006B569A" w:rsidRDefault="00DD7838" w:rsidP="002E47FC">
            <w:pPr>
              <w:tabs>
                <w:tab w:val="left" w:pos="1089"/>
              </w:tabs>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Потенційна взаємодія, яка може потребувати регулювання дози, змін</w:t>
            </w:r>
            <w:r>
              <w:rPr>
                <w:rFonts w:ascii="Times New Roman" w:hAnsi="Times New Roman" w:cs="Times New Roman"/>
                <w:color w:val="000000" w:themeColor="text1"/>
                <w:lang w:val="uk-UA"/>
              </w:rPr>
              <w:t xml:space="preserve">и </w:t>
            </w:r>
            <w:r w:rsidRPr="00F15C59">
              <w:rPr>
                <w:rFonts w:ascii="Times New Roman" w:hAnsi="Times New Roman" w:cs="Times New Roman"/>
                <w:color w:val="000000" w:themeColor="text1"/>
                <w:lang w:val="uk-UA"/>
              </w:rPr>
              <w:t xml:space="preserve">часу </w:t>
            </w:r>
            <w:r>
              <w:rPr>
                <w:rFonts w:ascii="Times New Roman" w:hAnsi="Times New Roman" w:cs="Times New Roman"/>
                <w:color w:val="000000" w:themeColor="text1"/>
                <w:lang w:val="uk-UA"/>
              </w:rPr>
              <w:t>вживання</w:t>
            </w:r>
            <w:r w:rsidRPr="00F15C59">
              <w:rPr>
                <w:rFonts w:ascii="Times New Roman" w:hAnsi="Times New Roman" w:cs="Times New Roman"/>
                <w:color w:val="000000" w:themeColor="text1"/>
                <w:lang w:val="uk-UA"/>
              </w:rPr>
              <w:t xml:space="preserve"> або додатков</w:t>
            </w:r>
            <w:r>
              <w:rPr>
                <w:rFonts w:ascii="Times New Roman" w:hAnsi="Times New Roman" w:cs="Times New Roman"/>
                <w:color w:val="000000" w:themeColor="text1"/>
                <w:lang w:val="uk-UA"/>
              </w:rPr>
              <w:t>ого</w:t>
            </w:r>
            <w:r w:rsidRPr="00F15C59">
              <w:rPr>
                <w:rFonts w:ascii="Times New Roman" w:hAnsi="Times New Roman" w:cs="Times New Roman"/>
                <w:color w:val="000000" w:themeColor="text1"/>
                <w:lang w:val="uk-UA"/>
              </w:rPr>
              <w:t xml:space="preserve"> контрол</w:t>
            </w:r>
            <w:r>
              <w:rPr>
                <w:rFonts w:ascii="Times New Roman" w:hAnsi="Times New Roman" w:cs="Times New Roman"/>
                <w:color w:val="000000" w:themeColor="text1"/>
                <w:lang w:val="uk-UA"/>
              </w:rPr>
              <w:t>ю</w:t>
            </w:r>
            <w:r w:rsidRPr="00F15C59">
              <w:rPr>
                <w:rFonts w:ascii="Times New Roman" w:hAnsi="Times New Roman" w:cs="Times New Roman"/>
                <w:color w:val="000000" w:themeColor="text1"/>
                <w:lang w:val="uk-UA"/>
              </w:rPr>
              <w:t>.</w:t>
            </w:r>
          </w:p>
        </w:tc>
      </w:tr>
      <w:tr w:rsidR="006B569A" w14:paraId="7AF0C053" w14:textId="77777777" w:rsidTr="00DC3BDB">
        <w:tc>
          <w:tcPr>
            <w:tcW w:w="486" w:type="dxa"/>
            <w:shd w:val="clear" w:color="auto" w:fill="FF5050"/>
          </w:tcPr>
          <w:p w14:paraId="270B043D" w14:textId="77777777" w:rsidR="006B569A" w:rsidRDefault="006B569A" w:rsidP="002E47FC">
            <w:pPr>
              <w:tabs>
                <w:tab w:val="left" w:pos="1089"/>
              </w:tabs>
              <w:jc w:val="center"/>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6CAE6F4D" w14:textId="77777777" w:rsidR="006B569A" w:rsidRDefault="006B569A" w:rsidP="002E47FC">
            <w:pPr>
              <w:tabs>
                <w:tab w:val="left" w:pos="1089"/>
              </w:tabs>
              <w:jc w:val="both"/>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Ці препарати н</w:t>
            </w:r>
            <w:r>
              <w:rPr>
                <w:rFonts w:ascii="Times New Roman" w:hAnsi="Times New Roman" w:cs="Times New Roman"/>
                <w:color w:val="000000" w:themeColor="text1"/>
                <w:lang w:val="uk-UA"/>
              </w:rPr>
              <w:t>е повинні застосовуватися разом</w:t>
            </w:r>
            <w:r w:rsidRPr="00F15C59">
              <w:rPr>
                <w:rFonts w:ascii="Times New Roman" w:hAnsi="Times New Roman" w:cs="Times New Roman"/>
                <w:color w:val="000000" w:themeColor="text1"/>
                <w:lang w:val="uk-UA"/>
              </w:rPr>
              <w:t>.</w:t>
            </w:r>
          </w:p>
        </w:tc>
      </w:tr>
    </w:tbl>
    <w:p w14:paraId="472BD64A" w14:textId="77777777" w:rsidR="00D065CC" w:rsidRDefault="00D065CC" w:rsidP="00D065CC">
      <w:pPr>
        <w:tabs>
          <w:tab w:val="left" w:pos="1089"/>
        </w:tabs>
        <w:contextualSpacing/>
        <w:jc w:val="both"/>
        <w:rPr>
          <w:rFonts w:ascii="Times New Roman" w:hAnsi="Times New Roman" w:cs="Times New Roman"/>
          <w:i/>
          <w:color w:val="000000" w:themeColor="text1"/>
          <w:sz w:val="20"/>
          <w:szCs w:val="20"/>
          <w:lang w:val="uk-UA"/>
        </w:rPr>
      </w:pPr>
      <w:r w:rsidRPr="00DA6F76">
        <w:rPr>
          <w:rFonts w:ascii="Times New Roman" w:hAnsi="Times New Roman" w:cs="Times New Roman"/>
          <w:i/>
          <w:color w:val="000000" w:themeColor="text1"/>
          <w:sz w:val="20"/>
          <w:szCs w:val="20"/>
          <w:lang w:val="uk-UA"/>
        </w:rPr>
        <w:t xml:space="preserve">Примітки. Деякі лікарські засоби можуть вимагати зміни дози залежно від функції печінки. Будь ласка, </w:t>
      </w:r>
      <w:r>
        <w:rPr>
          <w:rFonts w:ascii="Times New Roman" w:hAnsi="Times New Roman" w:cs="Times New Roman"/>
          <w:i/>
          <w:color w:val="000000" w:themeColor="text1"/>
          <w:sz w:val="20"/>
          <w:szCs w:val="20"/>
          <w:lang w:val="uk-UA"/>
        </w:rPr>
        <w:t>ознайомтеся з</w:t>
      </w:r>
      <w:r w:rsidRPr="00DA6F76">
        <w:rPr>
          <w:rFonts w:ascii="Times New Roman" w:hAnsi="Times New Roman" w:cs="Times New Roman"/>
          <w:i/>
          <w:color w:val="000000" w:themeColor="text1"/>
          <w:sz w:val="20"/>
          <w:szCs w:val="20"/>
          <w:lang w:val="uk-UA"/>
        </w:rPr>
        <w:t xml:space="preserve"> </w:t>
      </w:r>
      <w:r>
        <w:rPr>
          <w:rFonts w:ascii="Times New Roman" w:hAnsi="Times New Roman" w:cs="Times New Roman"/>
          <w:i/>
          <w:color w:val="000000" w:themeColor="text1"/>
          <w:sz w:val="20"/>
          <w:szCs w:val="20"/>
          <w:lang w:val="uk-UA"/>
        </w:rPr>
        <w:t>інструкцією</w:t>
      </w:r>
      <w:r w:rsidRPr="00DA6F76">
        <w:rPr>
          <w:rFonts w:ascii="Times New Roman" w:hAnsi="Times New Roman" w:cs="Times New Roman"/>
          <w:i/>
          <w:color w:val="000000" w:themeColor="text1"/>
          <w:sz w:val="20"/>
          <w:szCs w:val="20"/>
          <w:lang w:val="uk-UA"/>
        </w:rPr>
        <w:t xml:space="preserve"> </w:t>
      </w:r>
      <w:r>
        <w:rPr>
          <w:rFonts w:ascii="Times New Roman" w:hAnsi="Times New Roman" w:cs="Times New Roman"/>
          <w:i/>
          <w:color w:val="000000" w:themeColor="text1"/>
          <w:sz w:val="20"/>
          <w:szCs w:val="20"/>
          <w:lang w:val="uk-UA"/>
        </w:rPr>
        <w:t>лікарського засобу</w:t>
      </w:r>
      <w:r w:rsidRPr="00DA6F76">
        <w:rPr>
          <w:rFonts w:ascii="Times New Roman" w:hAnsi="Times New Roman" w:cs="Times New Roman"/>
          <w:i/>
          <w:color w:val="000000" w:themeColor="text1"/>
          <w:sz w:val="20"/>
          <w:szCs w:val="20"/>
          <w:lang w:val="uk-UA"/>
        </w:rPr>
        <w:t xml:space="preserve"> щодо рекомендованих доз. Символи (зелений, помаранчевий, червоний), що використовуються в таблиці для оцінки клінічного значення взаємодії </w:t>
      </w:r>
      <w:r>
        <w:rPr>
          <w:rFonts w:ascii="Times New Roman" w:hAnsi="Times New Roman" w:cs="Times New Roman"/>
          <w:i/>
          <w:color w:val="000000" w:themeColor="text1"/>
          <w:sz w:val="20"/>
          <w:szCs w:val="20"/>
          <w:lang w:val="uk-UA"/>
        </w:rPr>
        <w:t>лікарських засобів,</w:t>
      </w:r>
      <w:r w:rsidRPr="00DA6F76">
        <w:rPr>
          <w:rFonts w:ascii="Times New Roman" w:hAnsi="Times New Roman" w:cs="Times New Roman"/>
          <w:i/>
          <w:color w:val="000000" w:themeColor="text1"/>
          <w:sz w:val="20"/>
          <w:szCs w:val="20"/>
          <w:lang w:val="uk-UA"/>
        </w:rPr>
        <w:t xml:space="preserve"> створені на основі www.hep</w:t>
      </w:r>
      <w:r>
        <w:rPr>
          <w:rFonts w:ascii="Times New Roman" w:hAnsi="Times New Roman" w:cs="Times New Roman"/>
          <w:i/>
          <w:color w:val="000000" w:themeColor="text1"/>
          <w:sz w:val="20"/>
          <w:szCs w:val="20"/>
          <w:lang w:val="uk-UA"/>
        </w:rPr>
        <w:t>–</w:t>
      </w:r>
      <w:r w:rsidRPr="00DA6F76">
        <w:rPr>
          <w:rFonts w:ascii="Times New Roman" w:hAnsi="Times New Roman" w:cs="Times New Roman"/>
          <w:i/>
          <w:color w:val="000000" w:themeColor="text1"/>
          <w:sz w:val="20"/>
          <w:szCs w:val="20"/>
          <w:lang w:val="uk-UA"/>
        </w:rPr>
        <w:t>druginteractions.org (University of Liverpool). У випадку потреби у додатковій інформації стосовно взаємодій між лікарськими засобами для більш широкого кола препаратів, а також щодо докладних даних про фармакокінетичну взаємодію та коригування доз, звертайтеся до вищезазначеного веб</w:t>
      </w:r>
      <w:r>
        <w:rPr>
          <w:rFonts w:ascii="Times New Roman" w:hAnsi="Times New Roman" w:cs="Times New Roman"/>
          <w:i/>
          <w:color w:val="000000" w:themeColor="text1"/>
          <w:sz w:val="20"/>
          <w:szCs w:val="20"/>
          <w:lang w:val="uk-UA"/>
        </w:rPr>
        <w:t>–</w:t>
      </w:r>
      <w:r w:rsidRPr="00DA6F76">
        <w:rPr>
          <w:rFonts w:ascii="Times New Roman" w:hAnsi="Times New Roman" w:cs="Times New Roman"/>
          <w:i/>
          <w:color w:val="000000" w:themeColor="text1"/>
          <w:sz w:val="20"/>
          <w:szCs w:val="20"/>
          <w:lang w:val="uk-UA"/>
        </w:rPr>
        <w:t>сайту.</w:t>
      </w:r>
    </w:p>
    <w:p w14:paraId="5FCA8E7A" w14:textId="6634CCBD" w:rsidR="005312A2" w:rsidRDefault="005312A2" w:rsidP="005312A2">
      <w:pPr>
        <w:tabs>
          <w:tab w:val="left" w:pos="1089"/>
        </w:tabs>
        <w:rPr>
          <w:rFonts w:ascii="Times New Roman" w:hAnsi="Times New Roman" w:cs="Times New Roman"/>
          <w:b/>
          <w:color w:val="000000" w:themeColor="text1"/>
          <w:lang w:val="uk-UA"/>
        </w:rPr>
      </w:pPr>
    </w:p>
    <w:p w14:paraId="129F5DB5" w14:textId="06DAA394" w:rsidR="007C2563" w:rsidRDefault="007C2563" w:rsidP="005312A2">
      <w:pPr>
        <w:tabs>
          <w:tab w:val="left" w:pos="1089"/>
        </w:tabs>
        <w:rPr>
          <w:rFonts w:ascii="Times New Roman" w:hAnsi="Times New Roman" w:cs="Times New Roman"/>
          <w:b/>
          <w:color w:val="000000" w:themeColor="text1"/>
          <w:lang w:val="uk-UA"/>
        </w:rPr>
      </w:pPr>
    </w:p>
    <w:p w14:paraId="0CC2086F" w14:textId="0ACA4F7D" w:rsidR="007C2563" w:rsidRDefault="007C2563" w:rsidP="005312A2">
      <w:pPr>
        <w:tabs>
          <w:tab w:val="left" w:pos="1089"/>
        </w:tabs>
        <w:rPr>
          <w:rFonts w:ascii="Times New Roman" w:hAnsi="Times New Roman" w:cs="Times New Roman"/>
          <w:b/>
          <w:color w:val="000000" w:themeColor="text1"/>
          <w:lang w:val="uk-UA"/>
        </w:rPr>
      </w:pPr>
    </w:p>
    <w:p w14:paraId="0E5814A0" w14:textId="77777777" w:rsidR="007C2563" w:rsidRDefault="007C2563" w:rsidP="005312A2">
      <w:pPr>
        <w:tabs>
          <w:tab w:val="left" w:pos="1089"/>
        </w:tabs>
        <w:rPr>
          <w:rFonts w:ascii="Times New Roman" w:hAnsi="Times New Roman" w:cs="Times New Roman"/>
          <w:b/>
          <w:color w:val="000000" w:themeColor="text1"/>
          <w:lang w:val="uk-UA"/>
        </w:rPr>
      </w:pPr>
    </w:p>
    <w:p w14:paraId="78C8C545" w14:textId="77A5E982" w:rsidR="005312A2" w:rsidRDefault="005312A2" w:rsidP="005312A2">
      <w:pPr>
        <w:tabs>
          <w:tab w:val="left" w:pos="1089"/>
        </w:tabs>
        <w:rPr>
          <w:rFonts w:ascii="Times New Roman" w:hAnsi="Times New Roman" w:cs="Times New Roman"/>
          <w:b/>
          <w:color w:val="000000" w:themeColor="text1"/>
          <w:lang w:val="uk-UA"/>
        </w:rPr>
      </w:pPr>
      <w:r w:rsidRPr="00C90D71">
        <w:rPr>
          <w:rFonts w:ascii="Times New Roman" w:hAnsi="Times New Roman" w:cs="Times New Roman"/>
          <w:b/>
          <w:color w:val="000000" w:themeColor="text1"/>
          <w:lang w:val="uk-UA"/>
        </w:rPr>
        <w:t>Таблиця 4C</w:t>
      </w:r>
      <w:r>
        <w:rPr>
          <w:rFonts w:ascii="Times New Roman" w:hAnsi="Times New Roman" w:cs="Times New Roman"/>
          <w:b/>
          <w:color w:val="000000" w:themeColor="text1"/>
          <w:lang w:val="uk-UA"/>
        </w:rPr>
        <w:t xml:space="preserve"> Лікарські взаємодії між ППП</w:t>
      </w:r>
      <w:r w:rsidR="006B569A">
        <w:rPr>
          <w:rFonts w:ascii="Times New Roman" w:hAnsi="Times New Roman" w:cs="Times New Roman"/>
          <w:b/>
          <w:color w:val="000000" w:themeColor="text1"/>
          <w:lang w:val="uk-UA"/>
        </w:rPr>
        <w:t xml:space="preserve">Д </w:t>
      </w:r>
      <w:r>
        <w:rPr>
          <w:rFonts w:ascii="Times New Roman" w:hAnsi="Times New Roman" w:cs="Times New Roman"/>
          <w:b/>
          <w:color w:val="000000" w:themeColor="text1"/>
          <w:lang w:val="uk-UA"/>
        </w:rPr>
        <w:t>та гіполіпідемічними препаратами</w:t>
      </w:r>
    </w:p>
    <w:p w14:paraId="66F22CC3" w14:textId="7A8D80ED" w:rsidR="006B569A" w:rsidRDefault="006B569A" w:rsidP="005312A2">
      <w:pPr>
        <w:tabs>
          <w:tab w:val="left" w:pos="1089"/>
        </w:tabs>
        <w:rPr>
          <w:rFonts w:ascii="Times New Roman" w:hAnsi="Times New Roman" w:cs="Times New Roman"/>
          <w:b/>
          <w:color w:val="000000" w:themeColor="text1"/>
          <w:lang w:val="uk-UA"/>
        </w:rPr>
      </w:pPr>
    </w:p>
    <w:tbl>
      <w:tblPr>
        <w:tblStyle w:val="a6"/>
        <w:tblW w:w="0" w:type="auto"/>
        <w:tblLayout w:type="fixed"/>
        <w:tblLook w:val="04A0" w:firstRow="1" w:lastRow="0" w:firstColumn="1" w:lastColumn="0" w:noHBand="0" w:noVBand="1"/>
      </w:tblPr>
      <w:tblGrid>
        <w:gridCol w:w="2131"/>
        <w:gridCol w:w="992"/>
        <w:gridCol w:w="851"/>
        <w:gridCol w:w="850"/>
        <w:gridCol w:w="851"/>
        <w:gridCol w:w="850"/>
        <w:gridCol w:w="851"/>
        <w:gridCol w:w="850"/>
      </w:tblGrid>
      <w:tr w:rsidR="006B569A" w14:paraId="10D3CE8E" w14:textId="77777777" w:rsidTr="002E47FC">
        <w:tc>
          <w:tcPr>
            <w:tcW w:w="2131" w:type="dxa"/>
            <w:tcBorders>
              <w:bottom w:val="single" w:sz="8" w:space="0" w:color="auto"/>
            </w:tcBorders>
            <w:vAlign w:val="center"/>
          </w:tcPr>
          <w:p w14:paraId="4F8934B4" w14:textId="77777777" w:rsidR="006B569A" w:rsidRPr="00002FE3" w:rsidRDefault="006B569A"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992" w:type="dxa"/>
            <w:tcBorders>
              <w:bottom w:val="single" w:sz="8" w:space="0" w:color="auto"/>
            </w:tcBorders>
            <w:vAlign w:val="center"/>
          </w:tcPr>
          <w:p w14:paraId="5DB7B20F" w14:textId="77777777" w:rsidR="006B569A" w:rsidRPr="00002FE3" w:rsidRDefault="006B569A"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w:t>
            </w:r>
          </w:p>
        </w:tc>
        <w:tc>
          <w:tcPr>
            <w:tcW w:w="851" w:type="dxa"/>
            <w:tcBorders>
              <w:bottom w:val="single" w:sz="8" w:space="0" w:color="auto"/>
            </w:tcBorders>
            <w:vAlign w:val="center"/>
          </w:tcPr>
          <w:p w14:paraId="6B36CD07" w14:textId="77777777" w:rsidR="006B569A" w:rsidRPr="00002FE3" w:rsidRDefault="006B569A"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SOF/LDV</w:t>
            </w:r>
          </w:p>
        </w:tc>
        <w:tc>
          <w:tcPr>
            <w:tcW w:w="850" w:type="dxa"/>
            <w:tcBorders>
              <w:bottom w:val="single" w:sz="8" w:space="0" w:color="auto"/>
            </w:tcBorders>
            <w:vAlign w:val="center"/>
          </w:tcPr>
          <w:p w14:paraId="30646EBE" w14:textId="77777777" w:rsidR="006B569A" w:rsidRPr="00002FE3" w:rsidRDefault="006B569A"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SOF/VEL</w:t>
            </w:r>
          </w:p>
        </w:tc>
        <w:tc>
          <w:tcPr>
            <w:tcW w:w="851" w:type="dxa"/>
            <w:tcBorders>
              <w:bottom w:val="single" w:sz="8" w:space="0" w:color="auto"/>
            </w:tcBorders>
            <w:vAlign w:val="center"/>
          </w:tcPr>
          <w:p w14:paraId="17F949C4" w14:textId="77777777" w:rsidR="006B569A" w:rsidRPr="00002FE3" w:rsidRDefault="006B569A"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OBV/PTV/r+</w:t>
            </w:r>
            <w:r w:rsidRPr="00002FE3">
              <w:rPr>
                <w:rFonts w:ascii="Times New Roman" w:hAnsi="Times New Roman" w:cs="Times New Roman"/>
                <w:b/>
                <w:color w:val="000000" w:themeColor="text1"/>
                <w:sz w:val="22"/>
                <w:szCs w:val="22"/>
                <w:lang w:val="uk-UA" w:eastAsia="ru-RU"/>
              </w:rPr>
              <w:t xml:space="preserve"> </w:t>
            </w:r>
            <w:r w:rsidRPr="00002FE3">
              <w:rPr>
                <w:rFonts w:ascii="Times New Roman" w:hAnsi="Times New Roman" w:cs="Times New Roman"/>
                <w:b/>
                <w:color w:val="000000" w:themeColor="text1"/>
                <w:sz w:val="22"/>
                <w:szCs w:val="22"/>
                <w:lang w:val="it-IT" w:eastAsia="ru-RU"/>
              </w:rPr>
              <w:t>DSV</w:t>
            </w:r>
          </w:p>
        </w:tc>
        <w:tc>
          <w:tcPr>
            <w:tcW w:w="850" w:type="dxa"/>
            <w:tcBorders>
              <w:bottom w:val="single" w:sz="8" w:space="0" w:color="auto"/>
            </w:tcBorders>
            <w:vAlign w:val="center"/>
          </w:tcPr>
          <w:p w14:paraId="518F9668" w14:textId="77777777" w:rsidR="006B569A" w:rsidRPr="00002FE3" w:rsidRDefault="006B569A"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GZR/EBR</w:t>
            </w:r>
          </w:p>
        </w:tc>
        <w:tc>
          <w:tcPr>
            <w:tcW w:w="851" w:type="dxa"/>
            <w:tcBorders>
              <w:bottom w:val="single" w:sz="8" w:space="0" w:color="auto"/>
            </w:tcBorders>
            <w:vAlign w:val="center"/>
          </w:tcPr>
          <w:p w14:paraId="0C89E216" w14:textId="77777777" w:rsidR="006B569A" w:rsidRPr="00002FE3" w:rsidRDefault="006B569A"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SOF/VEL/VOX</w:t>
            </w:r>
          </w:p>
        </w:tc>
        <w:tc>
          <w:tcPr>
            <w:tcW w:w="850" w:type="dxa"/>
            <w:tcBorders>
              <w:bottom w:val="single" w:sz="8" w:space="0" w:color="auto"/>
            </w:tcBorders>
            <w:vAlign w:val="center"/>
          </w:tcPr>
          <w:p w14:paraId="20B3125A" w14:textId="77777777" w:rsidR="006B569A" w:rsidRPr="00002FE3" w:rsidRDefault="006B569A"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GLE/PIB</w:t>
            </w:r>
          </w:p>
        </w:tc>
      </w:tr>
      <w:tr w:rsidR="00F22C42" w14:paraId="22779D8D"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28A7D87B" w14:textId="1480B746" w:rsidR="00F22C42" w:rsidRPr="00EA2E7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Аторвастатин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4A28B7AE"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171B759D" w14:textId="35027DF4"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137BD4FD" w14:textId="07C4619D"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F5050"/>
            <w:vAlign w:val="center"/>
          </w:tcPr>
          <w:p w14:paraId="10A6B64B" w14:textId="55069053"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66AC208D" w14:textId="5EBBD563" w:rsidR="00F22C42" w:rsidRPr="00002FE3" w:rsidRDefault="000C1F5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F5050"/>
          </w:tcPr>
          <w:p w14:paraId="7469C219" w14:textId="78317BBD"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93165B">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F5050"/>
          </w:tcPr>
          <w:p w14:paraId="1848231C" w14:textId="4387552D"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93165B">
              <w:rPr>
                <w:rFonts w:ascii="Times New Roman" w:hAnsi="Times New Roman" w:cs="Times New Roman"/>
                <w:b/>
                <w:color w:val="000000" w:themeColor="text1"/>
                <w:sz w:val="22"/>
                <w:szCs w:val="22"/>
                <w:lang w:val="uk-UA" w:eastAsia="ru-RU"/>
              </w:rPr>
              <w:t>●</w:t>
            </w:r>
          </w:p>
        </w:tc>
      </w:tr>
      <w:tr w:rsidR="00F22C42" w14:paraId="1DBA0E90"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61E3DC6C" w14:textId="62E93941" w:rsidR="00F22C42" w:rsidRPr="00EA2E7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Безафібрат</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D8C0FE5"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14ABD48"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B4C14A7"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0C10591" w14:textId="6DF7BF3C"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7FF41D0" w14:textId="74940232"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68C9841"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B99C9D" w14:textId="0373E15F"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r>
      <w:tr w:rsidR="00F22C42" w14:paraId="08250DBE"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05CD6C1A" w14:textId="338AEDF9"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Езатіміб</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34B8E75B"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34905398"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1FE3B747"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7DFAD616"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1AF40C25"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F82AE8D" w14:textId="6F4CF91F"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91486">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36F1928" w14:textId="0DF97F6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91486">
              <w:rPr>
                <w:rFonts w:ascii="Times New Roman" w:hAnsi="Times New Roman" w:cs="Times New Roman"/>
                <w:b/>
                <w:color w:val="000000" w:themeColor="text1"/>
                <w:sz w:val="22"/>
                <w:szCs w:val="22"/>
                <w:lang w:val="uk-UA" w:eastAsia="ru-RU"/>
              </w:rPr>
              <w:t>■</w:t>
            </w:r>
          </w:p>
        </w:tc>
      </w:tr>
      <w:tr w:rsidR="00F22C42" w14:paraId="11B47730"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108CEF65" w14:textId="5C051164"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Фенофібрат</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9C8A01B"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0B2D7F0"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181311DE"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EA138E8" w14:textId="61A402AF"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A10EC27" w14:textId="0750F448"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6408622"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466AAD5"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F22C42" w14:paraId="297F172D"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534D1CB1" w14:textId="0909A955"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Флувастатин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50528B3D"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09B4944E" w14:textId="4183928C"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6FAA3273" w14:textId="7A9A265F"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6F5E55DE" w14:textId="367431E9"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11111BAA" w14:textId="2AF353FB"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F5050"/>
            <w:vAlign w:val="center"/>
          </w:tcPr>
          <w:p w14:paraId="585EFF87" w14:textId="032B2D29"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93165B">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4F7DD5C7" w14:textId="25CF8AE3"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F22C42" w14:paraId="21F6F5FC"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0BA8D1B2" w14:textId="24289CBC"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Гемфіброзил</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668163EA"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CE30870"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CC770E6"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F5050"/>
            <w:vAlign w:val="center"/>
          </w:tcPr>
          <w:p w14:paraId="0A431AF3" w14:textId="50FD36E1" w:rsidR="00F22C42" w:rsidRPr="00002FE3" w:rsidRDefault="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93165B">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4B6D8543"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439E42E4"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2978FFB8" w14:textId="77777777" w:rsidR="00F22C42" w:rsidRPr="00002FE3" w:rsidRDefault="00F22C42" w:rsidP="00F22C4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0C1F52" w14:paraId="5059CDEE"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1A478A9C" w14:textId="354D7A30"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Ловастатин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459D2FC7" w14:textId="77777777"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3A3ECC78" w14:textId="048C55A5"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1636F602" w14:textId="1FD89944"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F5050"/>
            <w:vAlign w:val="center"/>
          </w:tcPr>
          <w:p w14:paraId="5588591B" w14:textId="5A51CF9B"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93165B">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6ACF4B5B" w14:textId="77777777"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F5050"/>
            <w:vAlign w:val="center"/>
          </w:tcPr>
          <w:p w14:paraId="2D8AC723" w14:textId="5DB5EC6E"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93165B">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F5050"/>
            <w:vAlign w:val="center"/>
          </w:tcPr>
          <w:p w14:paraId="400664E7" w14:textId="1937B359" w:rsidR="000C1F52" w:rsidRPr="00D005A1"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en-GB" w:eastAsia="ru-RU"/>
              </w:rPr>
            </w:pPr>
            <w:r w:rsidRPr="0093165B">
              <w:rPr>
                <w:rFonts w:ascii="Times New Roman" w:hAnsi="Times New Roman" w:cs="Times New Roman"/>
                <w:b/>
                <w:color w:val="000000" w:themeColor="text1"/>
                <w:sz w:val="22"/>
                <w:szCs w:val="22"/>
                <w:lang w:val="uk-UA" w:eastAsia="ru-RU"/>
              </w:rPr>
              <w:t>●</w:t>
            </w:r>
          </w:p>
        </w:tc>
      </w:tr>
      <w:tr w:rsidR="000C1F52" w14:paraId="0FAE2C31"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203DFF66" w14:textId="62DAB220"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Пітавастатин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57BC107" w14:textId="77777777"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77A8DC44" w14:textId="44A8E40E"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24171BC9" w14:textId="5F0B8627"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2591A3E5" w14:textId="77777777"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5F4952AB" w14:textId="77777777"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F5050"/>
            <w:vAlign w:val="center"/>
          </w:tcPr>
          <w:p w14:paraId="1AF55918" w14:textId="746334CB"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93165B">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5167A192" w14:textId="5C1A0766"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0C1F52" w14:paraId="3DECE4A6"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27E21896" w14:textId="40F17D59"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Правастатин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7D60298" w14:textId="77777777"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582E3B5D" w14:textId="2D02EFD1"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0A836D5" w14:textId="77777777"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504C26E6" w14:textId="77777777"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147D3521" w14:textId="77777777"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226BDD53" w14:textId="050BD391"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1F1684AF" w14:textId="2E3DCA44"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0C1F52" w14:paraId="1233B0BD"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440C7B30" w14:textId="7C67A8D5"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Розувастатин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DDEB3D6" w14:textId="77777777"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F5050"/>
            <w:vAlign w:val="center"/>
          </w:tcPr>
          <w:p w14:paraId="53A5D296" w14:textId="63046F40"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93165B">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1B8CA707" w14:textId="61CE7474"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7DF0658C" w14:textId="38C90286"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0A7499EF" w14:textId="51D4DDB7"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F5050"/>
            <w:vAlign w:val="center"/>
          </w:tcPr>
          <w:p w14:paraId="364212DB" w14:textId="4F4B4B00"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93165B">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1FDA3BC5" w14:textId="146E43C6"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0C1F52" w14:paraId="1EB5FB16" w14:textId="77777777" w:rsidTr="00D005A1">
        <w:tc>
          <w:tcPr>
            <w:tcW w:w="2131" w:type="dxa"/>
            <w:tcBorders>
              <w:top w:val="single" w:sz="8" w:space="0" w:color="auto"/>
              <w:left w:val="single" w:sz="8" w:space="0" w:color="auto"/>
              <w:bottom w:val="single" w:sz="8" w:space="0" w:color="auto"/>
              <w:right w:val="single" w:sz="8" w:space="0" w:color="auto"/>
            </w:tcBorders>
            <w:vAlign w:val="center"/>
          </w:tcPr>
          <w:p w14:paraId="640FF0AA" w14:textId="4BB732DC" w:rsidR="000C1F52" w:rsidRPr="00D005A1"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it-IT" w:eastAsia="ru-RU"/>
              </w:rPr>
            </w:pPr>
            <w:r>
              <w:rPr>
                <w:rFonts w:ascii="Times New Roman" w:hAnsi="Times New Roman" w:cs="Times New Roman"/>
                <w:b/>
                <w:color w:val="000000" w:themeColor="text1"/>
                <w:sz w:val="22"/>
                <w:szCs w:val="22"/>
                <w:lang w:val="uk-UA" w:eastAsia="ru-RU"/>
              </w:rPr>
              <w:t>Симвастатин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529097D4" w14:textId="77777777"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101D7357" w14:textId="6F4A60C1"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54DE837B" w14:textId="1842E38F"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F5050"/>
            <w:vAlign w:val="center"/>
          </w:tcPr>
          <w:p w14:paraId="7766EC55" w14:textId="6598A8AA"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93165B">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4285733D" w14:textId="62742F7F"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F5050"/>
            <w:vAlign w:val="center"/>
          </w:tcPr>
          <w:p w14:paraId="14A2B677" w14:textId="26D52766"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93165B">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F5050"/>
            <w:vAlign w:val="center"/>
          </w:tcPr>
          <w:p w14:paraId="413EBBC3" w14:textId="5D3091AF" w:rsidR="000C1F52" w:rsidRPr="00002FE3" w:rsidRDefault="000C1F52" w:rsidP="000C1F5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93165B">
              <w:rPr>
                <w:rFonts w:ascii="Times New Roman" w:hAnsi="Times New Roman" w:cs="Times New Roman"/>
                <w:b/>
                <w:color w:val="000000" w:themeColor="text1"/>
                <w:sz w:val="22"/>
                <w:szCs w:val="22"/>
                <w:lang w:val="uk-UA" w:eastAsia="ru-RU"/>
              </w:rPr>
              <w:t>●</w:t>
            </w:r>
          </w:p>
        </w:tc>
      </w:tr>
    </w:tbl>
    <w:p w14:paraId="2197F923" w14:textId="77777777" w:rsidR="006B569A" w:rsidRPr="00D005A1" w:rsidRDefault="006B569A" w:rsidP="005312A2">
      <w:pPr>
        <w:tabs>
          <w:tab w:val="left" w:pos="1089"/>
        </w:tabs>
        <w:rPr>
          <w:rFonts w:ascii="Times New Roman" w:hAnsi="Times New Roman" w:cs="Times New Roman"/>
          <w:b/>
          <w:color w:val="000000" w:themeColor="text1"/>
          <w:lang w:val="en-GB"/>
        </w:rPr>
      </w:pPr>
    </w:p>
    <w:tbl>
      <w:tblPr>
        <w:tblStyle w:val="a6"/>
        <w:tblW w:w="0" w:type="auto"/>
        <w:tblInd w:w="-5" w:type="dxa"/>
        <w:tblLook w:val="04A0" w:firstRow="1" w:lastRow="0" w:firstColumn="1" w:lastColumn="0" w:noHBand="0" w:noVBand="1"/>
      </w:tblPr>
      <w:tblGrid>
        <w:gridCol w:w="486"/>
        <w:gridCol w:w="9060"/>
      </w:tblGrid>
      <w:tr w:rsidR="00877CE5" w14:paraId="406E595B" w14:textId="77777777" w:rsidTr="00DC3BDB">
        <w:tc>
          <w:tcPr>
            <w:tcW w:w="486" w:type="dxa"/>
            <w:shd w:val="clear" w:color="auto" w:fill="C5E0B3" w:themeFill="accent6" w:themeFillTint="66"/>
          </w:tcPr>
          <w:p w14:paraId="4286C18E" w14:textId="77777777" w:rsidR="00877CE5" w:rsidRDefault="00877CE5" w:rsidP="002E47FC">
            <w:pPr>
              <w:spacing w:beforeAutospacing="1" w:afterAutospacing="1"/>
              <w:jc w:val="center"/>
              <w:textAlignment w:val="baseline"/>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lastRenderedPageBreak/>
              <w:t>♦</w:t>
            </w:r>
          </w:p>
        </w:tc>
        <w:tc>
          <w:tcPr>
            <w:tcW w:w="9060" w:type="dxa"/>
          </w:tcPr>
          <w:p w14:paraId="46BC49F7" w14:textId="77777777" w:rsidR="00877CE5" w:rsidRDefault="00877CE5" w:rsidP="002E47FC">
            <w:pPr>
              <w:tabs>
                <w:tab w:val="left" w:pos="1089"/>
              </w:tabs>
              <w:jc w:val="both"/>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Ніяких клінічно значущих взаємодій не очікується.</w:t>
            </w:r>
          </w:p>
        </w:tc>
      </w:tr>
      <w:tr w:rsidR="00877CE5" w14:paraId="5602AF83" w14:textId="77777777" w:rsidTr="00DC3BDB">
        <w:tc>
          <w:tcPr>
            <w:tcW w:w="486" w:type="dxa"/>
            <w:shd w:val="clear" w:color="auto" w:fill="F4B083" w:themeFill="accent2" w:themeFillTint="99"/>
          </w:tcPr>
          <w:p w14:paraId="6466BC9E" w14:textId="77777777" w:rsidR="00877CE5" w:rsidRDefault="00877CE5" w:rsidP="002E47FC">
            <w:pPr>
              <w:tabs>
                <w:tab w:val="left" w:pos="1089"/>
              </w:tabs>
              <w:jc w:val="center"/>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545EDAF4" w14:textId="789B0090" w:rsidR="00877CE5" w:rsidRDefault="00DD7838" w:rsidP="002E47FC">
            <w:pPr>
              <w:tabs>
                <w:tab w:val="left" w:pos="1089"/>
              </w:tabs>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Потенційна взаємодія, яка може потребувати регулювання дози, змін</w:t>
            </w:r>
            <w:r>
              <w:rPr>
                <w:rFonts w:ascii="Times New Roman" w:hAnsi="Times New Roman" w:cs="Times New Roman"/>
                <w:color w:val="000000" w:themeColor="text1"/>
                <w:lang w:val="uk-UA"/>
              </w:rPr>
              <w:t xml:space="preserve">и </w:t>
            </w:r>
            <w:r w:rsidRPr="00F15C59">
              <w:rPr>
                <w:rFonts w:ascii="Times New Roman" w:hAnsi="Times New Roman" w:cs="Times New Roman"/>
                <w:color w:val="000000" w:themeColor="text1"/>
                <w:lang w:val="uk-UA"/>
              </w:rPr>
              <w:t xml:space="preserve">часу </w:t>
            </w:r>
            <w:r>
              <w:rPr>
                <w:rFonts w:ascii="Times New Roman" w:hAnsi="Times New Roman" w:cs="Times New Roman"/>
                <w:color w:val="000000" w:themeColor="text1"/>
                <w:lang w:val="uk-UA"/>
              </w:rPr>
              <w:t>вживання</w:t>
            </w:r>
            <w:r w:rsidRPr="00F15C59">
              <w:rPr>
                <w:rFonts w:ascii="Times New Roman" w:hAnsi="Times New Roman" w:cs="Times New Roman"/>
                <w:color w:val="000000" w:themeColor="text1"/>
                <w:lang w:val="uk-UA"/>
              </w:rPr>
              <w:t xml:space="preserve"> або додатков</w:t>
            </w:r>
            <w:r>
              <w:rPr>
                <w:rFonts w:ascii="Times New Roman" w:hAnsi="Times New Roman" w:cs="Times New Roman"/>
                <w:color w:val="000000" w:themeColor="text1"/>
                <w:lang w:val="uk-UA"/>
              </w:rPr>
              <w:t>ого</w:t>
            </w:r>
            <w:r w:rsidRPr="00F15C59">
              <w:rPr>
                <w:rFonts w:ascii="Times New Roman" w:hAnsi="Times New Roman" w:cs="Times New Roman"/>
                <w:color w:val="000000" w:themeColor="text1"/>
                <w:lang w:val="uk-UA"/>
              </w:rPr>
              <w:t xml:space="preserve"> контрол</w:t>
            </w:r>
            <w:r>
              <w:rPr>
                <w:rFonts w:ascii="Times New Roman" w:hAnsi="Times New Roman" w:cs="Times New Roman"/>
                <w:color w:val="000000" w:themeColor="text1"/>
                <w:lang w:val="uk-UA"/>
              </w:rPr>
              <w:t>ю</w:t>
            </w:r>
            <w:r w:rsidRPr="00F15C59">
              <w:rPr>
                <w:rFonts w:ascii="Times New Roman" w:hAnsi="Times New Roman" w:cs="Times New Roman"/>
                <w:color w:val="000000" w:themeColor="text1"/>
                <w:lang w:val="uk-UA"/>
              </w:rPr>
              <w:t>.</w:t>
            </w:r>
          </w:p>
        </w:tc>
      </w:tr>
      <w:tr w:rsidR="00877CE5" w14:paraId="1192F582" w14:textId="77777777" w:rsidTr="00DC3BDB">
        <w:tc>
          <w:tcPr>
            <w:tcW w:w="486" w:type="dxa"/>
            <w:shd w:val="clear" w:color="auto" w:fill="FF5050"/>
          </w:tcPr>
          <w:p w14:paraId="40140B82" w14:textId="77777777" w:rsidR="00877CE5" w:rsidRDefault="00877CE5" w:rsidP="002E47FC">
            <w:pPr>
              <w:tabs>
                <w:tab w:val="left" w:pos="1089"/>
              </w:tabs>
              <w:jc w:val="center"/>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5C0A48AD" w14:textId="77777777" w:rsidR="00877CE5" w:rsidRDefault="00877CE5" w:rsidP="002E47FC">
            <w:pPr>
              <w:tabs>
                <w:tab w:val="left" w:pos="1089"/>
              </w:tabs>
              <w:jc w:val="both"/>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Ці препарати н</w:t>
            </w:r>
            <w:r>
              <w:rPr>
                <w:rFonts w:ascii="Times New Roman" w:hAnsi="Times New Roman" w:cs="Times New Roman"/>
                <w:color w:val="000000" w:themeColor="text1"/>
                <w:lang w:val="uk-UA"/>
              </w:rPr>
              <w:t>е повинні застосовуватися разом</w:t>
            </w:r>
            <w:r w:rsidRPr="00F15C59">
              <w:rPr>
                <w:rFonts w:ascii="Times New Roman" w:hAnsi="Times New Roman" w:cs="Times New Roman"/>
                <w:color w:val="000000" w:themeColor="text1"/>
                <w:lang w:val="uk-UA"/>
              </w:rPr>
              <w:t>.</w:t>
            </w:r>
          </w:p>
        </w:tc>
      </w:tr>
    </w:tbl>
    <w:p w14:paraId="2042ED18" w14:textId="77777777" w:rsidR="00D065CC" w:rsidRDefault="00D065CC" w:rsidP="00D065CC">
      <w:pPr>
        <w:tabs>
          <w:tab w:val="left" w:pos="1089"/>
        </w:tabs>
        <w:contextualSpacing/>
        <w:jc w:val="both"/>
        <w:rPr>
          <w:rFonts w:ascii="Times New Roman" w:hAnsi="Times New Roman" w:cs="Times New Roman"/>
          <w:i/>
          <w:color w:val="000000" w:themeColor="text1"/>
          <w:sz w:val="20"/>
          <w:szCs w:val="20"/>
          <w:lang w:val="uk-UA"/>
        </w:rPr>
      </w:pPr>
      <w:r w:rsidRPr="00DA6F76">
        <w:rPr>
          <w:rFonts w:ascii="Times New Roman" w:hAnsi="Times New Roman" w:cs="Times New Roman"/>
          <w:i/>
          <w:color w:val="000000" w:themeColor="text1"/>
          <w:sz w:val="20"/>
          <w:szCs w:val="20"/>
          <w:lang w:val="uk-UA"/>
        </w:rPr>
        <w:t xml:space="preserve">Примітки. Деякі лікарські засоби можуть вимагати зміни дози залежно від функції печінки. Будь ласка, </w:t>
      </w:r>
      <w:r>
        <w:rPr>
          <w:rFonts w:ascii="Times New Roman" w:hAnsi="Times New Roman" w:cs="Times New Roman"/>
          <w:i/>
          <w:color w:val="000000" w:themeColor="text1"/>
          <w:sz w:val="20"/>
          <w:szCs w:val="20"/>
          <w:lang w:val="uk-UA"/>
        </w:rPr>
        <w:t>ознайомтеся з</w:t>
      </w:r>
      <w:r w:rsidRPr="00DA6F76">
        <w:rPr>
          <w:rFonts w:ascii="Times New Roman" w:hAnsi="Times New Roman" w:cs="Times New Roman"/>
          <w:i/>
          <w:color w:val="000000" w:themeColor="text1"/>
          <w:sz w:val="20"/>
          <w:szCs w:val="20"/>
          <w:lang w:val="uk-UA"/>
        </w:rPr>
        <w:t xml:space="preserve"> </w:t>
      </w:r>
      <w:r>
        <w:rPr>
          <w:rFonts w:ascii="Times New Roman" w:hAnsi="Times New Roman" w:cs="Times New Roman"/>
          <w:i/>
          <w:color w:val="000000" w:themeColor="text1"/>
          <w:sz w:val="20"/>
          <w:szCs w:val="20"/>
          <w:lang w:val="uk-UA"/>
        </w:rPr>
        <w:t>інструкцією</w:t>
      </w:r>
      <w:r w:rsidRPr="00DA6F76">
        <w:rPr>
          <w:rFonts w:ascii="Times New Roman" w:hAnsi="Times New Roman" w:cs="Times New Roman"/>
          <w:i/>
          <w:color w:val="000000" w:themeColor="text1"/>
          <w:sz w:val="20"/>
          <w:szCs w:val="20"/>
          <w:lang w:val="uk-UA"/>
        </w:rPr>
        <w:t xml:space="preserve"> </w:t>
      </w:r>
      <w:r>
        <w:rPr>
          <w:rFonts w:ascii="Times New Roman" w:hAnsi="Times New Roman" w:cs="Times New Roman"/>
          <w:i/>
          <w:color w:val="000000" w:themeColor="text1"/>
          <w:sz w:val="20"/>
          <w:szCs w:val="20"/>
          <w:lang w:val="uk-UA"/>
        </w:rPr>
        <w:t>лікарського засобу</w:t>
      </w:r>
      <w:r w:rsidRPr="00DA6F76">
        <w:rPr>
          <w:rFonts w:ascii="Times New Roman" w:hAnsi="Times New Roman" w:cs="Times New Roman"/>
          <w:i/>
          <w:color w:val="000000" w:themeColor="text1"/>
          <w:sz w:val="20"/>
          <w:szCs w:val="20"/>
          <w:lang w:val="uk-UA"/>
        </w:rPr>
        <w:t xml:space="preserve"> щодо рекомендованих доз. Символи (зелений, помаранчевий, червоний), що використовуються в таблиці для оцінки клінічного значення взаємодії </w:t>
      </w:r>
      <w:r>
        <w:rPr>
          <w:rFonts w:ascii="Times New Roman" w:hAnsi="Times New Roman" w:cs="Times New Roman"/>
          <w:i/>
          <w:color w:val="000000" w:themeColor="text1"/>
          <w:sz w:val="20"/>
          <w:szCs w:val="20"/>
          <w:lang w:val="uk-UA"/>
        </w:rPr>
        <w:t>лікарських засобів,</w:t>
      </w:r>
      <w:r w:rsidRPr="00DA6F76">
        <w:rPr>
          <w:rFonts w:ascii="Times New Roman" w:hAnsi="Times New Roman" w:cs="Times New Roman"/>
          <w:i/>
          <w:color w:val="000000" w:themeColor="text1"/>
          <w:sz w:val="20"/>
          <w:szCs w:val="20"/>
          <w:lang w:val="uk-UA"/>
        </w:rPr>
        <w:t xml:space="preserve"> створені на основі www.hep</w:t>
      </w:r>
      <w:r>
        <w:rPr>
          <w:rFonts w:ascii="Times New Roman" w:hAnsi="Times New Roman" w:cs="Times New Roman"/>
          <w:i/>
          <w:color w:val="000000" w:themeColor="text1"/>
          <w:sz w:val="20"/>
          <w:szCs w:val="20"/>
          <w:lang w:val="uk-UA"/>
        </w:rPr>
        <w:t>–</w:t>
      </w:r>
      <w:r w:rsidRPr="00DA6F76">
        <w:rPr>
          <w:rFonts w:ascii="Times New Roman" w:hAnsi="Times New Roman" w:cs="Times New Roman"/>
          <w:i/>
          <w:color w:val="000000" w:themeColor="text1"/>
          <w:sz w:val="20"/>
          <w:szCs w:val="20"/>
          <w:lang w:val="uk-UA"/>
        </w:rPr>
        <w:t>druginteractions.org (University of Liverpool). У випадку потреби у додатковій інформації стосовно взаємодій між лікарськими засобами для більш широкого кола препаратів, а також щодо докладних даних про фармакокінетичну взаємодію та коригування доз, звертайтеся до вищезазначеного веб</w:t>
      </w:r>
      <w:r>
        <w:rPr>
          <w:rFonts w:ascii="Times New Roman" w:hAnsi="Times New Roman" w:cs="Times New Roman"/>
          <w:i/>
          <w:color w:val="000000" w:themeColor="text1"/>
          <w:sz w:val="20"/>
          <w:szCs w:val="20"/>
          <w:lang w:val="uk-UA"/>
        </w:rPr>
        <w:t>–</w:t>
      </w:r>
      <w:r w:rsidRPr="00DA6F76">
        <w:rPr>
          <w:rFonts w:ascii="Times New Roman" w:hAnsi="Times New Roman" w:cs="Times New Roman"/>
          <w:i/>
          <w:color w:val="000000" w:themeColor="text1"/>
          <w:sz w:val="20"/>
          <w:szCs w:val="20"/>
          <w:lang w:val="uk-UA"/>
        </w:rPr>
        <w:t>сайту.</w:t>
      </w:r>
    </w:p>
    <w:p w14:paraId="3AF1D3C5" w14:textId="5BE42625" w:rsidR="002E47FC" w:rsidRDefault="002E47FC" w:rsidP="005312A2">
      <w:pPr>
        <w:tabs>
          <w:tab w:val="left" w:pos="1089"/>
        </w:tabs>
        <w:jc w:val="both"/>
        <w:rPr>
          <w:rFonts w:ascii="Times New Roman" w:hAnsi="Times New Roman" w:cs="Times New Roman"/>
          <w:i/>
          <w:color w:val="000000" w:themeColor="text1"/>
          <w:sz w:val="20"/>
          <w:szCs w:val="20"/>
          <w:lang w:val="uk-UA"/>
        </w:rPr>
      </w:pPr>
    </w:p>
    <w:p w14:paraId="312C92EC" w14:textId="5F9953C2" w:rsidR="005312A2" w:rsidRPr="00C90D71" w:rsidRDefault="005312A2" w:rsidP="005312A2">
      <w:pPr>
        <w:tabs>
          <w:tab w:val="left" w:pos="1089"/>
        </w:tabs>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Таблиця 4D. Лікарські взаємодії між ПППД та препаратами, що впливають на ЦНС</w:t>
      </w:r>
    </w:p>
    <w:p w14:paraId="160D3A15" w14:textId="370CBB8C" w:rsidR="005312A2" w:rsidRDefault="005312A2" w:rsidP="005312A2">
      <w:pPr>
        <w:tabs>
          <w:tab w:val="left" w:pos="1089"/>
        </w:tabs>
        <w:rPr>
          <w:rFonts w:ascii="Times New Roman" w:hAnsi="Times New Roman" w:cs="Times New Roman"/>
          <w:b/>
          <w:color w:val="000000" w:themeColor="text1"/>
          <w:lang w:val="uk-UA"/>
        </w:rPr>
      </w:pPr>
    </w:p>
    <w:tbl>
      <w:tblPr>
        <w:tblStyle w:val="a6"/>
        <w:tblW w:w="0" w:type="auto"/>
        <w:tblLayout w:type="fixed"/>
        <w:tblLook w:val="04A0" w:firstRow="1" w:lastRow="0" w:firstColumn="1" w:lastColumn="0" w:noHBand="0" w:noVBand="1"/>
      </w:tblPr>
      <w:tblGrid>
        <w:gridCol w:w="841"/>
        <w:gridCol w:w="2131"/>
        <w:gridCol w:w="992"/>
        <w:gridCol w:w="851"/>
        <w:gridCol w:w="850"/>
        <w:gridCol w:w="851"/>
        <w:gridCol w:w="850"/>
        <w:gridCol w:w="851"/>
        <w:gridCol w:w="850"/>
      </w:tblGrid>
      <w:tr w:rsidR="0017049B" w14:paraId="0797A2FD" w14:textId="77777777" w:rsidTr="00D005A1">
        <w:tc>
          <w:tcPr>
            <w:tcW w:w="841" w:type="dxa"/>
            <w:tcBorders>
              <w:bottom w:val="single" w:sz="12" w:space="0" w:color="auto"/>
            </w:tcBorders>
            <w:vAlign w:val="center"/>
          </w:tcPr>
          <w:p w14:paraId="11956FC8" w14:textId="77777777" w:rsidR="0017049B" w:rsidRPr="00002FE3" w:rsidRDefault="0017049B"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131" w:type="dxa"/>
            <w:tcBorders>
              <w:bottom w:val="single" w:sz="12" w:space="0" w:color="auto"/>
            </w:tcBorders>
            <w:vAlign w:val="center"/>
          </w:tcPr>
          <w:p w14:paraId="2CEE1490" w14:textId="77777777" w:rsidR="0017049B" w:rsidRPr="00002FE3" w:rsidRDefault="0017049B"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992" w:type="dxa"/>
            <w:tcBorders>
              <w:bottom w:val="single" w:sz="12" w:space="0" w:color="auto"/>
            </w:tcBorders>
            <w:vAlign w:val="center"/>
          </w:tcPr>
          <w:p w14:paraId="4497A809" w14:textId="77777777" w:rsidR="0017049B" w:rsidRPr="00002FE3" w:rsidRDefault="0017049B"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w:t>
            </w:r>
          </w:p>
        </w:tc>
        <w:tc>
          <w:tcPr>
            <w:tcW w:w="851" w:type="dxa"/>
            <w:tcBorders>
              <w:bottom w:val="single" w:sz="12" w:space="0" w:color="auto"/>
            </w:tcBorders>
            <w:vAlign w:val="center"/>
          </w:tcPr>
          <w:p w14:paraId="0916454D" w14:textId="77777777" w:rsidR="0017049B" w:rsidRPr="00002FE3" w:rsidRDefault="0017049B"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SOF/LDV</w:t>
            </w:r>
          </w:p>
        </w:tc>
        <w:tc>
          <w:tcPr>
            <w:tcW w:w="850" w:type="dxa"/>
            <w:tcBorders>
              <w:bottom w:val="single" w:sz="12" w:space="0" w:color="auto"/>
            </w:tcBorders>
            <w:vAlign w:val="center"/>
          </w:tcPr>
          <w:p w14:paraId="366D6142" w14:textId="77777777" w:rsidR="0017049B" w:rsidRPr="00002FE3" w:rsidRDefault="0017049B"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SOF/VEL</w:t>
            </w:r>
          </w:p>
        </w:tc>
        <w:tc>
          <w:tcPr>
            <w:tcW w:w="851" w:type="dxa"/>
            <w:tcBorders>
              <w:bottom w:val="single" w:sz="12" w:space="0" w:color="auto"/>
            </w:tcBorders>
            <w:vAlign w:val="center"/>
          </w:tcPr>
          <w:p w14:paraId="1D38E2FE" w14:textId="77777777" w:rsidR="0017049B" w:rsidRPr="00002FE3" w:rsidRDefault="0017049B"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OBV/PTV/r+</w:t>
            </w:r>
            <w:r w:rsidRPr="00002FE3">
              <w:rPr>
                <w:rFonts w:ascii="Times New Roman" w:hAnsi="Times New Roman" w:cs="Times New Roman"/>
                <w:b/>
                <w:color w:val="000000" w:themeColor="text1"/>
                <w:sz w:val="22"/>
                <w:szCs w:val="22"/>
                <w:lang w:val="uk-UA" w:eastAsia="ru-RU"/>
              </w:rPr>
              <w:t xml:space="preserve"> </w:t>
            </w:r>
            <w:r w:rsidRPr="00002FE3">
              <w:rPr>
                <w:rFonts w:ascii="Times New Roman" w:hAnsi="Times New Roman" w:cs="Times New Roman"/>
                <w:b/>
                <w:color w:val="000000" w:themeColor="text1"/>
                <w:sz w:val="22"/>
                <w:szCs w:val="22"/>
                <w:lang w:val="it-IT" w:eastAsia="ru-RU"/>
              </w:rPr>
              <w:t>DSV</w:t>
            </w:r>
          </w:p>
        </w:tc>
        <w:tc>
          <w:tcPr>
            <w:tcW w:w="850" w:type="dxa"/>
            <w:tcBorders>
              <w:bottom w:val="single" w:sz="12" w:space="0" w:color="auto"/>
            </w:tcBorders>
            <w:vAlign w:val="center"/>
          </w:tcPr>
          <w:p w14:paraId="2A68DEBA" w14:textId="77777777" w:rsidR="0017049B" w:rsidRPr="00002FE3" w:rsidRDefault="0017049B"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GZR/EBR</w:t>
            </w:r>
          </w:p>
        </w:tc>
        <w:tc>
          <w:tcPr>
            <w:tcW w:w="851" w:type="dxa"/>
            <w:tcBorders>
              <w:bottom w:val="single" w:sz="12" w:space="0" w:color="auto"/>
            </w:tcBorders>
            <w:vAlign w:val="center"/>
          </w:tcPr>
          <w:p w14:paraId="14353EBE" w14:textId="77777777" w:rsidR="0017049B" w:rsidRPr="00002FE3" w:rsidRDefault="0017049B"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SOF/VEL/VOX</w:t>
            </w:r>
          </w:p>
        </w:tc>
        <w:tc>
          <w:tcPr>
            <w:tcW w:w="850" w:type="dxa"/>
            <w:tcBorders>
              <w:bottom w:val="single" w:sz="12" w:space="0" w:color="auto"/>
            </w:tcBorders>
            <w:vAlign w:val="center"/>
          </w:tcPr>
          <w:p w14:paraId="59B4C934" w14:textId="77777777" w:rsidR="0017049B" w:rsidRPr="00002FE3" w:rsidRDefault="0017049B"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GLE/PIB</w:t>
            </w:r>
          </w:p>
        </w:tc>
      </w:tr>
      <w:tr w:rsidR="006B64C9" w14:paraId="645561E3" w14:textId="77777777" w:rsidTr="00D005A1">
        <w:tc>
          <w:tcPr>
            <w:tcW w:w="841" w:type="dxa"/>
            <w:vMerge w:val="restart"/>
            <w:tcBorders>
              <w:top w:val="single" w:sz="12" w:space="0" w:color="auto"/>
              <w:left w:val="single" w:sz="12" w:space="0" w:color="auto"/>
            </w:tcBorders>
            <w:textDirection w:val="btLr"/>
            <w:vAlign w:val="center"/>
          </w:tcPr>
          <w:p w14:paraId="5F54883E" w14:textId="284666FD" w:rsidR="006B64C9" w:rsidRPr="00002FE3" w:rsidRDefault="006B64C9" w:rsidP="006B64C9">
            <w:pPr>
              <w:spacing w:beforeAutospacing="1" w:afterAutospacing="1"/>
              <w:ind w:left="113" w:right="113"/>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Антидепресанти</w:t>
            </w:r>
          </w:p>
        </w:tc>
        <w:tc>
          <w:tcPr>
            <w:tcW w:w="2131" w:type="dxa"/>
            <w:tcBorders>
              <w:top w:val="single" w:sz="12" w:space="0" w:color="auto"/>
            </w:tcBorders>
            <w:vAlign w:val="center"/>
          </w:tcPr>
          <w:p w14:paraId="48FBA58A" w14:textId="592522C4" w:rsidR="006B64C9" w:rsidRPr="0017049B"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Амітриптилін</w:t>
            </w:r>
          </w:p>
        </w:tc>
        <w:tc>
          <w:tcPr>
            <w:tcW w:w="992" w:type="dxa"/>
            <w:tcBorders>
              <w:top w:val="single" w:sz="12" w:space="0" w:color="auto"/>
            </w:tcBorders>
            <w:shd w:val="clear" w:color="auto" w:fill="C5E0B3" w:themeFill="accent6" w:themeFillTint="66"/>
            <w:vAlign w:val="center"/>
          </w:tcPr>
          <w:p w14:paraId="790A7200"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C5E0B3" w:themeFill="accent6" w:themeFillTint="66"/>
            <w:vAlign w:val="center"/>
          </w:tcPr>
          <w:p w14:paraId="20C46629" w14:textId="38C62C51"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12" w:space="0" w:color="auto"/>
            </w:tcBorders>
            <w:shd w:val="clear" w:color="auto" w:fill="C5E0B3" w:themeFill="accent6" w:themeFillTint="66"/>
            <w:vAlign w:val="center"/>
          </w:tcPr>
          <w:p w14:paraId="298FE59F" w14:textId="48D15C73"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F7CAAC" w:themeFill="accent2" w:themeFillTint="66"/>
            <w:vAlign w:val="center"/>
          </w:tcPr>
          <w:p w14:paraId="1068DD7B" w14:textId="742A3793"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12" w:space="0" w:color="auto"/>
            </w:tcBorders>
            <w:shd w:val="clear" w:color="auto" w:fill="C5E0B3" w:themeFill="accent6" w:themeFillTint="66"/>
            <w:vAlign w:val="center"/>
          </w:tcPr>
          <w:p w14:paraId="22056D8F" w14:textId="75BE1B64"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C5E0B3" w:themeFill="accent6" w:themeFillTint="66"/>
            <w:vAlign w:val="center"/>
          </w:tcPr>
          <w:p w14:paraId="4548D16E" w14:textId="6A16002B"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12" w:space="0" w:color="auto"/>
              <w:right w:val="single" w:sz="12" w:space="0" w:color="auto"/>
            </w:tcBorders>
            <w:shd w:val="clear" w:color="auto" w:fill="C5E0B3" w:themeFill="accent6" w:themeFillTint="66"/>
            <w:vAlign w:val="center"/>
          </w:tcPr>
          <w:p w14:paraId="15973192" w14:textId="213702B5"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6B64C9" w14:paraId="15995316" w14:textId="77777777" w:rsidTr="00D005A1">
        <w:tc>
          <w:tcPr>
            <w:tcW w:w="841" w:type="dxa"/>
            <w:vMerge/>
            <w:tcBorders>
              <w:left w:val="single" w:sz="12" w:space="0" w:color="auto"/>
            </w:tcBorders>
            <w:vAlign w:val="center"/>
          </w:tcPr>
          <w:p w14:paraId="3A9935FB"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131" w:type="dxa"/>
            <w:vAlign w:val="center"/>
          </w:tcPr>
          <w:p w14:paraId="22B8A2F8" w14:textId="4B6244F4"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Циталопрам</w:t>
            </w:r>
          </w:p>
        </w:tc>
        <w:tc>
          <w:tcPr>
            <w:tcW w:w="992" w:type="dxa"/>
            <w:shd w:val="clear" w:color="auto" w:fill="C5E0B3" w:themeFill="accent6" w:themeFillTint="66"/>
            <w:vAlign w:val="center"/>
          </w:tcPr>
          <w:p w14:paraId="2050D432"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57E93C4F" w14:textId="5F9C6E10"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29BB7ABE" w14:textId="4E1E54D4"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18608EE9" w14:textId="407E6F0B"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4B5749D9" w14:textId="0BEEBD4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6EB8F56D" w14:textId="5A37C0A1"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right w:val="single" w:sz="12" w:space="0" w:color="auto"/>
            </w:tcBorders>
            <w:shd w:val="clear" w:color="auto" w:fill="C5E0B3" w:themeFill="accent6" w:themeFillTint="66"/>
            <w:vAlign w:val="center"/>
          </w:tcPr>
          <w:p w14:paraId="48AC5081" w14:textId="13897695"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6B64C9" w14:paraId="3C717056" w14:textId="77777777" w:rsidTr="00D005A1">
        <w:tc>
          <w:tcPr>
            <w:tcW w:w="841" w:type="dxa"/>
            <w:vMerge/>
            <w:tcBorders>
              <w:left w:val="single" w:sz="12" w:space="0" w:color="auto"/>
            </w:tcBorders>
            <w:vAlign w:val="center"/>
          </w:tcPr>
          <w:p w14:paraId="36152DE3"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131" w:type="dxa"/>
            <w:vAlign w:val="center"/>
          </w:tcPr>
          <w:p w14:paraId="658E2E76" w14:textId="247FAD9B"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Дулоксетин</w:t>
            </w:r>
          </w:p>
        </w:tc>
        <w:tc>
          <w:tcPr>
            <w:tcW w:w="992" w:type="dxa"/>
            <w:shd w:val="clear" w:color="auto" w:fill="C5E0B3" w:themeFill="accent6" w:themeFillTint="66"/>
            <w:vAlign w:val="center"/>
          </w:tcPr>
          <w:p w14:paraId="1A994C45"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060FC006" w14:textId="5587C88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25464833" w14:textId="7F82BF0A"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144C91D7" w14:textId="5FF98AA4"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58839941" w14:textId="0ECFEDB6"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4B9B3CA3" w14:textId="34F8C55E"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bottom w:val="single" w:sz="4" w:space="0" w:color="auto"/>
              <w:right w:val="single" w:sz="12" w:space="0" w:color="auto"/>
            </w:tcBorders>
            <w:shd w:val="clear" w:color="auto" w:fill="C5E0B3" w:themeFill="accent6" w:themeFillTint="66"/>
            <w:vAlign w:val="center"/>
          </w:tcPr>
          <w:p w14:paraId="1D7213E1" w14:textId="075AB854"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6B64C9" w14:paraId="44FED0A5" w14:textId="77777777" w:rsidTr="00D005A1">
        <w:tc>
          <w:tcPr>
            <w:tcW w:w="841" w:type="dxa"/>
            <w:vMerge/>
            <w:tcBorders>
              <w:left w:val="single" w:sz="12" w:space="0" w:color="auto"/>
            </w:tcBorders>
            <w:vAlign w:val="center"/>
          </w:tcPr>
          <w:p w14:paraId="66EF65A9"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131" w:type="dxa"/>
            <w:tcBorders>
              <w:bottom w:val="single" w:sz="4" w:space="0" w:color="auto"/>
            </w:tcBorders>
            <w:vAlign w:val="center"/>
          </w:tcPr>
          <w:p w14:paraId="091BFD1C" w14:textId="18859334"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Ескілатопрам</w:t>
            </w:r>
          </w:p>
        </w:tc>
        <w:tc>
          <w:tcPr>
            <w:tcW w:w="992" w:type="dxa"/>
            <w:tcBorders>
              <w:bottom w:val="single" w:sz="4" w:space="0" w:color="auto"/>
            </w:tcBorders>
            <w:shd w:val="clear" w:color="auto" w:fill="C5E0B3" w:themeFill="accent6" w:themeFillTint="66"/>
            <w:vAlign w:val="center"/>
          </w:tcPr>
          <w:p w14:paraId="11C9C031"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4" w:space="0" w:color="auto"/>
            </w:tcBorders>
            <w:shd w:val="clear" w:color="auto" w:fill="C5E0B3" w:themeFill="accent6" w:themeFillTint="66"/>
            <w:vAlign w:val="center"/>
          </w:tcPr>
          <w:p w14:paraId="03DEC0F1" w14:textId="7D917A38"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bottom w:val="single" w:sz="4" w:space="0" w:color="auto"/>
            </w:tcBorders>
            <w:shd w:val="clear" w:color="auto" w:fill="C5E0B3" w:themeFill="accent6" w:themeFillTint="66"/>
            <w:vAlign w:val="center"/>
          </w:tcPr>
          <w:p w14:paraId="139C8651" w14:textId="390A9F1D"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4" w:space="0" w:color="auto"/>
            </w:tcBorders>
            <w:shd w:val="clear" w:color="auto" w:fill="C5E0B3" w:themeFill="accent6" w:themeFillTint="66"/>
            <w:vAlign w:val="center"/>
          </w:tcPr>
          <w:p w14:paraId="76D97DB5" w14:textId="1339BBF5"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bottom w:val="single" w:sz="4" w:space="0" w:color="auto"/>
            </w:tcBorders>
            <w:shd w:val="clear" w:color="auto" w:fill="C5E0B3" w:themeFill="accent6" w:themeFillTint="66"/>
            <w:vAlign w:val="center"/>
          </w:tcPr>
          <w:p w14:paraId="10B87002" w14:textId="60EF9F53"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4" w:space="0" w:color="auto"/>
            </w:tcBorders>
            <w:shd w:val="clear" w:color="auto" w:fill="C5E0B3" w:themeFill="accent6" w:themeFillTint="66"/>
            <w:vAlign w:val="center"/>
          </w:tcPr>
          <w:p w14:paraId="0EADBBE5" w14:textId="2D75EFE3"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right w:val="single" w:sz="12" w:space="0" w:color="auto"/>
            </w:tcBorders>
            <w:shd w:val="clear" w:color="auto" w:fill="C5E0B3" w:themeFill="accent6" w:themeFillTint="66"/>
            <w:vAlign w:val="center"/>
          </w:tcPr>
          <w:p w14:paraId="3A0DF863" w14:textId="3CFD16ED"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6B64C9" w14:paraId="41D67BFA" w14:textId="77777777" w:rsidTr="00D005A1">
        <w:tc>
          <w:tcPr>
            <w:tcW w:w="841" w:type="dxa"/>
            <w:vMerge/>
            <w:tcBorders>
              <w:left w:val="single" w:sz="12" w:space="0" w:color="auto"/>
            </w:tcBorders>
            <w:vAlign w:val="center"/>
          </w:tcPr>
          <w:p w14:paraId="7E972C3E"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131" w:type="dxa"/>
            <w:tcBorders>
              <w:bottom w:val="single" w:sz="4" w:space="0" w:color="auto"/>
            </w:tcBorders>
            <w:vAlign w:val="center"/>
          </w:tcPr>
          <w:p w14:paraId="088952B8" w14:textId="33F1D33E"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Флуоксетин</w:t>
            </w:r>
          </w:p>
        </w:tc>
        <w:tc>
          <w:tcPr>
            <w:tcW w:w="992" w:type="dxa"/>
            <w:tcBorders>
              <w:bottom w:val="single" w:sz="4" w:space="0" w:color="auto"/>
            </w:tcBorders>
            <w:shd w:val="clear" w:color="auto" w:fill="C5E0B3" w:themeFill="accent6" w:themeFillTint="66"/>
            <w:vAlign w:val="center"/>
          </w:tcPr>
          <w:p w14:paraId="17370AA1"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4" w:space="0" w:color="auto"/>
            </w:tcBorders>
            <w:shd w:val="clear" w:color="auto" w:fill="C5E0B3" w:themeFill="accent6" w:themeFillTint="66"/>
            <w:vAlign w:val="center"/>
          </w:tcPr>
          <w:p w14:paraId="359F754A" w14:textId="214F3E86"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bottom w:val="single" w:sz="4" w:space="0" w:color="auto"/>
            </w:tcBorders>
            <w:shd w:val="clear" w:color="auto" w:fill="C5E0B3" w:themeFill="accent6" w:themeFillTint="66"/>
            <w:vAlign w:val="center"/>
          </w:tcPr>
          <w:p w14:paraId="41637791" w14:textId="4012CEF4"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4" w:space="0" w:color="auto"/>
            </w:tcBorders>
            <w:shd w:val="clear" w:color="auto" w:fill="C5E0B3" w:themeFill="accent6" w:themeFillTint="66"/>
            <w:vAlign w:val="center"/>
          </w:tcPr>
          <w:p w14:paraId="1FEECDCB" w14:textId="105F5346"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bottom w:val="single" w:sz="4" w:space="0" w:color="auto"/>
            </w:tcBorders>
            <w:shd w:val="clear" w:color="auto" w:fill="C5E0B3" w:themeFill="accent6" w:themeFillTint="66"/>
            <w:vAlign w:val="center"/>
          </w:tcPr>
          <w:p w14:paraId="2759AF9A" w14:textId="5C518054"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4" w:space="0" w:color="auto"/>
            </w:tcBorders>
            <w:shd w:val="clear" w:color="auto" w:fill="C5E0B3" w:themeFill="accent6" w:themeFillTint="66"/>
            <w:vAlign w:val="center"/>
          </w:tcPr>
          <w:p w14:paraId="36B26C08" w14:textId="034738B6"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bottom w:val="single" w:sz="4" w:space="0" w:color="auto"/>
              <w:right w:val="single" w:sz="12" w:space="0" w:color="auto"/>
            </w:tcBorders>
            <w:shd w:val="clear" w:color="auto" w:fill="C5E0B3" w:themeFill="accent6" w:themeFillTint="66"/>
            <w:vAlign w:val="center"/>
          </w:tcPr>
          <w:p w14:paraId="75E73483" w14:textId="5167C222"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6B64C9" w14:paraId="0385078A" w14:textId="77777777" w:rsidTr="00D005A1">
        <w:tc>
          <w:tcPr>
            <w:tcW w:w="841" w:type="dxa"/>
            <w:vMerge/>
            <w:tcBorders>
              <w:left w:val="single" w:sz="12" w:space="0" w:color="auto"/>
            </w:tcBorders>
            <w:textDirection w:val="btLr"/>
            <w:vAlign w:val="center"/>
          </w:tcPr>
          <w:p w14:paraId="5C5EFF5C" w14:textId="16198517" w:rsidR="006B64C9" w:rsidRPr="00002FE3" w:rsidRDefault="006B64C9" w:rsidP="006B64C9">
            <w:pPr>
              <w:spacing w:beforeAutospacing="1" w:afterAutospacing="1"/>
              <w:ind w:left="113" w:right="113"/>
              <w:jc w:val="center"/>
              <w:textAlignment w:val="baseline"/>
              <w:rPr>
                <w:rFonts w:ascii="Times New Roman" w:hAnsi="Times New Roman" w:cs="Times New Roman"/>
                <w:b/>
                <w:color w:val="000000" w:themeColor="text1"/>
                <w:sz w:val="22"/>
                <w:szCs w:val="22"/>
                <w:lang w:val="uk-UA" w:eastAsia="ru-RU"/>
              </w:rPr>
            </w:pPr>
          </w:p>
        </w:tc>
        <w:tc>
          <w:tcPr>
            <w:tcW w:w="2131" w:type="dxa"/>
            <w:tcBorders>
              <w:top w:val="single" w:sz="4" w:space="0" w:color="auto"/>
            </w:tcBorders>
            <w:vAlign w:val="center"/>
          </w:tcPr>
          <w:p w14:paraId="43774895" w14:textId="5F094162"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Пароксетим</w:t>
            </w:r>
          </w:p>
        </w:tc>
        <w:tc>
          <w:tcPr>
            <w:tcW w:w="992" w:type="dxa"/>
            <w:tcBorders>
              <w:top w:val="single" w:sz="4" w:space="0" w:color="auto"/>
            </w:tcBorders>
            <w:shd w:val="clear" w:color="auto" w:fill="C5E0B3" w:themeFill="accent6" w:themeFillTint="66"/>
            <w:vAlign w:val="center"/>
          </w:tcPr>
          <w:p w14:paraId="52286600"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4" w:space="0" w:color="auto"/>
            </w:tcBorders>
            <w:shd w:val="clear" w:color="auto" w:fill="C5E0B3" w:themeFill="accent6" w:themeFillTint="66"/>
            <w:vAlign w:val="center"/>
          </w:tcPr>
          <w:p w14:paraId="72DE0116" w14:textId="57906C72"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4" w:space="0" w:color="auto"/>
            </w:tcBorders>
            <w:shd w:val="clear" w:color="auto" w:fill="C5E0B3" w:themeFill="accent6" w:themeFillTint="66"/>
            <w:vAlign w:val="center"/>
          </w:tcPr>
          <w:p w14:paraId="49DCA932" w14:textId="31D700D1"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4" w:space="0" w:color="auto"/>
            </w:tcBorders>
            <w:shd w:val="clear" w:color="auto" w:fill="C5E0B3" w:themeFill="accent6" w:themeFillTint="66"/>
            <w:vAlign w:val="center"/>
          </w:tcPr>
          <w:p w14:paraId="3153B4E9" w14:textId="0B59D6C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4" w:space="0" w:color="auto"/>
            </w:tcBorders>
            <w:shd w:val="clear" w:color="auto" w:fill="C5E0B3" w:themeFill="accent6" w:themeFillTint="66"/>
            <w:vAlign w:val="center"/>
          </w:tcPr>
          <w:p w14:paraId="73502F00" w14:textId="63B1AAFE"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4" w:space="0" w:color="auto"/>
            </w:tcBorders>
            <w:shd w:val="clear" w:color="auto" w:fill="C5E0B3" w:themeFill="accent6" w:themeFillTint="66"/>
            <w:vAlign w:val="center"/>
          </w:tcPr>
          <w:p w14:paraId="66280377" w14:textId="572422EB"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4" w:space="0" w:color="auto"/>
              <w:right w:val="single" w:sz="12" w:space="0" w:color="auto"/>
            </w:tcBorders>
            <w:shd w:val="clear" w:color="auto" w:fill="C5E0B3" w:themeFill="accent6" w:themeFillTint="66"/>
            <w:vAlign w:val="center"/>
          </w:tcPr>
          <w:p w14:paraId="2819DECC" w14:textId="5CE0295A"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6B64C9" w14:paraId="3C952439" w14:textId="77777777" w:rsidTr="00D005A1">
        <w:tc>
          <w:tcPr>
            <w:tcW w:w="841" w:type="dxa"/>
            <w:vMerge/>
            <w:tcBorders>
              <w:left w:val="single" w:sz="12" w:space="0" w:color="auto"/>
            </w:tcBorders>
            <w:vAlign w:val="center"/>
          </w:tcPr>
          <w:p w14:paraId="217EDAED"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131" w:type="dxa"/>
            <w:vAlign w:val="center"/>
          </w:tcPr>
          <w:p w14:paraId="1AA18CDE" w14:textId="0F95891D"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Сертралін</w:t>
            </w:r>
          </w:p>
        </w:tc>
        <w:tc>
          <w:tcPr>
            <w:tcW w:w="992" w:type="dxa"/>
            <w:shd w:val="clear" w:color="auto" w:fill="C5E0B3" w:themeFill="accent6" w:themeFillTint="66"/>
            <w:vAlign w:val="center"/>
          </w:tcPr>
          <w:p w14:paraId="42A5E129"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70BBCACB" w14:textId="5D1DB0ED"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6F5FB2F9" w14:textId="651EF31B"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F7CAAC" w:themeFill="accent2" w:themeFillTint="66"/>
          </w:tcPr>
          <w:p w14:paraId="4561E395" w14:textId="366DAA22"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FD78B1">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57649EF9" w14:textId="55D05DBA"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4A339A1D" w14:textId="15364088"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right w:val="single" w:sz="12" w:space="0" w:color="auto"/>
            </w:tcBorders>
            <w:shd w:val="clear" w:color="auto" w:fill="C5E0B3" w:themeFill="accent6" w:themeFillTint="66"/>
            <w:vAlign w:val="center"/>
          </w:tcPr>
          <w:p w14:paraId="38AC1457" w14:textId="5EF23A79"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6B64C9" w14:paraId="0C982539" w14:textId="77777777" w:rsidTr="00D005A1">
        <w:tc>
          <w:tcPr>
            <w:tcW w:w="841" w:type="dxa"/>
            <w:vMerge/>
            <w:tcBorders>
              <w:left w:val="single" w:sz="12" w:space="0" w:color="auto"/>
            </w:tcBorders>
            <w:vAlign w:val="center"/>
          </w:tcPr>
          <w:p w14:paraId="409B77A6"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131" w:type="dxa"/>
            <w:vAlign w:val="center"/>
          </w:tcPr>
          <w:p w14:paraId="2749E616" w14:textId="0E32E0F9"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Тразодон</w:t>
            </w:r>
          </w:p>
        </w:tc>
        <w:tc>
          <w:tcPr>
            <w:tcW w:w="992" w:type="dxa"/>
            <w:shd w:val="clear" w:color="auto" w:fill="C5E0B3" w:themeFill="accent6" w:themeFillTint="66"/>
            <w:vAlign w:val="center"/>
          </w:tcPr>
          <w:p w14:paraId="590C981B"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533433E7" w14:textId="0447F9E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14B7F492" w14:textId="01DA615D"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F7CAAC" w:themeFill="accent2" w:themeFillTint="66"/>
          </w:tcPr>
          <w:p w14:paraId="702E3BBC" w14:textId="234CAB89"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FD78B1">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38B68C11" w14:textId="1EB94FA3"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4E2829E3" w14:textId="57224FD2"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right w:val="single" w:sz="12" w:space="0" w:color="auto"/>
            </w:tcBorders>
            <w:shd w:val="clear" w:color="auto" w:fill="C5E0B3" w:themeFill="accent6" w:themeFillTint="66"/>
            <w:vAlign w:val="center"/>
          </w:tcPr>
          <w:p w14:paraId="75DBCEC4" w14:textId="37E9432D"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6B64C9" w14:paraId="1E6CAE00" w14:textId="77777777" w:rsidTr="00D005A1">
        <w:tc>
          <w:tcPr>
            <w:tcW w:w="841" w:type="dxa"/>
            <w:vMerge/>
            <w:tcBorders>
              <w:left w:val="single" w:sz="12" w:space="0" w:color="auto"/>
              <w:bottom w:val="single" w:sz="12" w:space="0" w:color="auto"/>
            </w:tcBorders>
            <w:vAlign w:val="center"/>
          </w:tcPr>
          <w:p w14:paraId="43D8C476"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131" w:type="dxa"/>
            <w:tcBorders>
              <w:bottom w:val="single" w:sz="12" w:space="0" w:color="auto"/>
            </w:tcBorders>
            <w:vAlign w:val="center"/>
          </w:tcPr>
          <w:p w14:paraId="6DF5CB04" w14:textId="41906C9C"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Венлафаксін</w:t>
            </w:r>
          </w:p>
        </w:tc>
        <w:tc>
          <w:tcPr>
            <w:tcW w:w="992" w:type="dxa"/>
            <w:tcBorders>
              <w:bottom w:val="single" w:sz="12" w:space="0" w:color="auto"/>
            </w:tcBorders>
            <w:shd w:val="clear" w:color="auto" w:fill="C5E0B3" w:themeFill="accent6" w:themeFillTint="66"/>
            <w:vAlign w:val="center"/>
          </w:tcPr>
          <w:p w14:paraId="097A44BA"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C5E0B3" w:themeFill="accent6" w:themeFillTint="66"/>
            <w:vAlign w:val="center"/>
          </w:tcPr>
          <w:p w14:paraId="32AB592E" w14:textId="467C0FF1"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bottom w:val="single" w:sz="12" w:space="0" w:color="auto"/>
            </w:tcBorders>
            <w:shd w:val="clear" w:color="auto" w:fill="C5E0B3" w:themeFill="accent6" w:themeFillTint="66"/>
            <w:vAlign w:val="center"/>
          </w:tcPr>
          <w:p w14:paraId="728909BB" w14:textId="74A1C0AB"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F7CAAC" w:themeFill="accent2" w:themeFillTint="66"/>
          </w:tcPr>
          <w:p w14:paraId="0E474AD7" w14:textId="4D86BB99"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FD78B1">
              <w:rPr>
                <w:rFonts w:ascii="Times New Roman" w:hAnsi="Times New Roman" w:cs="Times New Roman"/>
                <w:b/>
                <w:color w:val="000000" w:themeColor="text1"/>
                <w:sz w:val="22"/>
                <w:szCs w:val="22"/>
                <w:lang w:val="uk-UA" w:eastAsia="ru-RU"/>
              </w:rPr>
              <w:t>■</w:t>
            </w:r>
          </w:p>
        </w:tc>
        <w:tc>
          <w:tcPr>
            <w:tcW w:w="850" w:type="dxa"/>
            <w:tcBorders>
              <w:bottom w:val="single" w:sz="12" w:space="0" w:color="auto"/>
            </w:tcBorders>
            <w:shd w:val="clear" w:color="auto" w:fill="C5E0B3" w:themeFill="accent6" w:themeFillTint="66"/>
            <w:vAlign w:val="center"/>
          </w:tcPr>
          <w:p w14:paraId="600ECFFA" w14:textId="59A36591"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C5E0B3" w:themeFill="accent6" w:themeFillTint="66"/>
            <w:vAlign w:val="center"/>
          </w:tcPr>
          <w:p w14:paraId="334D9AAA" w14:textId="3E528C62"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bottom w:val="single" w:sz="12" w:space="0" w:color="auto"/>
              <w:right w:val="single" w:sz="12" w:space="0" w:color="auto"/>
            </w:tcBorders>
            <w:shd w:val="clear" w:color="auto" w:fill="C5E0B3" w:themeFill="accent6" w:themeFillTint="66"/>
            <w:vAlign w:val="center"/>
          </w:tcPr>
          <w:p w14:paraId="4333345D" w14:textId="71C0E8BB"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6B64C9" w14:paraId="3126D5F3" w14:textId="77777777" w:rsidTr="00D005A1">
        <w:tc>
          <w:tcPr>
            <w:tcW w:w="841" w:type="dxa"/>
            <w:vMerge w:val="restart"/>
            <w:tcBorders>
              <w:top w:val="single" w:sz="12" w:space="0" w:color="auto"/>
              <w:left w:val="single" w:sz="12" w:space="0" w:color="auto"/>
            </w:tcBorders>
            <w:textDirection w:val="btLr"/>
            <w:vAlign w:val="center"/>
          </w:tcPr>
          <w:p w14:paraId="4A5C0426" w14:textId="41A6694B" w:rsidR="006B64C9" w:rsidRPr="00002FE3" w:rsidRDefault="006B64C9" w:rsidP="006B64C9">
            <w:pPr>
              <w:spacing w:beforeAutospacing="1" w:afterAutospacing="1"/>
              <w:ind w:left="113" w:right="113"/>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Антипсихотичні</w:t>
            </w:r>
          </w:p>
        </w:tc>
        <w:tc>
          <w:tcPr>
            <w:tcW w:w="2131" w:type="dxa"/>
            <w:tcBorders>
              <w:top w:val="single" w:sz="12" w:space="0" w:color="auto"/>
            </w:tcBorders>
            <w:vAlign w:val="center"/>
          </w:tcPr>
          <w:p w14:paraId="471810F4" w14:textId="4A616319"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Амісульпірид</w:t>
            </w:r>
          </w:p>
        </w:tc>
        <w:tc>
          <w:tcPr>
            <w:tcW w:w="992" w:type="dxa"/>
            <w:tcBorders>
              <w:top w:val="single" w:sz="12" w:space="0" w:color="auto"/>
            </w:tcBorders>
            <w:shd w:val="clear" w:color="auto" w:fill="C5E0B3" w:themeFill="accent6" w:themeFillTint="66"/>
            <w:vAlign w:val="center"/>
          </w:tcPr>
          <w:p w14:paraId="014F30BE"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C5E0B3" w:themeFill="accent6" w:themeFillTint="66"/>
            <w:vAlign w:val="center"/>
          </w:tcPr>
          <w:p w14:paraId="560DA32B" w14:textId="61941E48"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12" w:space="0" w:color="auto"/>
            </w:tcBorders>
            <w:shd w:val="clear" w:color="auto" w:fill="C5E0B3" w:themeFill="accent6" w:themeFillTint="66"/>
            <w:vAlign w:val="center"/>
          </w:tcPr>
          <w:p w14:paraId="643980A9" w14:textId="6E7F25E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C5E0B3" w:themeFill="accent6" w:themeFillTint="66"/>
            <w:vAlign w:val="center"/>
          </w:tcPr>
          <w:p w14:paraId="0D09C91C" w14:textId="4AB20F90"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12" w:space="0" w:color="auto"/>
            </w:tcBorders>
            <w:shd w:val="clear" w:color="auto" w:fill="C5E0B3" w:themeFill="accent6" w:themeFillTint="66"/>
            <w:vAlign w:val="center"/>
          </w:tcPr>
          <w:p w14:paraId="4B74F85C" w14:textId="7932ABB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C5E0B3" w:themeFill="accent6" w:themeFillTint="66"/>
            <w:vAlign w:val="center"/>
          </w:tcPr>
          <w:p w14:paraId="6168BC4F" w14:textId="5F472A38"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12" w:space="0" w:color="auto"/>
              <w:right w:val="single" w:sz="12" w:space="0" w:color="auto"/>
            </w:tcBorders>
            <w:shd w:val="clear" w:color="auto" w:fill="C5E0B3" w:themeFill="accent6" w:themeFillTint="66"/>
            <w:vAlign w:val="center"/>
          </w:tcPr>
          <w:p w14:paraId="0A0D0934" w14:textId="607C4A6A"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6B64C9" w14:paraId="7C89E010" w14:textId="77777777" w:rsidTr="00D005A1">
        <w:tc>
          <w:tcPr>
            <w:tcW w:w="841" w:type="dxa"/>
            <w:vMerge/>
            <w:tcBorders>
              <w:left w:val="single" w:sz="12" w:space="0" w:color="auto"/>
            </w:tcBorders>
            <w:vAlign w:val="center"/>
          </w:tcPr>
          <w:p w14:paraId="39EA9EC0"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131" w:type="dxa"/>
            <w:vAlign w:val="center"/>
          </w:tcPr>
          <w:p w14:paraId="78D8EC8F" w14:textId="50552C74"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Аріпіпразол</w:t>
            </w:r>
          </w:p>
        </w:tc>
        <w:tc>
          <w:tcPr>
            <w:tcW w:w="992" w:type="dxa"/>
            <w:shd w:val="clear" w:color="auto" w:fill="C5E0B3" w:themeFill="accent6" w:themeFillTint="66"/>
            <w:vAlign w:val="center"/>
          </w:tcPr>
          <w:p w14:paraId="34F82EB9"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302543F4" w14:textId="4FFC5B55"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20ACABD4" w14:textId="47BD6C98"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F7CAAC" w:themeFill="accent2" w:themeFillTint="66"/>
          </w:tcPr>
          <w:p w14:paraId="1B48A2BC" w14:textId="1D1266CB"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3F5D2D">
              <w:rPr>
                <w:rFonts w:ascii="Times New Roman" w:hAnsi="Times New Roman" w:cs="Times New Roman"/>
                <w:b/>
                <w:color w:val="000000" w:themeColor="text1"/>
                <w:sz w:val="22"/>
                <w:szCs w:val="22"/>
                <w:lang w:val="uk-UA" w:eastAsia="ru-RU"/>
              </w:rPr>
              <w:t>■</w:t>
            </w:r>
          </w:p>
        </w:tc>
        <w:tc>
          <w:tcPr>
            <w:tcW w:w="850" w:type="dxa"/>
            <w:shd w:val="clear" w:color="auto" w:fill="F7CAAC" w:themeFill="accent2" w:themeFillTint="66"/>
            <w:vAlign w:val="center"/>
          </w:tcPr>
          <w:p w14:paraId="4C97BB0C" w14:textId="2E8F79DC"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3F5D2D">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73EF9066" w14:textId="4C3CAA91"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right w:val="single" w:sz="12" w:space="0" w:color="auto"/>
            </w:tcBorders>
            <w:shd w:val="clear" w:color="auto" w:fill="F7CAAC" w:themeFill="accent2" w:themeFillTint="66"/>
            <w:vAlign w:val="center"/>
          </w:tcPr>
          <w:p w14:paraId="48839F7A" w14:textId="11399E0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3F5D2D">
              <w:rPr>
                <w:rFonts w:ascii="Times New Roman" w:hAnsi="Times New Roman" w:cs="Times New Roman"/>
                <w:b/>
                <w:color w:val="000000" w:themeColor="text1"/>
                <w:sz w:val="22"/>
                <w:szCs w:val="22"/>
                <w:lang w:val="uk-UA" w:eastAsia="ru-RU"/>
              </w:rPr>
              <w:t>■</w:t>
            </w:r>
          </w:p>
        </w:tc>
      </w:tr>
      <w:tr w:rsidR="006B64C9" w14:paraId="4B2D751B" w14:textId="77777777" w:rsidTr="00D005A1">
        <w:tc>
          <w:tcPr>
            <w:tcW w:w="841" w:type="dxa"/>
            <w:vMerge/>
            <w:tcBorders>
              <w:left w:val="single" w:sz="12" w:space="0" w:color="auto"/>
            </w:tcBorders>
            <w:vAlign w:val="center"/>
          </w:tcPr>
          <w:p w14:paraId="5065B05C"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131" w:type="dxa"/>
            <w:vAlign w:val="center"/>
          </w:tcPr>
          <w:p w14:paraId="682B9EA6" w14:textId="497D59DC"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Хлорпромазин</w:t>
            </w:r>
          </w:p>
        </w:tc>
        <w:tc>
          <w:tcPr>
            <w:tcW w:w="992" w:type="dxa"/>
            <w:shd w:val="clear" w:color="auto" w:fill="C5E0B3" w:themeFill="accent6" w:themeFillTint="66"/>
            <w:vAlign w:val="center"/>
          </w:tcPr>
          <w:p w14:paraId="6C722F5A"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738F82DB" w14:textId="415DB1C4"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639C12CD" w14:textId="0330E50C"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F7CAAC" w:themeFill="accent2" w:themeFillTint="66"/>
          </w:tcPr>
          <w:p w14:paraId="758A3D6D" w14:textId="6347B34F"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3F5D2D">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53638192" w14:textId="5C3870F0"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2B6EAB5C" w14:textId="15920332"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right w:val="single" w:sz="12" w:space="0" w:color="auto"/>
            </w:tcBorders>
            <w:shd w:val="clear" w:color="auto" w:fill="C5E0B3" w:themeFill="accent6" w:themeFillTint="66"/>
            <w:vAlign w:val="center"/>
          </w:tcPr>
          <w:p w14:paraId="4FB0C2C9" w14:textId="798D2EEF"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6B64C9" w14:paraId="64F2B4CB" w14:textId="77777777" w:rsidTr="00D005A1">
        <w:tc>
          <w:tcPr>
            <w:tcW w:w="841" w:type="dxa"/>
            <w:vMerge/>
            <w:tcBorders>
              <w:left w:val="single" w:sz="12" w:space="0" w:color="auto"/>
            </w:tcBorders>
            <w:vAlign w:val="center"/>
          </w:tcPr>
          <w:p w14:paraId="29F26FB7"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131" w:type="dxa"/>
            <w:tcBorders>
              <w:bottom w:val="single" w:sz="4" w:space="0" w:color="auto"/>
            </w:tcBorders>
            <w:vAlign w:val="center"/>
          </w:tcPr>
          <w:p w14:paraId="54B49054" w14:textId="50E4B43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Клозапін</w:t>
            </w:r>
          </w:p>
        </w:tc>
        <w:tc>
          <w:tcPr>
            <w:tcW w:w="992" w:type="dxa"/>
            <w:tcBorders>
              <w:bottom w:val="single" w:sz="4" w:space="0" w:color="auto"/>
            </w:tcBorders>
            <w:shd w:val="clear" w:color="auto" w:fill="C5E0B3" w:themeFill="accent6" w:themeFillTint="66"/>
            <w:vAlign w:val="center"/>
          </w:tcPr>
          <w:p w14:paraId="2E11BFFB"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4" w:space="0" w:color="auto"/>
            </w:tcBorders>
            <w:shd w:val="clear" w:color="auto" w:fill="C5E0B3" w:themeFill="accent6" w:themeFillTint="66"/>
            <w:vAlign w:val="center"/>
          </w:tcPr>
          <w:p w14:paraId="79FED560" w14:textId="4A5D4E13"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bottom w:val="single" w:sz="4" w:space="0" w:color="auto"/>
            </w:tcBorders>
            <w:shd w:val="clear" w:color="auto" w:fill="C5E0B3" w:themeFill="accent6" w:themeFillTint="66"/>
            <w:vAlign w:val="center"/>
          </w:tcPr>
          <w:p w14:paraId="404CB1DF" w14:textId="08C055F3"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4" w:space="0" w:color="auto"/>
            </w:tcBorders>
            <w:shd w:val="clear" w:color="auto" w:fill="F7CAAC" w:themeFill="accent2" w:themeFillTint="66"/>
          </w:tcPr>
          <w:p w14:paraId="5950845D" w14:textId="0E38A8F6"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3F5D2D">
              <w:rPr>
                <w:rFonts w:ascii="Times New Roman" w:hAnsi="Times New Roman" w:cs="Times New Roman"/>
                <w:b/>
                <w:color w:val="000000" w:themeColor="text1"/>
                <w:sz w:val="22"/>
                <w:szCs w:val="22"/>
                <w:lang w:val="uk-UA" w:eastAsia="ru-RU"/>
              </w:rPr>
              <w:t>■</w:t>
            </w:r>
          </w:p>
        </w:tc>
        <w:tc>
          <w:tcPr>
            <w:tcW w:w="850" w:type="dxa"/>
            <w:tcBorders>
              <w:bottom w:val="single" w:sz="4" w:space="0" w:color="auto"/>
            </w:tcBorders>
            <w:shd w:val="clear" w:color="auto" w:fill="C5E0B3" w:themeFill="accent6" w:themeFillTint="66"/>
            <w:vAlign w:val="center"/>
          </w:tcPr>
          <w:p w14:paraId="00F2C126" w14:textId="623F2821"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4" w:space="0" w:color="auto"/>
            </w:tcBorders>
            <w:shd w:val="clear" w:color="auto" w:fill="C5E0B3" w:themeFill="accent6" w:themeFillTint="66"/>
            <w:vAlign w:val="center"/>
          </w:tcPr>
          <w:p w14:paraId="7BE88EB7" w14:textId="69B38C3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bottom w:val="single" w:sz="4" w:space="0" w:color="auto"/>
              <w:right w:val="single" w:sz="12" w:space="0" w:color="auto"/>
            </w:tcBorders>
            <w:shd w:val="clear" w:color="auto" w:fill="F7CAAC" w:themeFill="accent2" w:themeFillTint="66"/>
            <w:vAlign w:val="center"/>
          </w:tcPr>
          <w:p w14:paraId="23B8005D" w14:textId="0D9E6B92"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3F5D2D">
              <w:rPr>
                <w:rFonts w:ascii="Times New Roman" w:hAnsi="Times New Roman" w:cs="Times New Roman"/>
                <w:b/>
                <w:color w:val="000000" w:themeColor="text1"/>
                <w:sz w:val="22"/>
                <w:szCs w:val="22"/>
                <w:lang w:val="uk-UA" w:eastAsia="ru-RU"/>
              </w:rPr>
              <w:t>■</w:t>
            </w:r>
          </w:p>
        </w:tc>
      </w:tr>
      <w:tr w:rsidR="006B64C9" w14:paraId="3EDB15A0" w14:textId="77777777" w:rsidTr="00D005A1">
        <w:tc>
          <w:tcPr>
            <w:tcW w:w="841" w:type="dxa"/>
            <w:vMerge/>
            <w:tcBorders>
              <w:left w:val="single" w:sz="12" w:space="0" w:color="auto"/>
            </w:tcBorders>
            <w:vAlign w:val="center"/>
          </w:tcPr>
          <w:p w14:paraId="4E0EB4C0"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131" w:type="dxa"/>
            <w:tcBorders>
              <w:bottom w:val="single" w:sz="6" w:space="0" w:color="auto"/>
              <w:right w:val="single" w:sz="6" w:space="0" w:color="auto"/>
            </w:tcBorders>
            <w:vAlign w:val="center"/>
          </w:tcPr>
          <w:p w14:paraId="2538FDE5" w14:textId="54E530E5"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Флупентіксол</w:t>
            </w:r>
          </w:p>
        </w:tc>
        <w:tc>
          <w:tcPr>
            <w:tcW w:w="992" w:type="dxa"/>
            <w:tcBorders>
              <w:left w:val="single" w:sz="6" w:space="0" w:color="auto"/>
              <w:bottom w:val="single" w:sz="6" w:space="0" w:color="auto"/>
              <w:right w:val="single" w:sz="6" w:space="0" w:color="auto"/>
            </w:tcBorders>
            <w:shd w:val="clear" w:color="auto" w:fill="C5E0B3" w:themeFill="accent6" w:themeFillTint="66"/>
            <w:vAlign w:val="center"/>
          </w:tcPr>
          <w:p w14:paraId="1671135C"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left w:val="single" w:sz="6" w:space="0" w:color="auto"/>
              <w:bottom w:val="single" w:sz="6" w:space="0" w:color="auto"/>
              <w:right w:val="single" w:sz="6" w:space="0" w:color="auto"/>
            </w:tcBorders>
            <w:shd w:val="clear" w:color="auto" w:fill="C5E0B3" w:themeFill="accent6" w:themeFillTint="66"/>
            <w:vAlign w:val="center"/>
          </w:tcPr>
          <w:p w14:paraId="0B0069BF" w14:textId="6A827BC4"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left w:val="single" w:sz="6" w:space="0" w:color="auto"/>
              <w:bottom w:val="single" w:sz="6" w:space="0" w:color="auto"/>
              <w:right w:val="single" w:sz="6" w:space="0" w:color="auto"/>
            </w:tcBorders>
            <w:shd w:val="clear" w:color="auto" w:fill="C5E0B3" w:themeFill="accent6" w:themeFillTint="66"/>
            <w:vAlign w:val="center"/>
          </w:tcPr>
          <w:p w14:paraId="29E57624" w14:textId="109F55F5"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left w:val="single" w:sz="6" w:space="0" w:color="auto"/>
              <w:bottom w:val="single" w:sz="6" w:space="0" w:color="auto"/>
              <w:right w:val="single" w:sz="6" w:space="0" w:color="auto"/>
            </w:tcBorders>
            <w:shd w:val="clear" w:color="auto" w:fill="F7CAAC" w:themeFill="accent2" w:themeFillTint="66"/>
          </w:tcPr>
          <w:p w14:paraId="62F20DEE" w14:textId="2F03DD4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3F5D2D">
              <w:rPr>
                <w:rFonts w:ascii="Times New Roman" w:hAnsi="Times New Roman" w:cs="Times New Roman"/>
                <w:b/>
                <w:color w:val="000000" w:themeColor="text1"/>
                <w:sz w:val="22"/>
                <w:szCs w:val="22"/>
                <w:lang w:val="uk-UA" w:eastAsia="ru-RU"/>
              </w:rPr>
              <w:t>■</w:t>
            </w:r>
          </w:p>
        </w:tc>
        <w:tc>
          <w:tcPr>
            <w:tcW w:w="850" w:type="dxa"/>
            <w:tcBorders>
              <w:left w:val="single" w:sz="6" w:space="0" w:color="auto"/>
              <w:bottom w:val="single" w:sz="6" w:space="0" w:color="auto"/>
              <w:right w:val="single" w:sz="6" w:space="0" w:color="auto"/>
            </w:tcBorders>
            <w:shd w:val="clear" w:color="auto" w:fill="C5E0B3" w:themeFill="accent6" w:themeFillTint="66"/>
            <w:vAlign w:val="center"/>
          </w:tcPr>
          <w:p w14:paraId="7B0D4EE8" w14:textId="3419D8B4"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left w:val="single" w:sz="6" w:space="0" w:color="auto"/>
              <w:bottom w:val="single" w:sz="6" w:space="0" w:color="auto"/>
              <w:right w:val="single" w:sz="6" w:space="0" w:color="auto"/>
            </w:tcBorders>
            <w:shd w:val="clear" w:color="auto" w:fill="C5E0B3" w:themeFill="accent6" w:themeFillTint="66"/>
            <w:vAlign w:val="center"/>
          </w:tcPr>
          <w:p w14:paraId="48990641" w14:textId="1452486E"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left w:val="single" w:sz="6" w:space="0" w:color="auto"/>
              <w:bottom w:val="single" w:sz="6" w:space="0" w:color="auto"/>
              <w:right w:val="single" w:sz="4" w:space="0" w:color="auto"/>
            </w:tcBorders>
            <w:shd w:val="clear" w:color="auto" w:fill="C5E0B3" w:themeFill="accent6" w:themeFillTint="66"/>
            <w:vAlign w:val="center"/>
          </w:tcPr>
          <w:p w14:paraId="3191BBB6" w14:textId="0B5E9FEC"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6B64C9" w14:paraId="4F260775" w14:textId="77777777" w:rsidTr="00D005A1">
        <w:tc>
          <w:tcPr>
            <w:tcW w:w="841" w:type="dxa"/>
            <w:vMerge/>
            <w:tcBorders>
              <w:left w:val="single" w:sz="12" w:space="0" w:color="auto"/>
            </w:tcBorders>
            <w:textDirection w:val="btLr"/>
            <w:vAlign w:val="center"/>
          </w:tcPr>
          <w:p w14:paraId="75D9732A" w14:textId="43C523E7" w:rsidR="006B64C9" w:rsidRPr="00002FE3" w:rsidRDefault="006B64C9" w:rsidP="006B64C9">
            <w:pPr>
              <w:spacing w:beforeAutospacing="1" w:afterAutospacing="1"/>
              <w:ind w:left="113" w:right="113"/>
              <w:jc w:val="center"/>
              <w:textAlignment w:val="baseline"/>
              <w:rPr>
                <w:rFonts w:ascii="Times New Roman" w:hAnsi="Times New Roman" w:cs="Times New Roman"/>
                <w:b/>
                <w:color w:val="000000" w:themeColor="text1"/>
                <w:sz w:val="22"/>
                <w:szCs w:val="22"/>
                <w:lang w:val="uk-UA" w:eastAsia="ru-RU"/>
              </w:rPr>
            </w:pPr>
          </w:p>
        </w:tc>
        <w:tc>
          <w:tcPr>
            <w:tcW w:w="2131" w:type="dxa"/>
            <w:tcBorders>
              <w:top w:val="single" w:sz="6" w:space="0" w:color="auto"/>
              <w:right w:val="single" w:sz="6" w:space="0" w:color="auto"/>
            </w:tcBorders>
            <w:vAlign w:val="center"/>
          </w:tcPr>
          <w:p w14:paraId="3223FC82" w14:textId="569844D4"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Галоперідол</w:t>
            </w:r>
          </w:p>
        </w:tc>
        <w:tc>
          <w:tcPr>
            <w:tcW w:w="992" w:type="dxa"/>
            <w:tcBorders>
              <w:top w:val="single" w:sz="6" w:space="0" w:color="auto"/>
              <w:left w:val="single" w:sz="6" w:space="0" w:color="auto"/>
              <w:right w:val="single" w:sz="6" w:space="0" w:color="auto"/>
            </w:tcBorders>
            <w:shd w:val="clear" w:color="auto" w:fill="C5E0B3" w:themeFill="accent6" w:themeFillTint="66"/>
            <w:vAlign w:val="center"/>
          </w:tcPr>
          <w:p w14:paraId="299AD095"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6" w:space="0" w:color="auto"/>
              <w:left w:val="single" w:sz="6" w:space="0" w:color="auto"/>
              <w:right w:val="single" w:sz="6" w:space="0" w:color="auto"/>
            </w:tcBorders>
            <w:shd w:val="clear" w:color="auto" w:fill="C5E0B3" w:themeFill="accent6" w:themeFillTint="66"/>
            <w:vAlign w:val="center"/>
          </w:tcPr>
          <w:p w14:paraId="3340B74D" w14:textId="7C52AF2B"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6" w:space="0" w:color="auto"/>
              <w:left w:val="single" w:sz="6" w:space="0" w:color="auto"/>
              <w:right w:val="single" w:sz="6" w:space="0" w:color="auto"/>
            </w:tcBorders>
            <w:shd w:val="clear" w:color="auto" w:fill="C5E0B3" w:themeFill="accent6" w:themeFillTint="66"/>
            <w:vAlign w:val="center"/>
          </w:tcPr>
          <w:p w14:paraId="54C4D046" w14:textId="6D670B4F"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6" w:space="0" w:color="auto"/>
              <w:left w:val="single" w:sz="6" w:space="0" w:color="auto"/>
              <w:right w:val="single" w:sz="6" w:space="0" w:color="auto"/>
            </w:tcBorders>
            <w:shd w:val="clear" w:color="auto" w:fill="F7CAAC" w:themeFill="accent2" w:themeFillTint="66"/>
          </w:tcPr>
          <w:p w14:paraId="1D76FC53" w14:textId="163948DB"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3F5D2D">
              <w:rPr>
                <w:rFonts w:ascii="Times New Roman" w:hAnsi="Times New Roman" w:cs="Times New Roman"/>
                <w:b/>
                <w:color w:val="000000" w:themeColor="text1"/>
                <w:sz w:val="22"/>
                <w:szCs w:val="22"/>
                <w:lang w:val="uk-UA" w:eastAsia="ru-RU"/>
              </w:rPr>
              <w:t>■</w:t>
            </w:r>
          </w:p>
        </w:tc>
        <w:tc>
          <w:tcPr>
            <w:tcW w:w="850" w:type="dxa"/>
            <w:tcBorders>
              <w:top w:val="single" w:sz="6" w:space="0" w:color="auto"/>
              <w:left w:val="single" w:sz="6" w:space="0" w:color="auto"/>
              <w:right w:val="single" w:sz="6" w:space="0" w:color="auto"/>
            </w:tcBorders>
            <w:shd w:val="clear" w:color="auto" w:fill="C5E0B3" w:themeFill="accent6" w:themeFillTint="66"/>
            <w:vAlign w:val="center"/>
          </w:tcPr>
          <w:p w14:paraId="78BACF65" w14:textId="026918BC"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6" w:space="0" w:color="auto"/>
              <w:left w:val="single" w:sz="6" w:space="0" w:color="auto"/>
              <w:right w:val="single" w:sz="6" w:space="0" w:color="auto"/>
            </w:tcBorders>
            <w:shd w:val="clear" w:color="auto" w:fill="C5E0B3" w:themeFill="accent6" w:themeFillTint="66"/>
            <w:vAlign w:val="center"/>
          </w:tcPr>
          <w:p w14:paraId="31B34E54" w14:textId="34DEBC16"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6" w:space="0" w:color="auto"/>
              <w:left w:val="single" w:sz="6" w:space="0" w:color="auto"/>
              <w:right w:val="single" w:sz="4" w:space="0" w:color="auto"/>
            </w:tcBorders>
            <w:shd w:val="clear" w:color="auto" w:fill="C5E0B3" w:themeFill="accent6" w:themeFillTint="66"/>
            <w:vAlign w:val="center"/>
          </w:tcPr>
          <w:p w14:paraId="46D0B113" w14:textId="08CA4144"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6B64C9" w14:paraId="5B03B157" w14:textId="77777777" w:rsidTr="00D005A1">
        <w:tc>
          <w:tcPr>
            <w:tcW w:w="841" w:type="dxa"/>
            <w:vMerge/>
            <w:tcBorders>
              <w:left w:val="single" w:sz="12" w:space="0" w:color="auto"/>
            </w:tcBorders>
            <w:vAlign w:val="center"/>
          </w:tcPr>
          <w:p w14:paraId="00F90061"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131" w:type="dxa"/>
            <w:vAlign w:val="center"/>
          </w:tcPr>
          <w:p w14:paraId="6B9039CA" w14:textId="744954B4"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Оланзапін</w:t>
            </w:r>
          </w:p>
        </w:tc>
        <w:tc>
          <w:tcPr>
            <w:tcW w:w="992" w:type="dxa"/>
            <w:shd w:val="clear" w:color="auto" w:fill="C5E0B3" w:themeFill="accent6" w:themeFillTint="66"/>
            <w:vAlign w:val="center"/>
          </w:tcPr>
          <w:p w14:paraId="1705EF33"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59B63D6F" w14:textId="365BA80D"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3F5FB739" w14:textId="4D315C6E"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F7CAAC" w:themeFill="accent2" w:themeFillTint="66"/>
          </w:tcPr>
          <w:p w14:paraId="5604CEC3" w14:textId="3104091E"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3F5D2D">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117CEC81" w14:textId="6F86FF83"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0089C64B" w14:textId="0AC3263F"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right w:val="single" w:sz="12" w:space="0" w:color="auto"/>
            </w:tcBorders>
            <w:shd w:val="clear" w:color="auto" w:fill="C5E0B3" w:themeFill="accent6" w:themeFillTint="66"/>
            <w:vAlign w:val="center"/>
          </w:tcPr>
          <w:p w14:paraId="4088CBEA" w14:textId="1003B384"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6B64C9" w14:paraId="6841D790" w14:textId="77777777" w:rsidTr="00D005A1">
        <w:tc>
          <w:tcPr>
            <w:tcW w:w="841" w:type="dxa"/>
            <w:vMerge/>
            <w:tcBorders>
              <w:left w:val="single" w:sz="12" w:space="0" w:color="auto"/>
            </w:tcBorders>
            <w:vAlign w:val="center"/>
          </w:tcPr>
          <w:p w14:paraId="37B73A09"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131" w:type="dxa"/>
            <w:vAlign w:val="center"/>
          </w:tcPr>
          <w:p w14:paraId="0B3A4689" w14:textId="467DEB9D"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Паліперідон</w:t>
            </w:r>
          </w:p>
        </w:tc>
        <w:tc>
          <w:tcPr>
            <w:tcW w:w="992" w:type="dxa"/>
            <w:shd w:val="clear" w:color="auto" w:fill="C5E0B3" w:themeFill="accent6" w:themeFillTint="66"/>
            <w:vAlign w:val="center"/>
          </w:tcPr>
          <w:p w14:paraId="55B0B263"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F7CAAC" w:themeFill="accent2" w:themeFillTint="66"/>
            <w:vAlign w:val="center"/>
          </w:tcPr>
          <w:p w14:paraId="76B857C7" w14:textId="2E397643"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190C6901" w14:textId="0271AC61"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0C24FAA6" w14:textId="445AEB0D"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01B05706" w14:textId="48BA2240"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F7CAAC" w:themeFill="accent2" w:themeFillTint="66"/>
            <w:vAlign w:val="center"/>
          </w:tcPr>
          <w:p w14:paraId="650734CE" w14:textId="34098D69"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3F5D2D">
              <w:rPr>
                <w:rFonts w:ascii="Times New Roman" w:hAnsi="Times New Roman" w:cs="Times New Roman"/>
                <w:b/>
                <w:color w:val="000000" w:themeColor="text1"/>
                <w:sz w:val="22"/>
                <w:szCs w:val="22"/>
                <w:lang w:val="uk-UA" w:eastAsia="ru-RU"/>
              </w:rPr>
              <w:t>■</w:t>
            </w:r>
          </w:p>
        </w:tc>
        <w:tc>
          <w:tcPr>
            <w:tcW w:w="850" w:type="dxa"/>
            <w:tcBorders>
              <w:right w:val="single" w:sz="12" w:space="0" w:color="auto"/>
            </w:tcBorders>
            <w:shd w:val="clear" w:color="auto" w:fill="F7CAAC" w:themeFill="accent2" w:themeFillTint="66"/>
            <w:vAlign w:val="center"/>
          </w:tcPr>
          <w:p w14:paraId="6081A272" w14:textId="5891DDB1"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w:t>
            </w:r>
          </w:p>
        </w:tc>
      </w:tr>
      <w:tr w:rsidR="006B64C9" w14:paraId="17FF64FD" w14:textId="77777777" w:rsidTr="00D005A1">
        <w:tc>
          <w:tcPr>
            <w:tcW w:w="841" w:type="dxa"/>
            <w:vMerge/>
            <w:tcBorders>
              <w:left w:val="single" w:sz="12" w:space="0" w:color="auto"/>
            </w:tcBorders>
            <w:vAlign w:val="center"/>
          </w:tcPr>
          <w:p w14:paraId="40F79B96"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131" w:type="dxa"/>
            <w:vAlign w:val="center"/>
          </w:tcPr>
          <w:p w14:paraId="76188F06" w14:textId="4B4C59AA"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Кветіапін</w:t>
            </w:r>
          </w:p>
        </w:tc>
        <w:tc>
          <w:tcPr>
            <w:tcW w:w="992" w:type="dxa"/>
            <w:shd w:val="clear" w:color="auto" w:fill="C5E0B3" w:themeFill="accent6" w:themeFillTint="66"/>
            <w:vAlign w:val="center"/>
          </w:tcPr>
          <w:p w14:paraId="2733C89A"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08A37352" w14:textId="015F9988"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018BCD2F" w14:textId="28C6E674"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FF5050"/>
            <w:vAlign w:val="center"/>
          </w:tcPr>
          <w:p w14:paraId="6B4B46FC" w14:textId="762AE44E"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shd w:val="clear" w:color="auto" w:fill="F7CAAC" w:themeFill="accent2" w:themeFillTint="66"/>
            <w:vAlign w:val="center"/>
          </w:tcPr>
          <w:p w14:paraId="41EF1341" w14:textId="5270F970"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3F5D2D">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0BC2849A" w14:textId="3A4E8956"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right w:val="single" w:sz="12" w:space="0" w:color="auto"/>
            </w:tcBorders>
            <w:shd w:val="clear" w:color="auto" w:fill="F7CAAC" w:themeFill="accent2" w:themeFillTint="66"/>
            <w:vAlign w:val="center"/>
          </w:tcPr>
          <w:p w14:paraId="4065AF35" w14:textId="24A7A2AA"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3F5D2D">
              <w:rPr>
                <w:rFonts w:ascii="Times New Roman" w:hAnsi="Times New Roman" w:cs="Times New Roman"/>
                <w:b/>
                <w:color w:val="000000" w:themeColor="text1"/>
                <w:sz w:val="22"/>
                <w:szCs w:val="22"/>
                <w:lang w:val="uk-UA" w:eastAsia="ru-RU"/>
              </w:rPr>
              <w:t>■</w:t>
            </w:r>
          </w:p>
        </w:tc>
      </w:tr>
      <w:tr w:rsidR="006B64C9" w14:paraId="0A07E387" w14:textId="77777777" w:rsidTr="00D005A1">
        <w:tc>
          <w:tcPr>
            <w:tcW w:w="841" w:type="dxa"/>
            <w:vMerge/>
            <w:tcBorders>
              <w:left w:val="single" w:sz="12" w:space="0" w:color="auto"/>
            </w:tcBorders>
            <w:vAlign w:val="center"/>
          </w:tcPr>
          <w:p w14:paraId="3BD2047E"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131" w:type="dxa"/>
            <w:vAlign w:val="center"/>
          </w:tcPr>
          <w:p w14:paraId="030333AA" w14:textId="76CC83E6" w:rsidR="006B64C9" w:rsidRPr="00002FE3" w:rsidRDefault="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Рісперидон</w:t>
            </w:r>
          </w:p>
        </w:tc>
        <w:tc>
          <w:tcPr>
            <w:tcW w:w="992" w:type="dxa"/>
            <w:shd w:val="clear" w:color="auto" w:fill="C5E0B3" w:themeFill="accent6" w:themeFillTint="66"/>
            <w:vAlign w:val="center"/>
          </w:tcPr>
          <w:p w14:paraId="2CE1A4BA"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67792E3D" w14:textId="2F2649A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2EEFD39F" w14:textId="62DDCDEC"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F7CAAC" w:themeFill="accent2" w:themeFillTint="66"/>
          </w:tcPr>
          <w:p w14:paraId="41963F19" w14:textId="6E4F3DF3"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B50E7A">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3BFF6EBC" w14:textId="1475B0C0"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5147F52B" w14:textId="3B695DCA"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right w:val="single" w:sz="12" w:space="0" w:color="auto"/>
            </w:tcBorders>
            <w:shd w:val="clear" w:color="auto" w:fill="C5E0B3" w:themeFill="accent6" w:themeFillTint="66"/>
            <w:vAlign w:val="center"/>
          </w:tcPr>
          <w:p w14:paraId="5095486A" w14:textId="17829B76"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6B64C9" w14:paraId="0B295499" w14:textId="77777777" w:rsidTr="00D005A1">
        <w:tc>
          <w:tcPr>
            <w:tcW w:w="841" w:type="dxa"/>
            <w:vMerge/>
            <w:tcBorders>
              <w:left w:val="single" w:sz="12" w:space="0" w:color="auto"/>
              <w:bottom w:val="single" w:sz="12" w:space="0" w:color="auto"/>
            </w:tcBorders>
            <w:vAlign w:val="center"/>
          </w:tcPr>
          <w:p w14:paraId="3A38AABF" w14:textId="77777777"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2131" w:type="dxa"/>
            <w:tcBorders>
              <w:bottom w:val="single" w:sz="12" w:space="0" w:color="auto"/>
            </w:tcBorders>
            <w:vAlign w:val="center"/>
          </w:tcPr>
          <w:p w14:paraId="2AFB3409" w14:textId="3731FA94" w:rsidR="006B64C9"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Циклопентіксол</w:t>
            </w:r>
          </w:p>
        </w:tc>
        <w:tc>
          <w:tcPr>
            <w:tcW w:w="992" w:type="dxa"/>
            <w:tcBorders>
              <w:bottom w:val="single" w:sz="12" w:space="0" w:color="auto"/>
            </w:tcBorders>
            <w:shd w:val="clear" w:color="auto" w:fill="C5E0B3" w:themeFill="accent6" w:themeFillTint="66"/>
            <w:vAlign w:val="center"/>
          </w:tcPr>
          <w:p w14:paraId="0207FE29" w14:textId="3CFCD8FA"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C5E0B3" w:themeFill="accent6" w:themeFillTint="66"/>
            <w:vAlign w:val="center"/>
          </w:tcPr>
          <w:p w14:paraId="07AE29EA" w14:textId="6AE46761"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bottom w:val="single" w:sz="12" w:space="0" w:color="auto"/>
            </w:tcBorders>
            <w:shd w:val="clear" w:color="auto" w:fill="C5E0B3" w:themeFill="accent6" w:themeFillTint="66"/>
            <w:vAlign w:val="center"/>
          </w:tcPr>
          <w:p w14:paraId="3F8AA045" w14:textId="7231B91D"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F7CAAC" w:themeFill="accent2" w:themeFillTint="66"/>
          </w:tcPr>
          <w:p w14:paraId="4433529F" w14:textId="6E42E7B4"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B50E7A">
              <w:rPr>
                <w:rFonts w:ascii="Times New Roman" w:hAnsi="Times New Roman" w:cs="Times New Roman"/>
                <w:b/>
                <w:color w:val="000000" w:themeColor="text1"/>
                <w:sz w:val="22"/>
                <w:szCs w:val="22"/>
                <w:lang w:val="uk-UA" w:eastAsia="ru-RU"/>
              </w:rPr>
              <w:t>■</w:t>
            </w:r>
          </w:p>
        </w:tc>
        <w:tc>
          <w:tcPr>
            <w:tcW w:w="850" w:type="dxa"/>
            <w:tcBorders>
              <w:bottom w:val="single" w:sz="12" w:space="0" w:color="auto"/>
            </w:tcBorders>
            <w:shd w:val="clear" w:color="auto" w:fill="C5E0B3" w:themeFill="accent6" w:themeFillTint="66"/>
            <w:vAlign w:val="center"/>
          </w:tcPr>
          <w:p w14:paraId="7FF566F7" w14:textId="020A6209"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C5E0B3" w:themeFill="accent6" w:themeFillTint="66"/>
            <w:vAlign w:val="center"/>
          </w:tcPr>
          <w:p w14:paraId="047BFD55" w14:textId="543FE61F"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bottom w:val="single" w:sz="12" w:space="0" w:color="auto"/>
              <w:right w:val="single" w:sz="12" w:space="0" w:color="auto"/>
            </w:tcBorders>
            <w:shd w:val="clear" w:color="auto" w:fill="C5E0B3" w:themeFill="accent6" w:themeFillTint="66"/>
            <w:vAlign w:val="center"/>
          </w:tcPr>
          <w:p w14:paraId="23B25310" w14:textId="0892C3EE" w:rsidR="006B64C9" w:rsidRPr="00002FE3" w:rsidRDefault="006B64C9" w:rsidP="006B64C9">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bl>
    <w:p w14:paraId="7E83B9CE" w14:textId="5BB1EE74" w:rsidR="0017049B" w:rsidRDefault="0017049B" w:rsidP="005312A2">
      <w:pPr>
        <w:tabs>
          <w:tab w:val="left" w:pos="1089"/>
        </w:tabs>
        <w:rPr>
          <w:rFonts w:ascii="Times New Roman" w:hAnsi="Times New Roman" w:cs="Times New Roman"/>
          <w:b/>
          <w:color w:val="000000" w:themeColor="text1"/>
          <w:lang w:val="uk-UA"/>
        </w:rPr>
      </w:pPr>
    </w:p>
    <w:tbl>
      <w:tblPr>
        <w:tblStyle w:val="a6"/>
        <w:tblW w:w="0" w:type="auto"/>
        <w:tblInd w:w="-5" w:type="dxa"/>
        <w:tblLook w:val="04A0" w:firstRow="1" w:lastRow="0" w:firstColumn="1" w:lastColumn="0" w:noHBand="0" w:noVBand="1"/>
      </w:tblPr>
      <w:tblGrid>
        <w:gridCol w:w="486"/>
        <w:gridCol w:w="9060"/>
      </w:tblGrid>
      <w:tr w:rsidR="002E47FC" w14:paraId="78FDDE1C" w14:textId="77777777" w:rsidTr="00DC3BDB">
        <w:tc>
          <w:tcPr>
            <w:tcW w:w="486" w:type="dxa"/>
            <w:shd w:val="clear" w:color="auto" w:fill="C5E0B3" w:themeFill="accent6" w:themeFillTint="66"/>
          </w:tcPr>
          <w:p w14:paraId="3D727095" w14:textId="77777777" w:rsidR="002E47FC" w:rsidRDefault="002E47FC" w:rsidP="002E47FC">
            <w:pPr>
              <w:spacing w:beforeAutospacing="1" w:afterAutospacing="1"/>
              <w:jc w:val="center"/>
              <w:textAlignment w:val="baseline"/>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6A55CF48" w14:textId="77777777" w:rsidR="002E47FC" w:rsidRDefault="002E47FC" w:rsidP="002E47FC">
            <w:pPr>
              <w:tabs>
                <w:tab w:val="left" w:pos="1089"/>
              </w:tabs>
              <w:jc w:val="both"/>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Ніяких клінічно значущих взаємодій не очікується.</w:t>
            </w:r>
          </w:p>
        </w:tc>
      </w:tr>
      <w:tr w:rsidR="002E47FC" w14:paraId="649B49B6" w14:textId="77777777" w:rsidTr="00DC3BDB">
        <w:tc>
          <w:tcPr>
            <w:tcW w:w="486" w:type="dxa"/>
            <w:shd w:val="clear" w:color="auto" w:fill="F4B083" w:themeFill="accent2" w:themeFillTint="99"/>
          </w:tcPr>
          <w:p w14:paraId="3E3EDA06" w14:textId="77777777" w:rsidR="002E47FC" w:rsidRDefault="002E47FC" w:rsidP="002E47FC">
            <w:pPr>
              <w:tabs>
                <w:tab w:val="left" w:pos="1089"/>
              </w:tabs>
              <w:jc w:val="center"/>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0C3EE9C8" w14:textId="362B026E" w:rsidR="002E47FC" w:rsidRDefault="00DD7838" w:rsidP="002E47FC">
            <w:pPr>
              <w:tabs>
                <w:tab w:val="left" w:pos="1089"/>
              </w:tabs>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Потенційна взаємодія, яка може потребувати регулювання дози, змін</w:t>
            </w:r>
            <w:r>
              <w:rPr>
                <w:rFonts w:ascii="Times New Roman" w:hAnsi="Times New Roman" w:cs="Times New Roman"/>
                <w:color w:val="000000" w:themeColor="text1"/>
                <w:lang w:val="uk-UA"/>
              </w:rPr>
              <w:t xml:space="preserve">и </w:t>
            </w:r>
            <w:r w:rsidRPr="00F15C59">
              <w:rPr>
                <w:rFonts w:ascii="Times New Roman" w:hAnsi="Times New Roman" w:cs="Times New Roman"/>
                <w:color w:val="000000" w:themeColor="text1"/>
                <w:lang w:val="uk-UA"/>
              </w:rPr>
              <w:t xml:space="preserve">часу </w:t>
            </w:r>
            <w:r>
              <w:rPr>
                <w:rFonts w:ascii="Times New Roman" w:hAnsi="Times New Roman" w:cs="Times New Roman"/>
                <w:color w:val="000000" w:themeColor="text1"/>
                <w:lang w:val="uk-UA"/>
              </w:rPr>
              <w:t>вживання</w:t>
            </w:r>
            <w:r w:rsidRPr="00F15C59">
              <w:rPr>
                <w:rFonts w:ascii="Times New Roman" w:hAnsi="Times New Roman" w:cs="Times New Roman"/>
                <w:color w:val="000000" w:themeColor="text1"/>
                <w:lang w:val="uk-UA"/>
              </w:rPr>
              <w:t xml:space="preserve"> або додатков</w:t>
            </w:r>
            <w:r>
              <w:rPr>
                <w:rFonts w:ascii="Times New Roman" w:hAnsi="Times New Roman" w:cs="Times New Roman"/>
                <w:color w:val="000000" w:themeColor="text1"/>
                <w:lang w:val="uk-UA"/>
              </w:rPr>
              <w:t>ого</w:t>
            </w:r>
            <w:r w:rsidRPr="00F15C59">
              <w:rPr>
                <w:rFonts w:ascii="Times New Roman" w:hAnsi="Times New Roman" w:cs="Times New Roman"/>
                <w:color w:val="000000" w:themeColor="text1"/>
                <w:lang w:val="uk-UA"/>
              </w:rPr>
              <w:t xml:space="preserve"> контрол</w:t>
            </w:r>
            <w:r>
              <w:rPr>
                <w:rFonts w:ascii="Times New Roman" w:hAnsi="Times New Roman" w:cs="Times New Roman"/>
                <w:color w:val="000000" w:themeColor="text1"/>
                <w:lang w:val="uk-UA"/>
              </w:rPr>
              <w:t>ю</w:t>
            </w:r>
            <w:r w:rsidRPr="00F15C59">
              <w:rPr>
                <w:rFonts w:ascii="Times New Roman" w:hAnsi="Times New Roman" w:cs="Times New Roman"/>
                <w:color w:val="000000" w:themeColor="text1"/>
                <w:lang w:val="uk-UA"/>
              </w:rPr>
              <w:t>.</w:t>
            </w:r>
          </w:p>
        </w:tc>
      </w:tr>
      <w:tr w:rsidR="002E47FC" w14:paraId="551B5D30" w14:textId="77777777" w:rsidTr="00DC3BDB">
        <w:tc>
          <w:tcPr>
            <w:tcW w:w="486" w:type="dxa"/>
            <w:shd w:val="clear" w:color="auto" w:fill="FF5050"/>
          </w:tcPr>
          <w:p w14:paraId="3467C3D4" w14:textId="77777777" w:rsidR="002E47FC" w:rsidRDefault="002E47FC" w:rsidP="002E47FC">
            <w:pPr>
              <w:tabs>
                <w:tab w:val="left" w:pos="1089"/>
              </w:tabs>
              <w:jc w:val="center"/>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0BD06766" w14:textId="77777777" w:rsidR="002E47FC" w:rsidRDefault="002E47FC" w:rsidP="002E47FC">
            <w:pPr>
              <w:tabs>
                <w:tab w:val="left" w:pos="1089"/>
              </w:tabs>
              <w:jc w:val="both"/>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Ці препарати н</w:t>
            </w:r>
            <w:r>
              <w:rPr>
                <w:rFonts w:ascii="Times New Roman" w:hAnsi="Times New Roman" w:cs="Times New Roman"/>
                <w:color w:val="000000" w:themeColor="text1"/>
                <w:lang w:val="uk-UA"/>
              </w:rPr>
              <w:t>е повинні застосовуватися разом</w:t>
            </w:r>
            <w:r w:rsidRPr="00F15C59">
              <w:rPr>
                <w:rFonts w:ascii="Times New Roman" w:hAnsi="Times New Roman" w:cs="Times New Roman"/>
                <w:color w:val="000000" w:themeColor="text1"/>
                <w:lang w:val="uk-UA"/>
              </w:rPr>
              <w:t>.</w:t>
            </w:r>
          </w:p>
        </w:tc>
      </w:tr>
    </w:tbl>
    <w:p w14:paraId="5415C130" w14:textId="77777777" w:rsidR="0017049B" w:rsidRPr="006C7989" w:rsidRDefault="0017049B" w:rsidP="005312A2">
      <w:pPr>
        <w:tabs>
          <w:tab w:val="left" w:pos="1089"/>
        </w:tabs>
        <w:rPr>
          <w:rFonts w:ascii="Times New Roman" w:hAnsi="Times New Roman" w:cs="Times New Roman"/>
          <w:b/>
          <w:color w:val="000000" w:themeColor="text1"/>
          <w:lang w:val="uk-UA"/>
        </w:rPr>
      </w:pPr>
    </w:p>
    <w:p w14:paraId="6D5C8EDB" w14:textId="77777777" w:rsidR="00D065CC" w:rsidRDefault="00D065CC" w:rsidP="00D065CC">
      <w:pPr>
        <w:tabs>
          <w:tab w:val="left" w:pos="1089"/>
        </w:tabs>
        <w:contextualSpacing/>
        <w:jc w:val="both"/>
        <w:rPr>
          <w:rFonts w:ascii="Times New Roman" w:hAnsi="Times New Roman" w:cs="Times New Roman"/>
          <w:i/>
          <w:color w:val="000000" w:themeColor="text1"/>
          <w:sz w:val="20"/>
          <w:szCs w:val="20"/>
          <w:lang w:val="uk-UA"/>
        </w:rPr>
      </w:pPr>
      <w:r w:rsidRPr="00DA6F76">
        <w:rPr>
          <w:rFonts w:ascii="Times New Roman" w:hAnsi="Times New Roman" w:cs="Times New Roman"/>
          <w:i/>
          <w:color w:val="000000" w:themeColor="text1"/>
          <w:sz w:val="20"/>
          <w:szCs w:val="20"/>
          <w:lang w:val="uk-UA"/>
        </w:rPr>
        <w:t xml:space="preserve">Примітки. Деякі лікарські засоби можуть вимагати зміни дози залежно від функції печінки. Будь ласка, </w:t>
      </w:r>
      <w:r>
        <w:rPr>
          <w:rFonts w:ascii="Times New Roman" w:hAnsi="Times New Roman" w:cs="Times New Roman"/>
          <w:i/>
          <w:color w:val="000000" w:themeColor="text1"/>
          <w:sz w:val="20"/>
          <w:szCs w:val="20"/>
          <w:lang w:val="uk-UA"/>
        </w:rPr>
        <w:t>ознайомтеся з</w:t>
      </w:r>
      <w:r w:rsidRPr="00DA6F76">
        <w:rPr>
          <w:rFonts w:ascii="Times New Roman" w:hAnsi="Times New Roman" w:cs="Times New Roman"/>
          <w:i/>
          <w:color w:val="000000" w:themeColor="text1"/>
          <w:sz w:val="20"/>
          <w:szCs w:val="20"/>
          <w:lang w:val="uk-UA"/>
        </w:rPr>
        <w:t xml:space="preserve"> </w:t>
      </w:r>
      <w:r>
        <w:rPr>
          <w:rFonts w:ascii="Times New Roman" w:hAnsi="Times New Roman" w:cs="Times New Roman"/>
          <w:i/>
          <w:color w:val="000000" w:themeColor="text1"/>
          <w:sz w:val="20"/>
          <w:szCs w:val="20"/>
          <w:lang w:val="uk-UA"/>
        </w:rPr>
        <w:t>інструкцією</w:t>
      </w:r>
      <w:r w:rsidRPr="00DA6F76">
        <w:rPr>
          <w:rFonts w:ascii="Times New Roman" w:hAnsi="Times New Roman" w:cs="Times New Roman"/>
          <w:i/>
          <w:color w:val="000000" w:themeColor="text1"/>
          <w:sz w:val="20"/>
          <w:szCs w:val="20"/>
          <w:lang w:val="uk-UA"/>
        </w:rPr>
        <w:t xml:space="preserve"> </w:t>
      </w:r>
      <w:r>
        <w:rPr>
          <w:rFonts w:ascii="Times New Roman" w:hAnsi="Times New Roman" w:cs="Times New Roman"/>
          <w:i/>
          <w:color w:val="000000" w:themeColor="text1"/>
          <w:sz w:val="20"/>
          <w:szCs w:val="20"/>
          <w:lang w:val="uk-UA"/>
        </w:rPr>
        <w:t>лікарського засобу</w:t>
      </w:r>
      <w:r w:rsidRPr="00DA6F76">
        <w:rPr>
          <w:rFonts w:ascii="Times New Roman" w:hAnsi="Times New Roman" w:cs="Times New Roman"/>
          <w:i/>
          <w:color w:val="000000" w:themeColor="text1"/>
          <w:sz w:val="20"/>
          <w:szCs w:val="20"/>
          <w:lang w:val="uk-UA"/>
        </w:rPr>
        <w:t xml:space="preserve"> щодо рекомендованих доз. Символи (зелений, помаранчевий, червоний), що використовуються в таблиці для оцінки клінічного значення взаємодії </w:t>
      </w:r>
      <w:r>
        <w:rPr>
          <w:rFonts w:ascii="Times New Roman" w:hAnsi="Times New Roman" w:cs="Times New Roman"/>
          <w:i/>
          <w:color w:val="000000" w:themeColor="text1"/>
          <w:sz w:val="20"/>
          <w:szCs w:val="20"/>
          <w:lang w:val="uk-UA"/>
        </w:rPr>
        <w:t>лікарських засобів,</w:t>
      </w:r>
      <w:r w:rsidRPr="00DA6F76">
        <w:rPr>
          <w:rFonts w:ascii="Times New Roman" w:hAnsi="Times New Roman" w:cs="Times New Roman"/>
          <w:i/>
          <w:color w:val="000000" w:themeColor="text1"/>
          <w:sz w:val="20"/>
          <w:szCs w:val="20"/>
          <w:lang w:val="uk-UA"/>
        </w:rPr>
        <w:t xml:space="preserve"> створені на основі www.hep</w:t>
      </w:r>
      <w:r>
        <w:rPr>
          <w:rFonts w:ascii="Times New Roman" w:hAnsi="Times New Roman" w:cs="Times New Roman"/>
          <w:i/>
          <w:color w:val="000000" w:themeColor="text1"/>
          <w:sz w:val="20"/>
          <w:szCs w:val="20"/>
          <w:lang w:val="uk-UA"/>
        </w:rPr>
        <w:t>–</w:t>
      </w:r>
      <w:r w:rsidRPr="00DA6F76">
        <w:rPr>
          <w:rFonts w:ascii="Times New Roman" w:hAnsi="Times New Roman" w:cs="Times New Roman"/>
          <w:i/>
          <w:color w:val="000000" w:themeColor="text1"/>
          <w:sz w:val="20"/>
          <w:szCs w:val="20"/>
          <w:lang w:val="uk-UA"/>
        </w:rPr>
        <w:t>druginteractions.org (University of Liverpool). У випадку потреби у додатковій інформації стосовно взаємодій між лікарськими засобами для більш широкого кола препаратів, а також щодо докладних даних про фармакокінетичну взаємодію та коригування доз, звертайтеся до вищезазначеного веб</w:t>
      </w:r>
      <w:r>
        <w:rPr>
          <w:rFonts w:ascii="Times New Roman" w:hAnsi="Times New Roman" w:cs="Times New Roman"/>
          <w:i/>
          <w:color w:val="000000" w:themeColor="text1"/>
          <w:sz w:val="20"/>
          <w:szCs w:val="20"/>
          <w:lang w:val="uk-UA"/>
        </w:rPr>
        <w:t>–</w:t>
      </w:r>
      <w:r w:rsidRPr="00DA6F76">
        <w:rPr>
          <w:rFonts w:ascii="Times New Roman" w:hAnsi="Times New Roman" w:cs="Times New Roman"/>
          <w:i/>
          <w:color w:val="000000" w:themeColor="text1"/>
          <w:sz w:val="20"/>
          <w:szCs w:val="20"/>
          <w:lang w:val="uk-UA"/>
        </w:rPr>
        <w:t>сайту.</w:t>
      </w:r>
    </w:p>
    <w:p w14:paraId="0A3BC1EA" w14:textId="428E6F9C" w:rsidR="005312A2" w:rsidRDefault="005312A2" w:rsidP="005312A2">
      <w:pPr>
        <w:tabs>
          <w:tab w:val="left" w:pos="1089"/>
        </w:tabs>
        <w:jc w:val="both"/>
        <w:rPr>
          <w:rFonts w:ascii="Times New Roman" w:hAnsi="Times New Roman" w:cs="Times New Roman"/>
          <w:i/>
          <w:color w:val="000000" w:themeColor="text1"/>
          <w:sz w:val="20"/>
          <w:szCs w:val="20"/>
          <w:lang w:val="uk-UA"/>
        </w:rPr>
      </w:pPr>
    </w:p>
    <w:p w14:paraId="7EFA7C21" w14:textId="6A78E876" w:rsidR="001D4CA2" w:rsidRDefault="001D4CA2" w:rsidP="005312A2">
      <w:pPr>
        <w:tabs>
          <w:tab w:val="left" w:pos="1089"/>
        </w:tabs>
        <w:ind w:left="360"/>
        <w:jc w:val="both"/>
        <w:rPr>
          <w:rFonts w:ascii="Times New Roman" w:hAnsi="Times New Roman" w:cs="Times New Roman"/>
          <w:b/>
          <w:color w:val="000000" w:themeColor="text1"/>
          <w:lang w:val="uk-UA"/>
        </w:rPr>
      </w:pPr>
    </w:p>
    <w:p w14:paraId="3319E2F9" w14:textId="40568EF3" w:rsidR="001D4CA2" w:rsidRDefault="001D4CA2" w:rsidP="001D4CA2">
      <w:pPr>
        <w:tabs>
          <w:tab w:val="left" w:pos="1089"/>
        </w:tabs>
        <w:ind w:left="360"/>
        <w:jc w:val="both"/>
        <w:rPr>
          <w:rFonts w:ascii="Times New Roman" w:hAnsi="Times New Roman" w:cs="Times New Roman"/>
          <w:color w:val="000000" w:themeColor="text1"/>
          <w:lang w:val="uk-UA"/>
        </w:rPr>
      </w:pPr>
      <w:r w:rsidRPr="006E07BD">
        <w:rPr>
          <w:rFonts w:ascii="Times New Roman" w:hAnsi="Times New Roman" w:cs="Times New Roman"/>
          <w:color w:val="000000" w:themeColor="text1"/>
          <w:lang w:val="uk-UA"/>
        </w:rPr>
        <w:t>Ледіпасвір також може взаємоді</w:t>
      </w:r>
      <w:r w:rsidR="00D065CC">
        <w:rPr>
          <w:rFonts w:ascii="Times New Roman" w:hAnsi="Times New Roman" w:cs="Times New Roman"/>
          <w:color w:val="000000" w:themeColor="text1"/>
          <w:lang w:val="uk-UA"/>
        </w:rPr>
        <w:t xml:space="preserve">яти з іншими лікарськими засобами </w:t>
      </w:r>
      <w:r w:rsidRPr="006E07BD">
        <w:rPr>
          <w:rFonts w:ascii="Times New Roman" w:hAnsi="Times New Roman" w:cs="Times New Roman"/>
          <w:color w:val="000000" w:themeColor="text1"/>
          <w:lang w:val="uk-UA"/>
        </w:rPr>
        <w:t xml:space="preserve">шляхом інгібування </w:t>
      </w:r>
      <w:r w:rsidR="004D2A4F">
        <w:rPr>
          <w:rFonts w:ascii="Times New Roman" w:hAnsi="Times New Roman" w:cs="Times New Roman"/>
          <w:color w:val="000000" w:themeColor="text1"/>
          <w:lang w:val="uk-UA"/>
        </w:rPr>
        <w:t xml:space="preserve">P-gp </w:t>
      </w:r>
      <w:r w:rsidRPr="006E07BD">
        <w:rPr>
          <w:rFonts w:ascii="Times New Roman" w:hAnsi="Times New Roman" w:cs="Times New Roman"/>
          <w:color w:val="000000" w:themeColor="text1"/>
          <w:lang w:val="uk-UA"/>
        </w:rPr>
        <w:t>та/або BCRP, що потенційно збільшує</w:t>
      </w:r>
      <w:r>
        <w:rPr>
          <w:rFonts w:ascii="Times New Roman" w:hAnsi="Times New Roman" w:cs="Times New Roman"/>
          <w:color w:val="000000" w:themeColor="text1"/>
          <w:lang w:val="uk-UA"/>
        </w:rPr>
        <w:t xml:space="preserve"> </w:t>
      </w:r>
      <w:r w:rsidRPr="006E07BD">
        <w:rPr>
          <w:rFonts w:ascii="Times New Roman" w:hAnsi="Times New Roman" w:cs="Times New Roman"/>
          <w:color w:val="000000" w:themeColor="text1"/>
          <w:lang w:val="uk-UA"/>
        </w:rPr>
        <w:t xml:space="preserve">кишкове всмоктування супутніх ліків. Таким </w:t>
      </w:r>
      <w:r>
        <w:rPr>
          <w:rFonts w:ascii="Times New Roman" w:hAnsi="Times New Roman" w:cs="Times New Roman"/>
          <w:color w:val="000000" w:themeColor="text1"/>
          <w:lang w:val="uk-UA"/>
        </w:rPr>
        <w:t xml:space="preserve">чином, обережність є виправданою щодо </w:t>
      </w:r>
      <w:r w:rsidRPr="006E07BD">
        <w:rPr>
          <w:rFonts w:ascii="Times New Roman" w:hAnsi="Times New Roman" w:cs="Times New Roman"/>
          <w:color w:val="000000" w:themeColor="text1"/>
          <w:lang w:val="uk-UA"/>
        </w:rPr>
        <w:t>добре вивче</w:t>
      </w:r>
      <w:r>
        <w:rPr>
          <w:rFonts w:ascii="Times New Roman" w:hAnsi="Times New Roman" w:cs="Times New Roman"/>
          <w:color w:val="000000" w:themeColor="text1"/>
          <w:lang w:val="uk-UA"/>
        </w:rPr>
        <w:t>них Р</w:t>
      </w:r>
      <w:r w:rsidR="00D065CC">
        <w:rPr>
          <w:rFonts w:ascii="Times New Roman" w:hAnsi="Times New Roman" w:cs="Times New Roman"/>
          <w:color w:val="000000" w:themeColor="text1"/>
          <w:lang w:val="uk-UA"/>
        </w:rPr>
        <w:t>-</w:t>
      </w:r>
      <w:r>
        <w:rPr>
          <w:rFonts w:ascii="Times New Roman" w:hAnsi="Times New Roman" w:cs="Times New Roman"/>
          <w:color w:val="000000" w:themeColor="text1"/>
          <w:lang w:val="uk-UA"/>
        </w:rPr>
        <w:t>Gp субстратів, таких як ді</w:t>
      </w:r>
      <w:r w:rsidRPr="006E07BD">
        <w:rPr>
          <w:rFonts w:ascii="Times New Roman" w:hAnsi="Times New Roman" w:cs="Times New Roman"/>
          <w:color w:val="000000" w:themeColor="text1"/>
          <w:lang w:val="uk-UA"/>
        </w:rPr>
        <w:t>гоксин і дабігатран, але також можливо, з іншими лікарськими засобами, які, зокрема,</w:t>
      </w:r>
      <w:r>
        <w:rPr>
          <w:rFonts w:ascii="Times New Roman" w:hAnsi="Times New Roman" w:cs="Times New Roman"/>
          <w:color w:val="000000" w:themeColor="text1"/>
          <w:lang w:val="uk-UA"/>
        </w:rPr>
        <w:t xml:space="preserve"> </w:t>
      </w:r>
      <w:r w:rsidRPr="006E07BD">
        <w:rPr>
          <w:rFonts w:ascii="Times New Roman" w:hAnsi="Times New Roman" w:cs="Times New Roman"/>
          <w:color w:val="000000" w:themeColor="text1"/>
          <w:lang w:val="uk-UA"/>
        </w:rPr>
        <w:lastRenderedPageBreak/>
        <w:t xml:space="preserve">транспортуються цими білками (наприклад, </w:t>
      </w:r>
      <w:r w:rsidRPr="00B637C9">
        <w:rPr>
          <w:rFonts w:ascii="Times New Roman" w:hAnsi="Times New Roman" w:cs="Times New Roman"/>
          <w:color w:val="000000" w:themeColor="text1"/>
          <w:lang w:val="uk-UA"/>
        </w:rPr>
        <w:t>аліскірен</w:t>
      </w:r>
      <w:r>
        <w:rPr>
          <w:rFonts w:ascii="Times New Roman" w:hAnsi="Times New Roman" w:cs="Times New Roman"/>
          <w:color w:val="000000" w:themeColor="text1"/>
          <w:lang w:val="uk-UA"/>
        </w:rPr>
        <w:t>, амлодіпін, бупренорфін, карведілол, циклоспорін</w:t>
      </w:r>
      <w:r w:rsidRPr="006E07BD">
        <w:rPr>
          <w:rFonts w:ascii="Times New Roman" w:hAnsi="Times New Roman" w:cs="Times New Roman"/>
          <w:color w:val="000000" w:themeColor="text1"/>
          <w:lang w:val="uk-UA"/>
        </w:rPr>
        <w:t>). Спільне в</w:t>
      </w:r>
      <w:r>
        <w:rPr>
          <w:rFonts w:ascii="Times New Roman" w:hAnsi="Times New Roman" w:cs="Times New Roman"/>
          <w:color w:val="000000" w:themeColor="text1"/>
          <w:lang w:val="uk-UA"/>
        </w:rPr>
        <w:t>ведення аміодарону з софосбувіром/ледіпасвіром протипоказане</w:t>
      </w:r>
      <w:r w:rsidRPr="006E07BD">
        <w:rPr>
          <w:rFonts w:ascii="Times New Roman" w:hAnsi="Times New Roman" w:cs="Times New Roman"/>
          <w:color w:val="000000" w:themeColor="text1"/>
          <w:lang w:val="uk-UA"/>
        </w:rPr>
        <w:t xml:space="preserve"> через серйозний ризик сим</w:t>
      </w:r>
      <w:r>
        <w:rPr>
          <w:rFonts w:ascii="Times New Roman" w:hAnsi="Times New Roman" w:cs="Times New Roman"/>
          <w:color w:val="000000" w:themeColor="text1"/>
          <w:lang w:val="uk-UA"/>
        </w:rPr>
        <w:t>птоматичної або навіть смертельної</w:t>
      </w:r>
      <w:r w:rsidRPr="006E07BD">
        <w:rPr>
          <w:rFonts w:ascii="Times New Roman" w:hAnsi="Times New Roman" w:cs="Times New Roman"/>
          <w:color w:val="000000" w:themeColor="text1"/>
          <w:lang w:val="uk-UA"/>
        </w:rPr>
        <w:t xml:space="preserve"> бради</w:t>
      </w:r>
      <w:r>
        <w:rPr>
          <w:rFonts w:ascii="Times New Roman" w:hAnsi="Times New Roman" w:cs="Times New Roman"/>
          <w:color w:val="000000" w:themeColor="text1"/>
          <w:lang w:val="uk-UA"/>
        </w:rPr>
        <w:t>кардії або асистолії (див. вище)</w:t>
      </w:r>
      <w:r w:rsidR="00F5160A">
        <w:rPr>
          <w:rFonts w:ascii="Times New Roman" w:hAnsi="Times New Roman" w:cs="Times New Roman"/>
          <w:color w:val="000000" w:themeColor="text1"/>
          <w:lang w:val="uk-UA"/>
        </w:rPr>
        <w:t>;</w:t>
      </w:r>
      <w:r>
        <w:rPr>
          <w:rFonts w:ascii="Times New Roman" w:hAnsi="Times New Roman" w:cs="Times New Roman"/>
          <w:color w:val="000000" w:themeColor="text1"/>
          <w:lang w:val="uk-UA"/>
        </w:rPr>
        <w:t xml:space="preserve"> механізм взаємодії препаратів невідомий. Застосування роз</w:t>
      </w:r>
      <w:r w:rsidRPr="006E07BD">
        <w:rPr>
          <w:rFonts w:ascii="Times New Roman" w:hAnsi="Times New Roman" w:cs="Times New Roman"/>
          <w:color w:val="000000" w:themeColor="text1"/>
          <w:lang w:val="uk-UA"/>
        </w:rPr>
        <w:t>ува</w:t>
      </w:r>
      <w:r>
        <w:rPr>
          <w:rFonts w:ascii="Times New Roman" w:hAnsi="Times New Roman" w:cs="Times New Roman"/>
          <w:color w:val="000000" w:themeColor="text1"/>
          <w:lang w:val="uk-UA"/>
        </w:rPr>
        <w:t>статину також не рекомендован</w:t>
      </w:r>
      <w:r w:rsidR="00F5160A">
        <w:rPr>
          <w:rFonts w:ascii="Times New Roman" w:hAnsi="Times New Roman" w:cs="Times New Roman"/>
          <w:color w:val="000000" w:themeColor="text1"/>
          <w:lang w:val="uk-UA"/>
        </w:rPr>
        <w:t>о</w:t>
      </w:r>
      <w:r>
        <w:rPr>
          <w:rFonts w:ascii="Times New Roman" w:hAnsi="Times New Roman" w:cs="Times New Roman"/>
          <w:color w:val="000000" w:themeColor="text1"/>
          <w:lang w:val="uk-UA"/>
        </w:rPr>
        <w:t xml:space="preserve"> </w:t>
      </w:r>
      <w:r w:rsidRPr="006E07BD">
        <w:rPr>
          <w:rFonts w:ascii="Times New Roman" w:hAnsi="Times New Roman" w:cs="Times New Roman"/>
          <w:color w:val="000000" w:themeColor="text1"/>
          <w:lang w:val="uk-UA"/>
        </w:rPr>
        <w:t>(через п</w:t>
      </w:r>
      <w:r>
        <w:rPr>
          <w:rFonts w:ascii="Times New Roman" w:hAnsi="Times New Roman" w:cs="Times New Roman"/>
          <w:color w:val="000000" w:themeColor="text1"/>
          <w:lang w:val="uk-UA"/>
        </w:rPr>
        <w:t>отенційне інгібування поліпептиду, який транспортує органічні аніони (ОАТР) ледіпасвіром</w:t>
      </w:r>
      <w:r w:rsidRPr="006E07BD">
        <w:rPr>
          <w:rFonts w:ascii="Times New Roman" w:hAnsi="Times New Roman" w:cs="Times New Roman"/>
          <w:color w:val="000000" w:themeColor="text1"/>
          <w:lang w:val="uk-UA"/>
        </w:rPr>
        <w:t xml:space="preserve">), і взаємодія з іншими статинами не може бути виключеною. Важливо уважно стежити за побічними реакціями, пов'язаними </w:t>
      </w:r>
      <w:r>
        <w:rPr>
          <w:rFonts w:ascii="Times New Roman" w:hAnsi="Times New Roman" w:cs="Times New Roman"/>
          <w:color w:val="000000" w:themeColor="text1"/>
          <w:lang w:val="uk-UA"/>
        </w:rPr>
        <w:t>і</w:t>
      </w:r>
      <w:r w:rsidRPr="006E07BD">
        <w:rPr>
          <w:rFonts w:ascii="Times New Roman" w:hAnsi="Times New Roman" w:cs="Times New Roman"/>
          <w:color w:val="000000" w:themeColor="text1"/>
          <w:lang w:val="uk-UA"/>
        </w:rPr>
        <w:t xml:space="preserve">з статинами. Оскільки розчинність </w:t>
      </w:r>
      <w:r>
        <w:rPr>
          <w:rFonts w:ascii="Times New Roman" w:hAnsi="Times New Roman" w:cs="Times New Roman"/>
          <w:color w:val="000000" w:themeColor="text1"/>
          <w:lang w:val="uk-UA"/>
        </w:rPr>
        <w:t>л</w:t>
      </w:r>
      <w:r w:rsidRPr="006E07BD">
        <w:rPr>
          <w:rFonts w:ascii="Times New Roman" w:hAnsi="Times New Roman" w:cs="Times New Roman"/>
          <w:color w:val="000000" w:themeColor="text1"/>
          <w:lang w:val="uk-UA"/>
        </w:rPr>
        <w:t>едіпасвір зменшується при підвищенні рН, препарати, які підвищують рН шлунку (антациди, антагоністи Н2</w:t>
      </w:r>
      <w:r w:rsidR="00FC6D8A">
        <w:rPr>
          <w:rFonts w:ascii="Times New Roman" w:hAnsi="Times New Roman" w:cs="Times New Roman"/>
          <w:color w:val="000000" w:themeColor="text1"/>
          <w:lang w:val="uk-UA"/>
        </w:rPr>
        <w:t>–</w:t>
      </w:r>
      <w:r w:rsidRPr="006E07BD">
        <w:rPr>
          <w:rFonts w:ascii="Times New Roman" w:hAnsi="Times New Roman" w:cs="Times New Roman"/>
          <w:color w:val="000000" w:themeColor="text1"/>
          <w:lang w:val="uk-UA"/>
        </w:rPr>
        <w:t>рецепт</w:t>
      </w:r>
      <w:r>
        <w:rPr>
          <w:rFonts w:ascii="Times New Roman" w:hAnsi="Times New Roman" w:cs="Times New Roman"/>
          <w:color w:val="000000" w:themeColor="text1"/>
          <w:lang w:val="uk-UA"/>
        </w:rPr>
        <w:t>орів, інгібітори протонно</w:t>
      </w:r>
      <w:r w:rsidR="00870D13">
        <w:rPr>
          <w:rFonts w:ascii="Times New Roman" w:hAnsi="Times New Roman" w:cs="Times New Roman"/>
          <w:color w:val="000000" w:themeColor="text1"/>
          <w:lang w:val="uk-UA"/>
        </w:rPr>
        <w:t>ї помпи</w:t>
      </w:r>
      <w:r w:rsidRPr="006E07BD">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можуть зменшити</w:t>
      </w:r>
      <w:r w:rsidRPr="006E07BD">
        <w:rPr>
          <w:rFonts w:ascii="Times New Roman" w:hAnsi="Times New Roman" w:cs="Times New Roman"/>
          <w:color w:val="000000" w:themeColor="text1"/>
          <w:lang w:val="uk-UA"/>
        </w:rPr>
        <w:t xml:space="preserve"> концентрацію </w:t>
      </w:r>
      <w:r>
        <w:rPr>
          <w:rFonts w:ascii="Times New Roman" w:hAnsi="Times New Roman" w:cs="Times New Roman"/>
          <w:color w:val="000000" w:themeColor="text1"/>
          <w:lang w:val="uk-UA"/>
        </w:rPr>
        <w:t>ледіпасвіру. А</w:t>
      </w:r>
      <w:r w:rsidRPr="006E07BD">
        <w:rPr>
          <w:rFonts w:ascii="Times New Roman" w:hAnsi="Times New Roman" w:cs="Times New Roman"/>
          <w:color w:val="000000" w:themeColor="text1"/>
          <w:lang w:val="uk-UA"/>
        </w:rPr>
        <w:t>нтагоністи</w:t>
      </w:r>
      <w:r>
        <w:rPr>
          <w:rFonts w:ascii="Times New Roman" w:hAnsi="Times New Roman" w:cs="Times New Roman"/>
          <w:color w:val="000000" w:themeColor="text1"/>
          <w:lang w:val="uk-UA"/>
        </w:rPr>
        <w:t xml:space="preserve"> Н2</w:t>
      </w:r>
      <w:r w:rsidR="00FC6D8A">
        <w:rPr>
          <w:rFonts w:ascii="Times New Roman" w:hAnsi="Times New Roman" w:cs="Times New Roman"/>
          <w:color w:val="000000" w:themeColor="text1"/>
          <w:lang w:val="uk-UA"/>
        </w:rPr>
        <w:t>–</w:t>
      </w:r>
      <w:r>
        <w:rPr>
          <w:rFonts w:ascii="Times New Roman" w:hAnsi="Times New Roman" w:cs="Times New Roman"/>
          <w:color w:val="000000" w:themeColor="text1"/>
          <w:lang w:val="uk-UA"/>
        </w:rPr>
        <w:t>рецепторів, можуть прийматися</w:t>
      </w:r>
      <w:r w:rsidRPr="006E07BD">
        <w:rPr>
          <w:rFonts w:ascii="Times New Roman" w:hAnsi="Times New Roman" w:cs="Times New Roman"/>
          <w:color w:val="000000" w:themeColor="text1"/>
          <w:lang w:val="uk-UA"/>
        </w:rPr>
        <w:t xml:space="preserve"> одночасно або </w:t>
      </w:r>
      <w:r>
        <w:rPr>
          <w:rFonts w:ascii="Times New Roman" w:hAnsi="Times New Roman" w:cs="Times New Roman"/>
          <w:color w:val="000000" w:themeColor="text1"/>
          <w:lang w:val="uk-UA"/>
        </w:rPr>
        <w:t xml:space="preserve">через </w:t>
      </w:r>
      <w:r w:rsidRPr="006E07BD">
        <w:rPr>
          <w:rFonts w:ascii="Times New Roman" w:hAnsi="Times New Roman" w:cs="Times New Roman"/>
          <w:color w:val="000000" w:themeColor="text1"/>
          <w:lang w:val="uk-UA"/>
        </w:rPr>
        <w:t>12 год один від одного в дозі, що не перевищує</w:t>
      </w:r>
      <w:r>
        <w:rPr>
          <w:rFonts w:ascii="Times New Roman" w:hAnsi="Times New Roman" w:cs="Times New Roman"/>
          <w:color w:val="000000" w:themeColor="text1"/>
          <w:lang w:val="uk-UA"/>
        </w:rPr>
        <w:t xml:space="preserve"> </w:t>
      </w:r>
      <w:r w:rsidRPr="006E07BD">
        <w:rPr>
          <w:rFonts w:ascii="Times New Roman" w:hAnsi="Times New Roman" w:cs="Times New Roman"/>
          <w:color w:val="000000" w:themeColor="text1"/>
          <w:lang w:val="uk-UA"/>
        </w:rPr>
        <w:t>40 мг</w:t>
      </w:r>
      <w:r w:rsidRPr="00502712">
        <w:rPr>
          <w:rFonts w:ascii="Times New Roman" w:hAnsi="Times New Roman" w:cs="Times New Roman"/>
          <w:color w:val="000000" w:themeColor="text1"/>
          <w:lang w:val="uk-UA"/>
        </w:rPr>
        <w:t xml:space="preserve"> </w:t>
      </w:r>
      <w:r w:rsidRPr="006E07BD">
        <w:rPr>
          <w:rFonts w:ascii="Times New Roman" w:hAnsi="Times New Roman" w:cs="Times New Roman"/>
          <w:color w:val="000000" w:themeColor="text1"/>
          <w:lang w:val="uk-UA"/>
        </w:rPr>
        <w:t>фамотидина</w:t>
      </w:r>
      <w:r>
        <w:rPr>
          <w:rFonts w:ascii="Times New Roman" w:hAnsi="Times New Roman" w:cs="Times New Roman"/>
          <w:color w:val="000000" w:themeColor="text1"/>
          <w:lang w:val="uk-UA"/>
        </w:rPr>
        <w:t xml:space="preserve">, а </w:t>
      </w:r>
      <w:r w:rsidRPr="006E07BD">
        <w:rPr>
          <w:rFonts w:ascii="Times New Roman" w:hAnsi="Times New Roman" w:cs="Times New Roman"/>
          <w:color w:val="000000" w:themeColor="text1"/>
          <w:lang w:val="uk-UA"/>
        </w:rPr>
        <w:t>інгібітори протонно</w:t>
      </w:r>
      <w:r w:rsidR="00870D13">
        <w:rPr>
          <w:rFonts w:ascii="Times New Roman" w:hAnsi="Times New Roman" w:cs="Times New Roman"/>
          <w:color w:val="000000" w:themeColor="text1"/>
          <w:lang w:val="uk-UA"/>
        </w:rPr>
        <w:t>ї помпи</w:t>
      </w:r>
      <w:r w:rsidRPr="006E07BD">
        <w:rPr>
          <w:rFonts w:ascii="Times New Roman" w:hAnsi="Times New Roman" w:cs="Times New Roman"/>
          <w:color w:val="000000" w:themeColor="text1"/>
          <w:lang w:val="uk-UA"/>
        </w:rPr>
        <w:t xml:space="preserve"> одночасно, в дозі, порівнянної з 20 мг омепразолу (таблиця 5). </w:t>
      </w:r>
      <w:r>
        <w:rPr>
          <w:rFonts w:ascii="Times New Roman" w:hAnsi="Times New Roman" w:cs="Times New Roman"/>
          <w:color w:val="000000" w:themeColor="text1"/>
          <w:lang w:val="uk-UA"/>
        </w:rPr>
        <w:t>Реальні д</w:t>
      </w:r>
      <w:r w:rsidRPr="006E07BD">
        <w:rPr>
          <w:rFonts w:ascii="Times New Roman" w:hAnsi="Times New Roman" w:cs="Times New Roman"/>
          <w:color w:val="000000" w:themeColor="text1"/>
          <w:lang w:val="uk-UA"/>
        </w:rPr>
        <w:t xml:space="preserve">ані </w:t>
      </w:r>
      <w:r>
        <w:rPr>
          <w:rFonts w:ascii="Times New Roman" w:hAnsi="Times New Roman" w:cs="Times New Roman"/>
          <w:color w:val="000000" w:themeColor="text1"/>
          <w:lang w:val="uk-UA"/>
        </w:rPr>
        <w:t>демонструють</w:t>
      </w:r>
      <w:r w:rsidRPr="00502712">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 xml:space="preserve">дещо </w:t>
      </w:r>
      <w:r w:rsidRPr="001A694E">
        <w:rPr>
          <w:rFonts w:ascii="Times New Roman" w:hAnsi="Times New Roman" w:cs="Times New Roman"/>
          <w:color w:val="000000" w:themeColor="text1"/>
          <w:lang w:val="uk-UA"/>
        </w:rPr>
        <w:t>зменшену частоту СВВ</w:t>
      </w:r>
      <w:r>
        <w:rPr>
          <w:rFonts w:ascii="Times New Roman" w:hAnsi="Times New Roman" w:cs="Times New Roman"/>
          <w:color w:val="000000" w:themeColor="text1"/>
          <w:lang w:val="uk-UA"/>
        </w:rPr>
        <w:t xml:space="preserve"> у пацієнтів</w:t>
      </w:r>
      <w:r w:rsidRPr="006E07BD">
        <w:rPr>
          <w:rFonts w:ascii="Times New Roman" w:hAnsi="Times New Roman" w:cs="Times New Roman"/>
          <w:color w:val="000000" w:themeColor="text1"/>
          <w:lang w:val="uk-UA"/>
        </w:rPr>
        <w:t xml:space="preserve">, які отримують </w:t>
      </w:r>
      <w:r>
        <w:rPr>
          <w:rFonts w:ascii="Times New Roman" w:hAnsi="Times New Roman" w:cs="Times New Roman"/>
          <w:color w:val="000000" w:themeColor="text1"/>
          <w:lang w:val="uk-UA"/>
        </w:rPr>
        <w:t>високі дози</w:t>
      </w:r>
      <w:r w:rsidRPr="006E07BD">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інгібіторів протонно</w:t>
      </w:r>
      <w:r w:rsidR="00870D13">
        <w:rPr>
          <w:rFonts w:ascii="Times New Roman" w:hAnsi="Times New Roman" w:cs="Times New Roman"/>
          <w:color w:val="000000" w:themeColor="text1"/>
          <w:lang w:val="uk-UA"/>
        </w:rPr>
        <w:t>ї</w:t>
      </w:r>
      <w:r>
        <w:rPr>
          <w:rFonts w:ascii="Times New Roman" w:hAnsi="Times New Roman" w:cs="Times New Roman"/>
          <w:color w:val="000000" w:themeColor="text1"/>
          <w:lang w:val="uk-UA"/>
        </w:rPr>
        <w:t xml:space="preserve"> </w:t>
      </w:r>
      <w:r w:rsidR="00870D13">
        <w:rPr>
          <w:rFonts w:ascii="Times New Roman" w:hAnsi="Times New Roman" w:cs="Times New Roman"/>
          <w:color w:val="000000" w:themeColor="text1"/>
          <w:lang w:val="uk-UA"/>
        </w:rPr>
        <w:t>помпи</w:t>
      </w:r>
      <w:r w:rsidRPr="006E07BD">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що посилює</w:t>
      </w:r>
      <w:r w:rsidRPr="006E07BD">
        <w:rPr>
          <w:rFonts w:ascii="Times New Roman" w:hAnsi="Times New Roman" w:cs="Times New Roman"/>
          <w:color w:val="000000" w:themeColor="text1"/>
          <w:lang w:val="uk-UA"/>
        </w:rPr>
        <w:t xml:space="preserve"> необхідність </w:t>
      </w:r>
      <w:r>
        <w:rPr>
          <w:rFonts w:ascii="Times New Roman" w:hAnsi="Times New Roman" w:cs="Times New Roman"/>
          <w:color w:val="000000" w:themeColor="text1"/>
          <w:lang w:val="uk-UA"/>
        </w:rPr>
        <w:t>бути обережними</w:t>
      </w:r>
      <w:r w:rsidRPr="006E07BD">
        <w:rPr>
          <w:rFonts w:ascii="Times New Roman" w:hAnsi="Times New Roman" w:cs="Times New Roman"/>
          <w:color w:val="000000" w:themeColor="text1"/>
          <w:lang w:val="uk-UA"/>
        </w:rPr>
        <w:t xml:space="preserve"> при </w:t>
      </w:r>
      <w:r>
        <w:rPr>
          <w:rFonts w:ascii="Times New Roman" w:hAnsi="Times New Roman" w:cs="Times New Roman"/>
          <w:color w:val="000000" w:themeColor="text1"/>
          <w:lang w:val="uk-UA"/>
        </w:rPr>
        <w:t>застосуванні таких препаратів у пацієнтів,</w:t>
      </w:r>
      <w:r w:rsidRPr="006E07BD">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які приймають софосбувір</w:t>
      </w:r>
      <w:r w:rsidRPr="006E07BD">
        <w:rPr>
          <w:rFonts w:ascii="Times New Roman" w:hAnsi="Times New Roman" w:cs="Times New Roman"/>
          <w:color w:val="000000" w:themeColor="text1"/>
          <w:lang w:val="uk-UA"/>
        </w:rPr>
        <w:t xml:space="preserve"> та </w:t>
      </w:r>
      <w:r>
        <w:rPr>
          <w:rFonts w:ascii="Times New Roman" w:hAnsi="Times New Roman" w:cs="Times New Roman"/>
          <w:color w:val="000000" w:themeColor="text1"/>
          <w:lang w:val="uk-UA"/>
        </w:rPr>
        <w:t>ледіпасвір</w:t>
      </w:r>
      <w:r w:rsidRPr="00502712">
        <w:rPr>
          <w:rFonts w:ascii="Times New Roman" w:hAnsi="Times New Roman" w:cs="Times New Roman"/>
          <w:b/>
          <w:color w:val="000000" w:themeColor="text1"/>
          <w:vertAlign w:val="superscript"/>
          <w:lang w:val="uk-UA"/>
        </w:rPr>
        <w:t>63</w:t>
      </w:r>
      <w:r w:rsidRPr="006E07BD">
        <w:rPr>
          <w:rFonts w:ascii="Times New Roman" w:hAnsi="Times New Roman" w:cs="Times New Roman"/>
          <w:color w:val="000000" w:themeColor="text1"/>
          <w:lang w:val="uk-UA"/>
        </w:rPr>
        <w:t>.</w:t>
      </w:r>
    </w:p>
    <w:p w14:paraId="032530D2" w14:textId="77777777" w:rsidR="001D4CA2" w:rsidRDefault="001D4CA2" w:rsidP="001D4CA2">
      <w:pPr>
        <w:tabs>
          <w:tab w:val="left" w:pos="1089"/>
        </w:tabs>
        <w:ind w:left="360"/>
        <w:jc w:val="both"/>
        <w:rPr>
          <w:rFonts w:ascii="Times New Roman" w:hAnsi="Times New Roman" w:cs="Times New Roman"/>
          <w:color w:val="000000" w:themeColor="text1"/>
          <w:lang w:val="uk-UA"/>
        </w:rPr>
      </w:pPr>
    </w:p>
    <w:p w14:paraId="44CE8AE8" w14:textId="7873D01C" w:rsidR="001D4CA2" w:rsidRPr="005312A2" w:rsidRDefault="001D4CA2" w:rsidP="001D4CA2">
      <w:pPr>
        <w:tabs>
          <w:tab w:val="left" w:pos="1089"/>
        </w:tabs>
        <w:ind w:left="360"/>
        <w:jc w:val="both"/>
        <w:rPr>
          <w:rFonts w:ascii="Times New Roman" w:hAnsi="Times New Roman" w:cs="Times New Roman"/>
          <w:color w:val="000000" w:themeColor="text1"/>
          <w:lang w:val="uk-UA"/>
        </w:rPr>
      </w:pPr>
      <w:r w:rsidRPr="005312A2">
        <w:rPr>
          <w:rFonts w:ascii="Times New Roman" w:hAnsi="Times New Roman" w:cs="Times New Roman"/>
          <w:color w:val="000000" w:themeColor="text1"/>
          <w:lang w:val="uk-UA"/>
        </w:rPr>
        <w:t>Софосбувір /ледіпасвір можуть прийматися з усіма антиретровірусними препаратами. Проте через збільшення концентрації тенофовіра, коли фармакокінетичний підсилювач (ритонавір або кобіцистат) присутній в антиретровірусному режимі, ці комбінації (тобто атазанавір/ритонавір, дарунавір/ритонавір, лопінавір/ритонавір, елвітегравір/кобіцистат, атазанавір/кобіцистат, дарунавір/кобіцистат, все в поєднанні з тенофовір д</w:t>
      </w:r>
      <w:r w:rsidR="00F5160A">
        <w:rPr>
          <w:rFonts w:ascii="Times New Roman" w:hAnsi="Times New Roman" w:cs="Times New Roman"/>
          <w:color w:val="000000" w:themeColor="text1"/>
          <w:lang w:val="uk-UA"/>
        </w:rPr>
        <w:t>и</w:t>
      </w:r>
      <w:r w:rsidRPr="005312A2">
        <w:rPr>
          <w:rFonts w:ascii="Times New Roman" w:hAnsi="Times New Roman" w:cs="Times New Roman"/>
          <w:color w:val="000000" w:themeColor="text1"/>
          <w:lang w:val="uk-UA"/>
        </w:rPr>
        <w:t xml:space="preserve">зопроксіл фумаратом/емтрицитабін) слід використовувати з обережністю, з частим моніторингом функції нирок, якщо інші альтернативи недоступні. Взаємодія не пом'якшується прийомом препарату через 12 годин. </w:t>
      </w:r>
      <w:r w:rsidR="00F5160A">
        <w:rPr>
          <w:rFonts w:ascii="Times New Roman" w:hAnsi="Times New Roman" w:cs="Times New Roman"/>
          <w:color w:val="000000" w:themeColor="text1"/>
          <w:lang w:val="uk-UA"/>
        </w:rPr>
        <w:t>Оскільки р</w:t>
      </w:r>
      <w:r w:rsidRPr="005312A2">
        <w:rPr>
          <w:rFonts w:ascii="Times New Roman" w:hAnsi="Times New Roman" w:cs="Times New Roman"/>
          <w:color w:val="000000" w:themeColor="text1"/>
          <w:lang w:val="uk-UA"/>
        </w:rPr>
        <w:t xml:space="preserve">івень тенофовіру також збільшується </w:t>
      </w:r>
      <w:r w:rsidR="00F5160A">
        <w:rPr>
          <w:rFonts w:ascii="Times New Roman" w:hAnsi="Times New Roman" w:cs="Times New Roman"/>
          <w:color w:val="000000" w:themeColor="text1"/>
          <w:lang w:val="uk-UA"/>
        </w:rPr>
        <w:t>при прийомі схем</w:t>
      </w:r>
      <w:r w:rsidRPr="005312A2">
        <w:rPr>
          <w:rFonts w:ascii="Times New Roman" w:hAnsi="Times New Roman" w:cs="Times New Roman"/>
          <w:color w:val="000000" w:themeColor="text1"/>
          <w:lang w:val="uk-UA"/>
        </w:rPr>
        <w:t>, що містять ефавіренц, необхідна обережність. Нещодавнє схвалення тенофовір алафенаміду (TAF), що призводить до значного зниження рівня тенофовіру в плазмі, зменшує побоювання щодо взаємодії у результаті підвищення рівня тенофовіру.</w:t>
      </w:r>
    </w:p>
    <w:p w14:paraId="42B3BCFA" w14:textId="77777777" w:rsidR="001D4CA2" w:rsidRDefault="001D4CA2" w:rsidP="001D4CA2">
      <w:pPr>
        <w:tabs>
          <w:tab w:val="left" w:pos="1089"/>
        </w:tabs>
        <w:ind w:left="360"/>
        <w:rPr>
          <w:rFonts w:ascii="Times New Roman" w:hAnsi="Times New Roman" w:cs="Times New Roman"/>
          <w:b/>
          <w:color w:val="000000" w:themeColor="text1"/>
          <w:lang w:val="uk-UA"/>
        </w:rPr>
      </w:pPr>
    </w:p>
    <w:p w14:paraId="0465935F" w14:textId="77777777" w:rsidR="001D4CA2" w:rsidRDefault="001D4CA2" w:rsidP="001D4CA2">
      <w:pPr>
        <w:tabs>
          <w:tab w:val="left" w:pos="1089"/>
        </w:tabs>
        <w:jc w:val="both"/>
        <w:rPr>
          <w:rFonts w:ascii="Times New Roman" w:hAnsi="Times New Roman" w:cs="Times New Roman"/>
          <w:color w:val="000000" w:themeColor="text1"/>
          <w:lang w:val="uk-UA"/>
        </w:rPr>
      </w:pPr>
    </w:p>
    <w:p w14:paraId="47D3611A" w14:textId="262D7981" w:rsidR="001D4CA2" w:rsidRPr="00F832EB" w:rsidRDefault="001D4CA2" w:rsidP="001D4CA2">
      <w:pPr>
        <w:tabs>
          <w:tab w:val="left" w:pos="1089"/>
        </w:tabs>
        <w:ind w:left="360"/>
        <w:jc w:val="both"/>
        <w:rPr>
          <w:rFonts w:ascii="Times New Roman" w:hAnsi="Times New Roman" w:cs="Times New Roman"/>
          <w:b/>
          <w:color w:val="2E74B5" w:themeColor="accent1" w:themeShade="BF"/>
          <w:lang w:val="uk-UA"/>
        </w:rPr>
      </w:pPr>
      <w:r>
        <w:rPr>
          <w:rFonts w:ascii="Times New Roman" w:hAnsi="Times New Roman" w:cs="Times New Roman"/>
          <w:b/>
          <w:color w:val="2E74B5" w:themeColor="accent1" w:themeShade="BF"/>
          <w:lang w:val="uk-UA"/>
        </w:rPr>
        <w:t>Софосбувір і велпа</w:t>
      </w:r>
      <w:r w:rsidRPr="00F832EB">
        <w:rPr>
          <w:rFonts w:ascii="Times New Roman" w:hAnsi="Times New Roman" w:cs="Times New Roman"/>
          <w:b/>
          <w:color w:val="2E74B5" w:themeColor="accent1" w:themeShade="BF"/>
          <w:lang w:val="uk-UA"/>
        </w:rPr>
        <w:t>та</w:t>
      </w:r>
      <w:r>
        <w:rPr>
          <w:rFonts w:ascii="Times New Roman" w:hAnsi="Times New Roman" w:cs="Times New Roman"/>
          <w:b/>
          <w:color w:val="2E74B5" w:themeColor="accent1" w:themeShade="BF"/>
          <w:lang w:val="uk-UA"/>
        </w:rPr>
        <w:t>с</w:t>
      </w:r>
      <w:r w:rsidRPr="00F832EB">
        <w:rPr>
          <w:rFonts w:ascii="Times New Roman" w:hAnsi="Times New Roman" w:cs="Times New Roman"/>
          <w:b/>
          <w:color w:val="2E74B5" w:themeColor="accent1" w:themeShade="BF"/>
          <w:lang w:val="uk-UA"/>
        </w:rPr>
        <w:t>вір</w:t>
      </w:r>
    </w:p>
    <w:p w14:paraId="13410820" w14:textId="77777777" w:rsidR="001D4CA2" w:rsidRDefault="001D4CA2" w:rsidP="001D4CA2">
      <w:pPr>
        <w:tabs>
          <w:tab w:val="left" w:pos="1089"/>
        </w:tabs>
        <w:ind w:left="360"/>
        <w:jc w:val="both"/>
        <w:rPr>
          <w:rFonts w:ascii="Times New Roman" w:hAnsi="Times New Roman" w:cs="Times New Roman"/>
          <w:color w:val="000000" w:themeColor="text1"/>
          <w:lang w:val="uk-UA"/>
        </w:rPr>
      </w:pPr>
    </w:p>
    <w:p w14:paraId="40E179C2" w14:textId="3222F410" w:rsidR="001D4CA2" w:rsidRPr="00F832EB" w:rsidRDefault="001D4CA2" w:rsidP="001D4CA2">
      <w:pPr>
        <w:tabs>
          <w:tab w:val="left" w:pos="1089"/>
        </w:tabs>
        <w:ind w:left="360"/>
        <w:jc w:val="both"/>
        <w:rPr>
          <w:rFonts w:ascii="Times New Roman" w:hAnsi="Times New Roman" w:cs="Times New Roman"/>
          <w:color w:val="000000" w:themeColor="text1"/>
          <w:lang w:val="uk-UA"/>
        </w:rPr>
      </w:pPr>
      <w:r w:rsidRPr="009F1038">
        <w:rPr>
          <w:rFonts w:ascii="Times New Roman" w:hAnsi="Times New Roman" w:cs="Times New Roman"/>
          <w:color w:val="000000" w:themeColor="text1"/>
          <w:lang w:val="uk-UA"/>
        </w:rPr>
        <w:t xml:space="preserve">Софосбувір і велпатасвір доступні </w:t>
      </w:r>
      <w:r w:rsidRPr="00F832EB">
        <w:rPr>
          <w:rFonts w:ascii="Times New Roman" w:hAnsi="Times New Roman" w:cs="Times New Roman"/>
          <w:color w:val="000000" w:themeColor="text1"/>
          <w:lang w:val="uk-UA"/>
        </w:rPr>
        <w:t>в</w:t>
      </w:r>
      <w:r>
        <w:rPr>
          <w:rFonts w:ascii="Times New Roman" w:hAnsi="Times New Roman" w:cs="Times New Roman"/>
          <w:color w:val="000000" w:themeColor="text1"/>
          <w:lang w:val="uk-UA"/>
        </w:rPr>
        <w:t xml:space="preserve"> комбінації з фіксованою дозою двух препаратів</w:t>
      </w:r>
      <w:r w:rsidRPr="00F832EB">
        <w:rPr>
          <w:rFonts w:ascii="Times New Roman" w:hAnsi="Times New Roman" w:cs="Times New Roman"/>
          <w:color w:val="000000" w:themeColor="text1"/>
          <w:lang w:val="uk-UA"/>
        </w:rPr>
        <w:t xml:space="preserve">, що містять 400 мг софосбувіру і 100 мг </w:t>
      </w:r>
      <w:r w:rsidRPr="009F1038">
        <w:rPr>
          <w:rFonts w:ascii="Times New Roman" w:hAnsi="Times New Roman" w:cs="Times New Roman"/>
          <w:color w:val="000000" w:themeColor="text1"/>
          <w:lang w:val="uk-UA"/>
        </w:rPr>
        <w:t>велпатасвір</w:t>
      </w:r>
      <w:r>
        <w:rPr>
          <w:rFonts w:ascii="Times New Roman" w:hAnsi="Times New Roman" w:cs="Times New Roman"/>
          <w:color w:val="000000" w:themeColor="text1"/>
          <w:lang w:val="uk-UA"/>
        </w:rPr>
        <w:t>у</w:t>
      </w:r>
      <w:r w:rsidRPr="00F832EB">
        <w:rPr>
          <w:rFonts w:ascii="Times New Roman" w:hAnsi="Times New Roman" w:cs="Times New Roman"/>
          <w:color w:val="000000" w:themeColor="text1"/>
          <w:lang w:val="uk-UA"/>
        </w:rPr>
        <w:t xml:space="preserve"> в одній таблетці. Рекомендована доза цієї комбінації </w:t>
      </w:r>
      <w:r w:rsidR="00FC6D8A">
        <w:rPr>
          <w:rFonts w:ascii="Times New Roman" w:hAnsi="Times New Roman" w:cs="Times New Roman"/>
          <w:color w:val="000000" w:themeColor="text1"/>
          <w:lang w:val="uk-UA"/>
        </w:rPr>
        <w:t>–</w:t>
      </w:r>
      <w:r w:rsidRPr="00F832EB">
        <w:rPr>
          <w:rFonts w:ascii="Times New Roman" w:hAnsi="Times New Roman" w:cs="Times New Roman"/>
          <w:color w:val="000000" w:themeColor="text1"/>
          <w:lang w:val="uk-UA"/>
        </w:rPr>
        <w:t xml:space="preserve"> одна таблетка, що приймається перорально один раз </w:t>
      </w:r>
      <w:r>
        <w:rPr>
          <w:rFonts w:ascii="Times New Roman" w:hAnsi="Times New Roman" w:cs="Times New Roman"/>
          <w:color w:val="000000" w:themeColor="text1"/>
          <w:lang w:val="uk-UA"/>
        </w:rPr>
        <w:t>на</w:t>
      </w:r>
      <w:r w:rsidRPr="00F832EB">
        <w:rPr>
          <w:rFonts w:ascii="Times New Roman" w:hAnsi="Times New Roman" w:cs="Times New Roman"/>
          <w:color w:val="000000" w:themeColor="text1"/>
          <w:lang w:val="uk-UA"/>
        </w:rPr>
        <w:t xml:space="preserve"> день </w:t>
      </w:r>
      <w:r w:rsidR="005C66E8">
        <w:rPr>
          <w:rFonts w:ascii="Times New Roman" w:hAnsi="Times New Roman" w:cs="Times New Roman"/>
          <w:color w:val="000000" w:themeColor="text1"/>
          <w:lang w:val="uk-UA"/>
        </w:rPr>
        <w:t>незалежно від прийому</w:t>
      </w:r>
      <w:r w:rsidRPr="00F832EB">
        <w:rPr>
          <w:rFonts w:ascii="Times New Roman" w:hAnsi="Times New Roman" w:cs="Times New Roman"/>
          <w:color w:val="000000" w:themeColor="text1"/>
          <w:lang w:val="uk-UA"/>
        </w:rPr>
        <w:t xml:space="preserve"> їжі.</w:t>
      </w:r>
    </w:p>
    <w:p w14:paraId="2508E1EB" w14:textId="77777777" w:rsidR="001D4CA2" w:rsidRDefault="001D4CA2" w:rsidP="001D4CA2">
      <w:pPr>
        <w:tabs>
          <w:tab w:val="left" w:pos="1089"/>
        </w:tabs>
        <w:ind w:left="360"/>
        <w:jc w:val="both"/>
        <w:rPr>
          <w:rFonts w:ascii="Times New Roman" w:hAnsi="Times New Roman" w:cs="Times New Roman"/>
          <w:color w:val="000000" w:themeColor="text1"/>
          <w:lang w:val="uk-UA"/>
        </w:rPr>
      </w:pPr>
    </w:p>
    <w:p w14:paraId="60CFB110" w14:textId="2AFCAA00" w:rsidR="001D4CA2" w:rsidRDefault="001D4CA2" w:rsidP="001D4CA2">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В</w:t>
      </w:r>
      <w:r w:rsidRPr="009F1038">
        <w:rPr>
          <w:rFonts w:ascii="Times New Roman" w:hAnsi="Times New Roman" w:cs="Times New Roman"/>
          <w:color w:val="000000" w:themeColor="text1"/>
          <w:lang w:val="uk-UA"/>
        </w:rPr>
        <w:t>елпатасвір</w:t>
      </w:r>
      <w:r>
        <w:rPr>
          <w:rFonts w:ascii="Times New Roman" w:hAnsi="Times New Roman" w:cs="Times New Roman"/>
          <w:color w:val="000000" w:themeColor="text1"/>
          <w:lang w:val="uk-UA"/>
        </w:rPr>
        <w:t xml:space="preserve"> </w:t>
      </w:r>
      <w:r w:rsidRPr="007C2563">
        <w:rPr>
          <w:rFonts w:ascii="Times New Roman" w:hAnsi="Times New Roman" w:cs="Times New Roman"/>
          <w:color w:val="000000" w:themeColor="text1"/>
          <w:lang w:val="uk-UA"/>
        </w:rPr>
        <w:t>метаболізується in vitro ізоферментами CYP2B6, CYP2C8 і CYP3A4. Проте, через повільний метаболізм, переважна більшість препарату у плазмі крові є основною субстанцією препарату. Важливо відзначити</w:t>
      </w:r>
      <w:r w:rsidRPr="00F832EB">
        <w:rPr>
          <w:rFonts w:ascii="Times New Roman" w:hAnsi="Times New Roman" w:cs="Times New Roman"/>
          <w:color w:val="000000" w:themeColor="text1"/>
          <w:lang w:val="uk-UA"/>
        </w:rPr>
        <w:t xml:space="preserve">, що </w:t>
      </w:r>
      <w:r w:rsidRPr="009F1038">
        <w:rPr>
          <w:rFonts w:ascii="Times New Roman" w:hAnsi="Times New Roman" w:cs="Times New Roman"/>
          <w:color w:val="000000" w:themeColor="text1"/>
          <w:lang w:val="uk-UA"/>
        </w:rPr>
        <w:t>велпатасвір</w:t>
      </w:r>
      <w:r w:rsidRPr="00F832EB">
        <w:rPr>
          <w:rFonts w:ascii="Times New Roman" w:hAnsi="Times New Roman" w:cs="Times New Roman"/>
          <w:color w:val="000000" w:themeColor="text1"/>
          <w:lang w:val="uk-UA"/>
        </w:rPr>
        <w:t xml:space="preserve"> транспортується </w:t>
      </w:r>
      <w:r w:rsidR="004D2A4F">
        <w:rPr>
          <w:rFonts w:ascii="Times New Roman" w:hAnsi="Times New Roman" w:cs="Times New Roman"/>
          <w:color w:val="000000" w:themeColor="text1"/>
          <w:lang w:val="uk-UA"/>
        </w:rPr>
        <w:t xml:space="preserve">P-gp </w:t>
      </w:r>
      <w:r w:rsidRPr="00F832EB">
        <w:rPr>
          <w:rFonts w:ascii="Times New Roman" w:hAnsi="Times New Roman" w:cs="Times New Roman"/>
          <w:color w:val="000000" w:themeColor="text1"/>
          <w:lang w:val="uk-UA"/>
        </w:rPr>
        <w:t>і BCRP і, в обмеженій мірі, о</w:t>
      </w:r>
      <w:r>
        <w:rPr>
          <w:rFonts w:ascii="Times New Roman" w:hAnsi="Times New Roman" w:cs="Times New Roman"/>
          <w:color w:val="000000" w:themeColor="text1"/>
          <w:lang w:val="uk-UA"/>
        </w:rPr>
        <w:t>рганічним аніоном, що транспортуює поліпептид</w:t>
      </w:r>
      <w:r w:rsidRPr="00F832EB">
        <w:rPr>
          <w:rFonts w:ascii="Times New Roman" w:hAnsi="Times New Roman" w:cs="Times New Roman"/>
          <w:color w:val="000000" w:themeColor="text1"/>
          <w:lang w:val="uk-UA"/>
        </w:rPr>
        <w:t xml:space="preserve"> (OATP) OATP1</w:t>
      </w:r>
      <w:r>
        <w:rPr>
          <w:rFonts w:ascii="Times New Roman" w:hAnsi="Times New Roman" w:cs="Times New Roman"/>
          <w:color w:val="000000" w:themeColor="text1"/>
          <w:lang w:val="uk-UA"/>
        </w:rPr>
        <w:t>B1. Біліарна екскреція (</w:t>
      </w:r>
      <w:r w:rsidRPr="009B1524">
        <w:rPr>
          <w:rFonts w:ascii="Times New Roman" w:hAnsi="Times New Roman" w:cs="Times New Roman"/>
          <w:color w:val="000000" w:themeColor="text1"/>
          <w:lang w:val="uk-UA"/>
        </w:rPr>
        <w:t>з жовчю</w:t>
      </w:r>
      <w:r>
        <w:rPr>
          <w:rFonts w:ascii="Times New Roman" w:hAnsi="Times New Roman" w:cs="Times New Roman"/>
          <w:color w:val="000000" w:themeColor="text1"/>
          <w:lang w:val="uk-UA"/>
        </w:rPr>
        <w:t xml:space="preserve">) </w:t>
      </w:r>
      <w:r w:rsidRPr="00F832EB">
        <w:rPr>
          <w:rFonts w:ascii="Times New Roman" w:hAnsi="Times New Roman" w:cs="Times New Roman"/>
          <w:color w:val="000000" w:themeColor="text1"/>
          <w:lang w:val="uk-UA"/>
        </w:rPr>
        <w:t>препарату є основним шляхом виведення</w:t>
      </w:r>
      <w:r>
        <w:rPr>
          <w:rFonts w:ascii="Times New Roman" w:hAnsi="Times New Roman" w:cs="Times New Roman"/>
          <w:color w:val="000000" w:themeColor="text1"/>
          <w:lang w:val="uk-UA"/>
        </w:rPr>
        <w:t>. Середній період напіввиведення</w:t>
      </w:r>
      <w:r w:rsidRPr="00F832EB">
        <w:rPr>
          <w:rFonts w:ascii="Times New Roman" w:hAnsi="Times New Roman" w:cs="Times New Roman"/>
          <w:color w:val="000000" w:themeColor="text1"/>
          <w:lang w:val="uk-UA"/>
        </w:rPr>
        <w:t xml:space="preserve"> </w:t>
      </w:r>
      <w:r w:rsidRPr="009F1038">
        <w:rPr>
          <w:rFonts w:ascii="Times New Roman" w:hAnsi="Times New Roman" w:cs="Times New Roman"/>
          <w:color w:val="000000" w:themeColor="text1"/>
          <w:lang w:val="uk-UA"/>
        </w:rPr>
        <w:t>велпатасвір</w:t>
      </w:r>
      <w:r>
        <w:rPr>
          <w:rFonts w:ascii="Times New Roman" w:hAnsi="Times New Roman" w:cs="Times New Roman"/>
          <w:color w:val="000000" w:themeColor="text1"/>
          <w:lang w:val="uk-UA"/>
        </w:rPr>
        <w:t>у</w:t>
      </w:r>
      <w:r w:rsidRPr="00F832EB">
        <w:rPr>
          <w:rFonts w:ascii="Times New Roman" w:hAnsi="Times New Roman" w:cs="Times New Roman"/>
          <w:color w:val="000000" w:themeColor="text1"/>
          <w:lang w:val="uk-UA"/>
        </w:rPr>
        <w:t xml:space="preserve"> при адсорбції софосбувіру і </w:t>
      </w:r>
      <w:r w:rsidRPr="009F1038">
        <w:rPr>
          <w:rFonts w:ascii="Times New Roman" w:hAnsi="Times New Roman" w:cs="Times New Roman"/>
          <w:color w:val="000000" w:themeColor="text1"/>
          <w:lang w:val="uk-UA"/>
        </w:rPr>
        <w:t>велпатасвір</w:t>
      </w:r>
      <w:r w:rsidRPr="00F832EB">
        <w:rPr>
          <w:rFonts w:ascii="Times New Roman" w:hAnsi="Times New Roman" w:cs="Times New Roman"/>
          <w:color w:val="000000" w:themeColor="text1"/>
          <w:lang w:val="uk-UA"/>
        </w:rPr>
        <w:t xml:space="preserve"> становить приблизно 15 год.</w:t>
      </w:r>
    </w:p>
    <w:p w14:paraId="3B7AD50D" w14:textId="724C39EC" w:rsidR="001D4CA2" w:rsidRDefault="001D4CA2" w:rsidP="005312A2">
      <w:pPr>
        <w:tabs>
          <w:tab w:val="left" w:pos="1089"/>
        </w:tabs>
        <w:ind w:left="360"/>
        <w:jc w:val="both"/>
        <w:rPr>
          <w:rFonts w:ascii="Times New Roman" w:hAnsi="Times New Roman" w:cs="Times New Roman"/>
          <w:b/>
          <w:color w:val="000000" w:themeColor="text1"/>
          <w:lang w:val="uk-UA"/>
        </w:rPr>
      </w:pPr>
    </w:p>
    <w:p w14:paraId="715709A5" w14:textId="641C0A07" w:rsidR="001D4CA2" w:rsidRDefault="001D4CA2" w:rsidP="005312A2">
      <w:pPr>
        <w:tabs>
          <w:tab w:val="left" w:pos="1089"/>
        </w:tabs>
        <w:ind w:left="360"/>
        <w:jc w:val="both"/>
        <w:rPr>
          <w:rFonts w:ascii="Times New Roman" w:hAnsi="Times New Roman" w:cs="Times New Roman"/>
          <w:color w:val="000000" w:themeColor="text1"/>
          <w:lang w:val="uk-UA"/>
        </w:rPr>
      </w:pPr>
    </w:p>
    <w:p w14:paraId="22B98876" w14:textId="42B4C925" w:rsidR="007C2563" w:rsidRDefault="007C2563" w:rsidP="005312A2">
      <w:pPr>
        <w:tabs>
          <w:tab w:val="left" w:pos="1089"/>
        </w:tabs>
        <w:ind w:left="360"/>
        <w:jc w:val="both"/>
        <w:rPr>
          <w:rFonts w:ascii="Times New Roman" w:hAnsi="Times New Roman" w:cs="Times New Roman"/>
          <w:color w:val="000000" w:themeColor="text1"/>
          <w:lang w:val="uk-UA"/>
        </w:rPr>
      </w:pPr>
    </w:p>
    <w:p w14:paraId="2C9565B6" w14:textId="7A6BC5B7" w:rsidR="007C2563" w:rsidRDefault="007C2563" w:rsidP="005312A2">
      <w:pPr>
        <w:tabs>
          <w:tab w:val="left" w:pos="1089"/>
        </w:tabs>
        <w:ind w:left="360"/>
        <w:jc w:val="both"/>
        <w:rPr>
          <w:rFonts w:ascii="Times New Roman" w:hAnsi="Times New Roman" w:cs="Times New Roman"/>
          <w:color w:val="000000" w:themeColor="text1"/>
          <w:lang w:val="uk-UA"/>
        </w:rPr>
      </w:pPr>
    </w:p>
    <w:p w14:paraId="138CEC14" w14:textId="204972A4" w:rsidR="007C2563" w:rsidRDefault="007C2563" w:rsidP="005312A2">
      <w:pPr>
        <w:tabs>
          <w:tab w:val="left" w:pos="1089"/>
        </w:tabs>
        <w:ind w:left="360"/>
        <w:jc w:val="both"/>
        <w:rPr>
          <w:rFonts w:ascii="Times New Roman" w:hAnsi="Times New Roman" w:cs="Times New Roman"/>
          <w:color w:val="000000" w:themeColor="text1"/>
          <w:lang w:val="uk-UA"/>
        </w:rPr>
      </w:pPr>
    </w:p>
    <w:p w14:paraId="3CBFB9F9" w14:textId="77777777" w:rsidR="007C2563" w:rsidRDefault="007C2563" w:rsidP="005312A2">
      <w:pPr>
        <w:tabs>
          <w:tab w:val="left" w:pos="1089"/>
        </w:tabs>
        <w:ind w:left="360"/>
        <w:jc w:val="both"/>
        <w:rPr>
          <w:rFonts w:ascii="Times New Roman" w:hAnsi="Times New Roman" w:cs="Times New Roman"/>
          <w:color w:val="000000" w:themeColor="text1"/>
          <w:lang w:val="uk-UA"/>
        </w:rPr>
      </w:pPr>
    </w:p>
    <w:p w14:paraId="6CA9D1C2" w14:textId="49E0FACF" w:rsidR="00D065CC" w:rsidRDefault="00D065CC" w:rsidP="005312A2">
      <w:pPr>
        <w:tabs>
          <w:tab w:val="left" w:pos="1089"/>
        </w:tabs>
        <w:ind w:left="360"/>
        <w:jc w:val="both"/>
        <w:rPr>
          <w:rFonts w:ascii="Times New Roman" w:hAnsi="Times New Roman" w:cs="Times New Roman"/>
          <w:color w:val="000000" w:themeColor="text1"/>
          <w:lang w:val="uk-UA"/>
        </w:rPr>
      </w:pPr>
    </w:p>
    <w:p w14:paraId="5702B070" w14:textId="77777777" w:rsidR="00D065CC" w:rsidRDefault="00D065CC" w:rsidP="005312A2">
      <w:pPr>
        <w:tabs>
          <w:tab w:val="left" w:pos="1089"/>
        </w:tabs>
        <w:ind w:left="360"/>
        <w:jc w:val="both"/>
        <w:rPr>
          <w:rFonts w:ascii="Times New Roman" w:hAnsi="Times New Roman" w:cs="Times New Roman"/>
          <w:color w:val="000000" w:themeColor="text1"/>
          <w:lang w:val="uk-UA"/>
        </w:rPr>
      </w:pPr>
    </w:p>
    <w:p w14:paraId="1484F8A9" w14:textId="79A1328E" w:rsidR="005312A2" w:rsidRDefault="005312A2" w:rsidP="005312A2">
      <w:pPr>
        <w:tabs>
          <w:tab w:val="left" w:pos="1089"/>
        </w:tabs>
        <w:rPr>
          <w:rFonts w:ascii="Times New Roman" w:hAnsi="Times New Roman" w:cs="Times New Roman"/>
          <w:b/>
          <w:color w:val="000000" w:themeColor="text1"/>
          <w:lang w:val="uk-UA"/>
        </w:rPr>
      </w:pPr>
      <w:r w:rsidRPr="00B40817">
        <w:rPr>
          <w:rFonts w:ascii="Times New Roman" w:hAnsi="Times New Roman" w:cs="Times New Roman"/>
          <w:b/>
          <w:color w:val="000000" w:themeColor="text1"/>
          <w:lang w:val="uk-UA"/>
        </w:rPr>
        <w:lastRenderedPageBreak/>
        <w:t>Таблиця 4Е</w:t>
      </w:r>
      <w:r>
        <w:rPr>
          <w:rFonts w:ascii="Times New Roman" w:hAnsi="Times New Roman" w:cs="Times New Roman"/>
          <w:b/>
          <w:color w:val="000000" w:themeColor="text1"/>
          <w:lang w:val="uk-UA"/>
        </w:rPr>
        <w:t xml:space="preserve">. Лікарські взаємодії між ПППД та </w:t>
      </w:r>
      <w:r w:rsidR="002E47FC">
        <w:rPr>
          <w:rFonts w:ascii="Times New Roman" w:hAnsi="Times New Roman" w:cs="Times New Roman"/>
          <w:b/>
          <w:color w:val="000000" w:themeColor="text1"/>
          <w:lang w:val="uk-UA"/>
        </w:rPr>
        <w:t xml:space="preserve">препаратами для лікування </w:t>
      </w:r>
      <w:r>
        <w:rPr>
          <w:rFonts w:ascii="Times New Roman" w:hAnsi="Times New Roman" w:cs="Times New Roman"/>
          <w:b/>
          <w:color w:val="000000" w:themeColor="text1"/>
          <w:lang w:val="uk-UA"/>
        </w:rPr>
        <w:t>серцево</w:t>
      </w:r>
      <w:r w:rsidR="00FC6D8A">
        <w:rPr>
          <w:rFonts w:ascii="Times New Roman" w:hAnsi="Times New Roman" w:cs="Times New Roman"/>
          <w:b/>
          <w:color w:val="000000" w:themeColor="text1"/>
          <w:lang w:val="uk-UA"/>
        </w:rPr>
        <w:t>–</w:t>
      </w:r>
      <w:r>
        <w:rPr>
          <w:rFonts w:ascii="Times New Roman" w:hAnsi="Times New Roman" w:cs="Times New Roman"/>
          <w:b/>
          <w:color w:val="000000" w:themeColor="text1"/>
          <w:lang w:val="uk-UA"/>
        </w:rPr>
        <w:t>судинни</w:t>
      </w:r>
      <w:r w:rsidR="002E47FC">
        <w:rPr>
          <w:rFonts w:ascii="Times New Roman" w:hAnsi="Times New Roman" w:cs="Times New Roman"/>
          <w:b/>
          <w:color w:val="000000" w:themeColor="text1"/>
          <w:lang w:val="uk-UA"/>
        </w:rPr>
        <w:t>х захворювань</w:t>
      </w:r>
    </w:p>
    <w:p w14:paraId="4C442709" w14:textId="264EA21E" w:rsidR="005312A2" w:rsidRDefault="005312A2" w:rsidP="005312A2">
      <w:pPr>
        <w:tabs>
          <w:tab w:val="left" w:pos="1089"/>
        </w:tabs>
        <w:rPr>
          <w:rFonts w:ascii="Times New Roman" w:hAnsi="Times New Roman" w:cs="Times New Roman"/>
          <w:b/>
          <w:color w:val="000000" w:themeColor="text1"/>
          <w:lang w:val="uk-UA"/>
        </w:rPr>
      </w:pPr>
    </w:p>
    <w:tbl>
      <w:tblPr>
        <w:tblStyle w:val="a6"/>
        <w:tblW w:w="0" w:type="auto"/>
        <w:tblLayout w:type="fixed"/>
        <w:tblLook w:val="04A0" w:firstRow="1" w:lastRow="0" w:firstColumn="1" w:lastColumn="0" w:noHBand="0" w:noVBand="1"/>
      </w:tblPr>
      <w:tblGrid>
        <w:gridCol w:w="1129"/>
        <w:gridCol w:w="1843"/>
        <w:gridCol w:w="992"/>
        <w:gridCol w:w="851"/>
        <w:gridCol w:w="850"/>
        <w:gridCol w:w="851"/>
        <w:gridCol w:w="850"/>
        <w:gridCol w:w="851"/>
        <w:gridCol w:w="850"/>
      </w:tblGrid>
      <w:tr w:rsidR="002E47FC" w14:paraId="600579A0" w14:textId="77777777" w:rsidTr="00D005A1">
        <w:tc>
          <w:tcPr>
            <w:tcW w:w="1129" w:type="dxa"/>
            <w:tcBorders>
              <w:bottom w:val="single" w:sz="12" w:space="0" w:color="auto"/>
            </w:tcBorders>
            <w:vAlign w:val="center"/>
          </w:tcPr>
          <w:p w14:paraId="52F16442"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1843" w:type="dxa"/>
            <w:tcBorders>
              <w:bottom w:val="single" w:sz="12" w:space="0" w:color="auto"/>
            </w:tcBorders>
            <w:vAlign w:val="center"/>
          </w:tcPr>
          <w:p w14:paraId="11A01CAF"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992" w:type="dxa"/>
            <w:tcBorders>
              <w:bottom w:val="single" w:sz="12" w:space="0" w:color="auto"/>
            </w:tcBorders>
            <w:vAlign w:val="center"/>
          </w:tcPr>
          <w:p w14:paraId="46791DD8"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w:t>
            </w:r>
          </w:p>
        </w:tc>
        <w:tc>
          <w:tcPr>
            <w:tcW w:w="851" w:type="dxa"/>
            <w:tcBorders>
              <w:bottom w:val="single" w:sz="12" w:space="0" w:color="auto"/>
            </w:tcBorders>
            <w:vAlign w:val="center"/>
          </w:tcPr>
          <w:p w14:paraId="2F7AD11E"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SOF/LDV</w:t>
            </w:r>
          </w:p>
        </w:tc>
        <w:tc>
          <w:tcPr>
            <w:tcW w:w="850" w:type="dxa"/>
            <w:tcBorders>
              <w:bottom w:val="single" w:sz="12" w:space="0" w:color="auto"/>
            </w:tcBorders>
            <w:vAlign w:val="center"/>
          </w:tcPr>
          <w:p w14:paraId="15B54A16"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SOF/VEL</w:t>
            </w:r>
          </w:p>
        </w:tc>
        <w:tc>
          <w:tcPr>
            <w:tcW w:w="851" w:type="dxa"/>
            <w:tcBorders>
              <w:bottom w:val="single" w:sz="12" w:space="0" w:color="auto"/>
            </w:tcBorders>
            <w:vAlign w:val="center"/>
          </w:tcPr>
          <w:p w14:paraId="66E7EDD4"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OBV/PTV/r+</w:t>
            </w:r>
            <w:r w:rsidRPr="00002FE3">
              <w:rPr>
                <w:rFonts w:ascii="Times New Roman" w:hAnsi="Times New Roman" w:cs="Times New Roman"/>
                <w:b/>
                <w:color w:val="000000" w:themeColor="text1"/>
                <w:sz w:val="22"/>
                <w:szCs w:val="22"/>
                <w:lang w:val="uk-UA" w:eastAsia="ru-RU"/>
              </w:rPr>
              <w:t xml:space="preserve"> </w:t>
            </w:r>
            <w:r w:rsidRPr="00002FE3">
              <w:rPr>
                <w:rFonts w:ascii="Times New Roman" w:hAnsi="Times New Roman" w:cs="Times New Roman"/>
                <w:b/>
                <w:color w:val="000000" w:themeColor="text1"/>
                <w:sz w:val="22"/>
                <w:szCs w:val="22"/>
                <w:lang w:val="it-IT" w:eastAsia="ru-RU"/>
              </w:rPr>
              <w:t>DSV</w:t>
            </w:r>
          </w:p>
        </w:tc>
        <w:tc>
          <w:tcPr>
            <w:tcW w:w="850" w:type="dxa"/>
            <w:tcBorders>
              <w:bottom w:val="single" w:sz="12" w:space="0" w:color="auto"/>
            </w:tcBorders>
            <w:vAlign w:val="center"/>
          </w:tcPr>
          <w:p w14:paraId="6A9BD4ED"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GZR/EBR</w:t>
            </w:r>
          </w:p>
        </w:tc>
        <w:tc>
          <w:tcPr>
            <w:tcW w:w="851" w:type="dxa"/>
            <w:tcBorders>
              <w:bottom w:val="single" w:sz="12" w:space="0" w:color="auto"/>
            </w:tcBorders>
            <w:vAlign w:val="center"/>
          </w:tcPr>
          <w:p w14:paraId="77446C0D"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SOF/VEL/VOX</w:t>
            </w:r>
          </w:p>
        </w:tc>
        <w:tc>
          <w:tcPr>
            <w:tcW w:w="850" w:type="dxa"/>
            <w:tcBorders>
              <w:bottom w:val="single" w:sz="12" w:space="0" w:color="auto"/>
            </w:tcBorders>
            <w:vAlign w:val="center"/>
          </w:tcPr>
          <w:p w14:paraId="16F21467"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GLE/PIB</w:t>
            </w:r>
          </w:p>
        </w:tc>
      </w:tr>
      <w:tr w:rsidR="00107FF5" w14:paraId="3113C5BC" w14:textId="77777777" w:rsidTr="00D005A1">
        <w:tc>
          <w:tcPr>
            <w:tcW w:w="1129" w:type="dxa"/>
            <w:vMerge w:val="restart"/>
            <w:tcBorders>
              <w:top w:val="single" w:sz="12" w:space="0" w:color="auto"/>
              <w:left w:val="single" w:sz="12" w:space="0" w:color="auto"/>
            </w:tcBorders>
            <w:textDirection w:val="btLr"/>
            <w:vAlign w:val="center"/>
          </w:tcPr>
          <w:p w14:paraId="4D17D088" w14:textId="7F71E555" w:rsidR="00107FF5" w:rsidRPr="00D005A1" w:rsidRDefault="00107FF5" w:rsidP="00107FF5">
            <w:pPr>
              <w:spacing w:beforeAutospacing="1" w:afterAutospacing="1"/>
              <w:ind w:left="113" w:right="113"/>
              <w:jc w:val="center"/>
              <w:textAlignment w:val="baseline"/>
              <w:rPr>
                <w:rFonts w:ascii="Times New Roman" w:hAnsi="Times New Roman" w:cs="Times New Roman"/>
                <w:b/>
                <w:color w:val="000000" w:themeColor="text1"/>
                <w:sz w:val="20"/>
                <w:szCs w:val="20"/>
                <w:lang w:val="uk-UA" w:eastAsia="ru-RU"/>
              </w:rPr>
            </w:pPr>
            <w:r w:rsidRPr="00D005A1">
              <w:rPr>
                <w:rFonts w:ascii="Times New Roman" w:hAnsi="Times New Roman" w:cs="Times New Roman"/>
                <w:b/>
                <w:color w:val="000000" w:themeColor="text1"/>
                <w:sz w:val="20"/>
                <w:szCs w:val="20"/>
                <w:lang w:val="uk-UA" w:eastAsia="ru-RU"/>
              </w:rPr>
              <w:t>Антиаритмічні</w:t>
            </w:r>
          </w:p>
        </w:tc>
        <w:tc>
          <w:tcPr>
            <w:tcW w:w="1843" w:type="dxa"/>
            <w:tcBorders>
              <w:top w:val="single" w:sz="12" w:space="0" w:color="auto"/>
            </w:tcBorders>
            <w:vAlign w:val="center"/>
          </w:tcPr>
          <w:p w14:paraId="25A7D058" w14:textId="49936D0C" w:rsidR="00107FF5" w:rsidRPr="00002FE3" w:rsidRDefault="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Аміодарон</w:t>
            </w:r>
          </w:p>
        </w:tc>
        <w:tc>
          <w:tcPr>
            <w:tcW w:w="992" w:type="dxa"/>
            <w:tcBorders>
              <w:top w:val="single" w:sz="12" w:space="0" w:color="auto"/>
            </w:tcBorders>
            <w:shd w:val="clear" w:color="auto" w:fill="FF5050"/>
            <w:vAlign w:val="center"/>
          </w:tcPr>
          <w:p w14:paraId="31F078C4" w14:textId="301AFC2A"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FF5050"/>
          </w:tcPr>
          <w:p w14:paraId="7155C4E7" w14:textId="02C6CB5A"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F472E1">
              <w:rPr>
                <w:rFonts w:ascii="Times New Roman" w:hAnsi="Times New Roman" w:cs="Times New Roman"/>
                <w:b/>
                <w:color w:val="000000" w:themeColor="text1"/>
                <w:sz w:val="22"/>
                <w:szCs w:val="22"/>
                <w:lang w:val="uk-UA" w:eastAsia="ru-RU"/>
              </w:rPr>
              <w:t>●</w:t>
            </w:r>
          </w:p>
        </w:tc>
        <w:tc>
          <w:tcPr>
            <w:tcW w:w="850" w:type="dxa"/>
            <w:tcBorders>
              <w:top w:val="single" w:sz="12" w:space="0" w:color="auto"/>
            </w:tcBorders>
            <w:shd w:val="clear" w:color="auto" w:fill="FF5050"/>
          </w:tcPr>
          <w:p w14:paraId="026FB99F" w14:textId="3D82FE78"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F472E1">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FF5050"/>
          </w:tcPr>
          <w:p w14:paraId="1330CB3A" w14:textId="0CD55CEC"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F472E1">
              <w:rPr>
                <w:rFonts w:ascii="Times New Roman" w:hAnsi="Times New Roman" w:cs="Times New Roman"/>
                <w:b/>
                <w:color w:val="000000" w:themeColor="text1"/>
                <w:sz w:val="22"/>
                <w:szCs w:val="22"/>
                <w:lang w:val="uk-UA" w:eastAsia="ru-RU"/>
              </w:rPr>
              <w:t>●</w:t>
            </w:r>
          </w:p>
        </w:tc>
        <w:tc>
          <w:tcPr>
            <w:tcW w:w="850" w:type="dxa"/>
            <w:tcBorders>
              <w:top w:val="single" w:sz="12" w:space="0" w:color="auto"/>
            </w:tcBorders>
            <w:shd w:val="clear" w:color="auto" w:fill="F7CAAC" w:themeFill="accent2" w:themeFillTint="66"/>
            <w:vAlign w:val="center"/>
          </w:tcPr>
          <w:p w14:paraId="51F127F8" w14:textId="4B384CDE"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3F5D2D">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FF5050"/>
            <w:vAlign w:val="center"/>
          </w:tcPr>
          <w:p w14:paraId="2B9732E8" w14:textId="0459C92A"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12" w:space="0" w:color="auto"/>
              <w:right w:val="single" w:sz="12" w:space="0" w:color="auto"/>
            </w:tcBorders>
            <w:shd w:val="clear" w:color="auto" w:fill="F7CAAC" w:themeFill="accent2" w:themeFillTint="66"/>
            <w:vAlign w:val="center"/>
          </w:tcPr>
          <w:p w14:paraId="6288B1A4" w14:textId="3091D7FF"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3F5D2D">
              <w:rPr>
                <w:rFonts w:ascii="Times New Roman" w:hAnsi="Times New Roman" w:cs="Times New Roman"/>
                <w:b/>
                <w:color w:val="000000" w:themeColor="text1"/>
                <w:sz w:val="22"/>
                <w:szCs w:val="22"/>
                <w:lang w:val="uk-UA" w:eastAsia="ru-RU"/>
              </w:rPr>
              <w:t>■</w:t>
            </w:r>
          </w:p>
        </w:tc>
      </w:tr>
      <w:tr w:rsidR="00107FF5" w14:paraId="037FD1A8" w14:textId="77777777" w:rsidTr="00D005A1">
        <w:tc>
          <w:tcPr>
            <w:tcW w:w="1129" w:type="dxa"/>
            <w:vMerge/>
            <w:tcBorders>
              <w:left w:val="single" w:sz="12" w:space="0" w:color="auto"/>
            </w:tcBorders>
            <w:vAlign w:val="center"/>
          </w:tcPr>
          <w:p w14:paraId="5E957903" w14:textId="77777777" w:rsidR="00107FF5" w:rsidRPr="00D005A1" w:rsidRDefault="00107FF5" w:rsidP="00107FF5">
            <w:pPr>
              <w:spacing w:beforeAutospacing="1" w:afterAutospacing="1"/>
              <w:jc w:val="center"/>
              <w:textAlignment w:val="baseline"/>
              <w:rPr>
                <w:rFonts w:ascii="Times New Roman" w:hAnsi="Times New Roman" w:cs="Times New Roman"/>
                <w:b/>
                <w:color w:val="000000" w:themeColor="text1"/>
                <w:sz w:val="20"/>
                <w:szCs w:val="20"/>
                <w:lang w:val="uk-UA" w:eastAsia="ru-RU"/>
              </w:rPr>
            </w:pPr>
          </w:p>
        </w:tc>
        <w:tc>
          <w:tcPr>
            <w:tcW w:w="1843" w:type="dxa"/>
            <w:vAlign w:val="center"/>
          </w:tcPr>
          <w:p w14:paraId="27505F61" w14:textId="433975CD"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Дигоксин</w:t>
            </w:r>
          </w:p>
        </w:tc>
        <w:tc>
          <w:tcPr>
            <w:tcW w:w="992" w:type="dxa"/>
            <w:shd w:val="clear" w:color="auto" w:fill="C5E0B3" w:themeFill="accent6" w:themeFillTint="66"/>
            <w:vAlign w:val="center"/>
          </w:tcPr>
          <w:p w14:paraId="5167C64F" w14:textId="7777777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F7CAAC" w:themeFill="accent2" w:themeFillTint="66"/>
          </w:tcPr>
          <w:p w14:paraId="152F95C6" w14:textId="4B37C1D2"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EC0AC4">
              <w:rPr>
                <w:rFonts w:ascii="Times New Roman" w:hAnsi="Times New Roman" w:cs="Times New Roman"/>
                <w:b/>
                <w:color w:val="000000" w:themeColor="text1"/>
                <w:sz w:val="22"/>
                <w:szCs w:val="22"/>
                <w:lang w:val="uk-UA" w:eastAsia="ru-RU"/>
              </w:rPr>
              <w:t>■</w:t>
            </w:r>
          </w:p>
        </w:tc>
        <w:tc>
          <w:tcPr>
            <w:tcW w:w="850" w:type="dxa"/>
            <w:shd w:val="clear" w:color="auto" w:fill="F7CAAC" w:themeFill="accent2" w:themeFillTint="66"/>
          </w:tcPr>
          <w:p w14:paraId="5D9194EF" w14:textId="478C6049"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EC0AC4">
              <w:rPr>
                <w:rFonts w:ascii="Times New Roman" w:hAnsi="Times New Roman" w:cs="Times New Roman"/>
                <w:b/>
                <w:color w:val="000000" w:themeColor="text1"/>
                <w:sz w:val="22"/>
                <w:szCs w:val="22"/>
                <w:lang w:val="uk-UA" w:eastAsia="ru-RU"/>
              </w:rPr>
              <w:t>■</w:t>
            </w:r>
          </w:p>
        </w:tc>
        <w:tc>
          <w:tcPr>
            <w:tcW w:w="851" w:type="dxa"/>
            <w:shd w:val="clear" w:color="auto" w:fill="F7CAAC" w:themeFill="accent2" w:themeFillTint="66"/>
          </w:tcPr>
          <w:p w14:paraId="350B8405" w14:textId="6D256252"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EC0AC4">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15D47C93" w14:textId="7777777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F7CAAC" w:themeFill="accent2" w:themeFillTint="66"/>
          </w:tcPr>
          <w:p w14:paraId="13BBD531" w14:textId="3D192BB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472BF4">
              <w:rPr>
                <w:rFonts w:ascii="Times New Roman" w:hAnsi="Times New Roman" w:cs="Times New Roman"/>
                <w:b/>
                <w:color w:val="000000" w:themeColor="text1"/>
                <w:sz w:val="22"/>
                <w:szCs w:val="22"/>
                <w:lang w:val="uk-UA" w:eastAsia="ru-RU"/>
              </w:rPr>
              <w:t>■</w:t>
            </w:r>
          </w:p>
        </w:tc>
        <w:tc>
          <w:tcPr>
            <w:tcW w:w="850" w:type="dxa"/>
            <w:tcBorders>
              <w:right w:val="single" w:sz="12" w:space="0" w:color="auto"/>
            </w:tcBorders>
            <w:shd w:val="clear" w:color="auto" w:fill="F7CAAC" w:themeFill="accent2" w:themeFillTint="66"/>
          </w:tcPr>
          <w:p w14:paraId="27EE7EB6" w14:textId="1521D22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472BF4">
              <w:rPr>
                <w:rFonts w:ascii="Times New Roman" w:hAnsi="Times New Roman" w:cs="Times New Roman"/>
                <w:b/>
                <w:color w:val="000000" w:themeColor="text1"/>
                <w:sz w:val="22"/>
                <w:szCs w:val="22"/>
                <w:lang w:val="uk-UA" w:eastAsia="ru-RU"/>
              </w:rPr>
              <w:t>■</w:t>
            </w:r>
          </w:p>
        </w:tc>
      </w:tr>
      <w:tr w:rsidR="00107FF5" w14:paraId="607CF2A9" w14:textId="77777777" w:rsidTr="00D005A1">
        <w:tc>
          <w:tcPr>
            <w:tcW w:w="1129" w:type="dxa"/>
            <w:vMerge/>
            <w:tcBorders>
              <w:left w:val="single" w:sz="12" w:space="0" w:color="auto"/>
            </w:tcBorders>
            <w:vAlign w:val="center"/>
          </w:tcPr>
          <w:p w14:paraId="599ABCB9" w14:textId="77777777" w:rsidR="00107FF5" w:rsidRPr="00D005A1" w:rsidRDefault="00107FF5" w:rsidP="00107FF5">
            <w:pPr>
              <w:spacing w:beforeAutospacing="1" w:afterAutospacing="1"/>
              <w:jc w:val="center"/>
              <w:textAlignment w:val="baseline"/>
              <w:rPr>
                <w:rFonts w:ascii="Times New Roman" w:hAnsi="Times New Roman" w:cs="Times New Roman"/>
                <w:b/>
                <w:color w:val="000000" w:themeColor="text1"/>
                <w:sz w:val="20"/>
                <w:szCs w:val="20"/>
                <w:lang w:val="uk-UA" w:eastAsia="ru-RU"/>
              </w:rPr>
            </w:pPr>
          </w:p>
        </w:tc>
        <w:tc>
          <w:tcPr>
            <w:tcW w:w="1843" w:type="dxa"/>
            <w:vAlign w:val="center"/>
          </w:tcPr>
          <w:p w14:paraId="2046E2DF" w14:textId="76885C38"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Вернакалант</w:t>
            </w:r>
          </w:p>
        </w:tc>
        <w:tc>
          <w:tcPr>
            <w:tcW w:w="992" w:type="dxa"/>
            <w:shd w:val="clear" w:color="auto" w:fill="C5E0B3" w:themeFill="accent6" w:themeFillTint="66"/>
            <w:vAlign w:val="center"/>
          </w:tcPr>
          <w:p w14:paraId="5A7A3A6F" w14:textId="7777777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1E20A1B9" w14:textId="7777777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64E8F12C" w14:textId="7777777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F7CAAC" w:themeFill="accent2" w:themeFillTint="66"/>
          </w:tcPr>
          <w:p w14:paraId="57792350" w14:textId="66DFC953"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A1437C">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5D4C9757" w14:textId="7777777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vAlign w:val="center"/>
          </w:tcPr>
          <w:p w14:paraId="5E56D84B" w14:textId="7777777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bottom w:val="single" w:sz="4" w:space="0" w:color="auto"/>
              <w:right w:val="single" w:sz="12" w:space="0" w:color="auto"/>
            </w:tcBorders>
            <w:shd w:val="clear" w:color="auto" w:fill="C5E0B3" w:themeFill="accent6" w:themeFillTint="66"/>
            <w:vAlign w:val="center"/>
          </w:tcPr>
          <w:p w14:paraId="44B4A078" w14:textId="7777777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107FF5" w14:paraId="755E34E0" w14:textId="77777777" w:rsidTr="00D005A1">
        <w:tc>
          <w:tcPr>
            <w:tcW w:w="1129" w:type="dxa"/>
            <w:vMerge/>
            <w:tcBorders>
              <w:left w:val="single" w:sz="12" w:space="0" w:color="auto"/>
              <w:bottom w:val="single" w:sz="12" w:space="0" w:color="auto"/>
            </w:tcBorders>
            <w:vAlign w:val="center"/>
          </w:tcPr>
          <w:p w14:paraId="347619C8" w14:textId="77777777" w:rsidR="00107FF5" w:rsidRPr="00D005A1" w:rsidRDefault="00107FF5" w:rsidP="00107FF5">
            <w:pPr>
              <w:spacing w:beforeAutospacing="1" w:afterAutospacing="1"/>
              <w:jc w:val="center"/>
              <w:textAlignment w:val="baseline"/>
              <w:rPr>
                <w:rFonts w:ascii="Times New Roman" w:hAnsi="Times New Roman" w:cs="Times New Roman"/>
                <w:b/>
                <w:color w:val="000000" w:themeColor="text1"/>
                <w:sz w:val="20"/>
                <w:szCs w:val="20"/>
                <w:lang w:val="uk-UA" w:eastAsia="ru-RU"/>
              </w:rPr>
            </w:pPr>
          </w:p>
        </w:tc>
        <w:tc>
          <w:tcPr>
            <w:tcW w:w="1843" w:type="dxa"/>
            <w:tcBorders>
              <w:bottom w:val="single" w:sz="12" w:space="0" w:color="auto"/>
            </w:tcBorders>
            <w:vAlign w:val="center"/>
          </w:tcPr>
          <w:p w14:paraId="31C7E613" w14:textId="031D513A"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Флекаїнід</w:t>
            </w:r>
          </w:p>
        </w:tc>
        <w:tc>
          <w:tcPr>
            <w:tcW w:w="992" w:type="dxa"/>
            <w:tcBorders>
              <w:bottom w:val="single" w:sz="12" w:space="0" w:color="auto"/>
            </w:tcBorders>
            <w:shd w:val="clear" w:color="auto" w:fill="C5E0B3" w:themeFill="accent6" w:themeFillTint="66"/>
            <w:vAlign w:val="center"/>
          </w:tcPr>
          <w:p w14:paraId="5CD22744" w14:textId="7777777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C5E0B3" w:themeFill="accent6" w:themeFillTint="66"/>
            <w:vAlign w:val="center"/>
          </w:tcPr>
          <w:p w14:paraId="053936AC" w14:textId="7777777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bottom w:val="single" w:sz="12" w:space="0" w:color="auto"/>
            </w:tcBorders>
            <w:shd w:val="clear" w:color="auto" w:fill="C5E0B3" w:themeFill="accent6" w:themeFillTint="66"/>
            <w:vAlign w:val="center"/>
          </w:tcPr>
          <w:p w14:paraId="7EF30539" w14:textId="7777777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F7CAAC" w:themeFill="accent2" w:themeFillTint="66"/>
          </w:tcPr>
          <w:p w14:paraId="4C1C6A5F" w14:textId="2ACA9B7F"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A1437C">
              <w:rPr>
                <w:rFonts w:ascii="Times New Roman" w:hAnsi="Times New Roman" w:cs="Times New Roman"/>
                <w:b/>
                <w:color w:val="000000" w:themeColor="text1"/>
                <w:sz w:val="22"/>
                <w:szCs w:val="22"/>
                <w:lang w:val="uk-UA" w:eastAsia="ru-RU"/>
              </w:rPr>
              <w:t>■</w:t>
            </w:r>
          </w:p>
        </w:tc>
        <w:tc>
          <w:tcPr>
            <w:tcW w:w="850" w:type="dxa"/>
            <w:tcBorders>
              <w:bottom w:val="single" w:sz="12" w:space="0" w:color="auto"/>
            </w:tcBorders>
            <w:shd w:val="clear" w:color="auto" w:fill="C5E0B3" w:themeFill="accent6" w:themeFillTint="66"/>
            <w:vAlign w:val="center"/>
          </w:tcPr>
          <w:p w14:paraId="7929925A" w14:textId="7777777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C5E0B3" w:themeFill="accent6" w:themeFillTint="66"/>
            <w:vAlign w:val="center"/>
          </w:tcPr>
          <w:p w14:paraId="4AE090B7" w14:textId="7777777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bottom w:val="single" w:sz="12" w:space="0" w:color="auto"/>
              <w:right w:val="single" w:sz="12" w:space="0" w:color="auto"/>
            </w:tcBorders>
            <w:shd w:val="clear" w:color="auto" w:fill="C5E0B3" w:themeFill="accent6" w:themeFillTint="66"/>
            <w:vAlign w:val="center"/>
          </w:tcPr>
          <w:p w14:paraId="241C8670" w14:textId="7777777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2E47FC" w14:paraId="210F2F93" w14:textId="77777777" w:rsidTr="00D005A1">
        <w:tc>
          <w:tcPr>
            <w:tcW w:w="1129" w:type="dxa"/>
            <w:vMerge w:val="restart"/>
            <w:tcBorders>
              <w:top w:val="single" w:sz="12" w:space="0" w:color="auto"/>
              <w:left w:val="single" w:sz="12" w:space="0" w:color="auto"/>
              <w:bottom w:val="single" w:sz="6" w:space="0" w:color="auto"/>
              <w:right w:val="single" w:sz="6" w:space="0" w:color="auto"/>
            </w:tcBorders>
            <w:textDirection w:val="btLr"/>
            <w:vAlign w:val="center"/>
          </w:tcPr>
          <w:p w14:paraId="4788CA8E" w14:textId="207A7B4E" w:rsidR="002E47FC" w:rsidRPr="00D005A1" w:rsidRDefault="002E47FC" w:rsidP="002E47FC">
            <w:pPr>
              <w:spacing w:beforeAutospacing="1" w:afterAutospacing="1"/>
              <w:ind w:left="113" w:right="113"/>
              <w:jc w:val="center"/>
              <w:textAlignment w:val="baseline"/>
              <w:rPr>
                <w:rFonts w:ascii="Times New Roman" w:hAnsi="Times New Roman" w:cs="Times New Roman"/>
                <w:b/>
                <w:color w:val="000000" w:themeColor="text1"/>
                <w:sz w:val="20"/>
                <w:szCs w:val="20"/>
                <w:lang w:val="uk-UA" w:eastAsia="ru-RU"/>
              </w:rPr>
            </w:pPr>
            <w:r w:rsidRPr="00D005A1">
              <w:rPr>
                <w:rFonts w:ascii="Times New Roman" w:hAnsi="Times New Roman" w:cs="Times New Roman"/>
                <w:b/>
                <w:color w:val="000000" w:themeColor="text1"/>
                <w:sz w:val="20"/>
                <w:szCs w:val="20"/>
                <w:lang w:val="uk-UA" w:eastAsia="ru-RU"/>
              </w:rPr>
              <w:t>Бетаблокатори</w:t>
            </w:r>
          </w:p>
        </w:tc>
        <w:tc>
          <w:tcPr>
            <w:tcW w:w="1843" w:type="dxa"/>
            <w:tcBorders>
              <w:top w:val="single" w:sz="12" w:space="0" w:color="auto"/>
              <w:left w:val="single" w:sz="6" w:space="0" w:color="auto"/>
              <w:bottom w:val="single" w:sz="6" w:space="0" w:color="auto"/>
              <w:right w:val="single" w:sz="6" w:space="0" w:color="auto"/>
            </w:tcBorders>
            <w:vAlign w:val="center"/>
          </w:tcPr>
          <w:p w14:paraId="65CF8393" w14:textId="7910D0E0"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Атенолол</w:t>
            </w:r>
          </w:p>
        </w:tc>
        <w:tc>
          <w:tcPr>
            <w:tcW w:w="992" w:type="dxa"/>
            <w:tcBorders>
              <w:top w:val="single" w:sz="12" w:space="0" w:color="auto"/>
              <w:left w:val="single" w:sz="6" w:space="0" w:color="auto"/>
              <w:bottom w:val="single" w:sz="6" w:space="0" w:color="auto"/>
              <w:right w:val="single" w:sz="6" w:space="0" w:color="auto"/>
            </w:tcBorders>
            <w:shd w:val="clear" w:color="auto" w:fill="C5E0B3" w:themeFill="accent6" w:themeFillTint="66"/>
            <w:vAlign w:val="center"/>
          </w:tcPr>
          <w:p w14:paraId="64F77E02"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12" w:space="0" w:color="auto"/>
              <w:left w:val="single" w:sz="6" w:space="0" w:color="auto"/>
              <w:bottom w:val="single" w:sz="6" w:space="0" w:color="auto"/>
              <w:right w:val="single" w:sz="6" w:space="0" w:color="auto"/>
            </w:tcBorders>
            <w:shd w:val="clear" w:color="auto" w:fill="C5E0B3" w:themeFill="accent6" w:themeFillTint="66"/>
            <w:vAlign w:val="center"/>
          </w:tcPr>
          <w:p w14:paraId="05AA0A3E"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12" w:space="0" w:color="auto"/>
              <w:left w:val="single" w:sz="6" w:space="0" w:color="auto"/>
              <w:bottom w:val="single" w:sz="6" w:space="0" w:color="auto"/>
              <w:right w:val="single" w:sz="6" w:space="0" w:color="auto"/>
            </w:tcBorders>
            <w:shd w:val="clear" w:color="auto" w:fill="C5E0B3" w:themeFill="accent6" w:themeFillTint="66"/>
            <w:vAlign w:val="center"/>
          </w:tcPr>
          <w:p w14:paraId="67579522"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12" w:space="0" w:color="auto"/>
              <w:left w:val="single" w:sz="6" w:space="0" w:color="auto"/>
              <w:bottom w:val="single" w:sz="6" w:space="0" w:color="auto"/>
              <w:right w:val="single" w:sz="6" w:space="0" w:color="auto"/>
            </w:tcBorders>
            <w:shd w:val="clear" w:color="auto" w:fill="C5E0B3" w:themeFill="accent6" w:themeFillTint="66"/>
            <w:vAlign w:val="center"/>
          </w:tcPr>
          <w:p w14:paraId="2601246D"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12" w:space="0" w:color="auto"/>
              <w:left w:val="single" w:sz="6" w:space="0" w:color="auto"/>
              <w:bottom w:val="single" w:sz="6" w:space="0" w:color="auto"/>
              <w:right w:val="single" w:sz="6" w:space="0" w:color="auto"/>
            </w:tcBorders>
            <w:shd w:val="clear" w:color="auto" w:fill="C5E0B3" w:themeFill="accent6" w:themeFillTint="66"/>
            <w:vAlign w:val="center"/>
          </w:tcPr>
          <w:p w14:paraId="14DF32BB"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12" w:space="0" w:color="auto"/>
              <w:left w:val="single" w:sz="6" w:space="0" w:color="auto"/>
              <w:bottom w:val="single" w:sz="6" w:space="0" w:color="auto"/>
              <w:right w:val="single" w:sz="6" w:space="0" w:color="auto"/>
            </w:tcBorders>
            <w:shd w:val="clear" w:color="auto" w:fill="C5E0B3" w:themeFill="accent6" w:themeFillTint="66"/>
            <w:vAlign w:val="center"/>
          </w:tcPr>
          <w:p w14:paraId="51A9EE33"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12" w:space="0" w:color="auto"/>
              <w:left w:val="single" w:sz="6" w:space="0" w:color="auto"/>
              <w:bottom w:val="single" w:sz="6" w:space="0" w:color="auto"/>
              <w:right w:val="single" w:sz="12" w:space="0" w:color="auto"/>
            </w:tcBorders>
            <w:shd w:val="clear" w:color="auto" w:fill="C5E0B3" w:themeFill="accent6" w:themeFillTint="66"/>
            <w:vAlign w:val="center"/>
          </w:tcPr>
          <w:p w14:paraId="7F23F231"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2E47FC" w14:paraId="47A89536" w14:textId="77777777" w:rsidTr="00D005A1">
        <w:tc>
          <w:tcPr>
            <w:tcW w:w="1129" w:type="dxa"/>
            <w:vMerge/>
            <w:tcBorders>
              <w:top w:val="single" w:sz="6" w:space="0" w:color="auto"/>
              <w:left w:val="single" w:sz="12" w:space="0" w:color="auto"/>
              <w:bottom w:val="single" w:sz="6" w:space="0" w:color="auto"/>
              <w:right w:val="single" w:sz="6" w:space="0" w:color="auto"/>
            </w:tcBorders>
            <w:vAlign w:val="center"/>
          </w:tcPr>
          <w:p w14:paraId="5EA0D1EC" w14:textId="77777777" w:rsidR="002E47FC" w:rsidRPr="00D005A1" w:rsidRDefault="002E47FC" w:rsidP="002E47FC">
            <w:pPr>
              <w:spacing w:beforeAutospacing="1" w:afterAutospacing="1"/>
              <w:jc w:val="center"/>
              <w:textAlignment w:val="baseline"/>
              <w:rPr>
                <w:rFonts w:ascii="Times New Roman" w:hAnsi="Times New Roman" w:cs="Times New Roman"/>
                <w:b/>
                <w:color w:val="000000" w:themeColor="text1"/>
                <w:sz w:val="20"/>
                <w:szCs w:val="20"/>
                <w:lang w:val="uk-UA"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14:paraId="5AA23B6D" w14:textId="18597813"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Бісопролол</w:t>
            </w:r>
          </w:p>
        </w:tc>
        <w:tc>
          <w:tcPr>
            <w:tcW w:w="992"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1CCEA5A2"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3EB4F3F2"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3EFF5851"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14:paraId="64EBE740"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3F5D2D">
              <w:rPr>
                <w:rFonts w:ascii="Times New Roman" w:hAnsi="Times New Roman" w:cs="Times New Roman"/>
                <w:b/>
                <w:color w:val="000000" w:themeColor="text1"/>
                <w:sz w:val="22"/>
                <w:szCs w:val="22"/>
                <w:lang w:val="uk-UA"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49137B8F" w14:textId="141CBC2B" w:rsidR="002E47FC" w:rsidRPr="00002FE3" w:rsidRDefault="00107FF5"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0B77F9B7" w14:textId="77777777" w:rsidR="002E47FC" w:rsidRPr="00002FE3" w:rsidRDefault="002E47FC"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6" w:space="0" w:color="auto"/>
              <w:left w:val="single" w:sz="6" w:space="0" w:color="auto"/>
              <w:bottom w:val="single" w:sz="6" w:space="0" w:color="auto"/>
              <w:right w:val="single" w:sz="12" w:space="0" w:color="auto"/>
            </w:tcBorders>
            <w:shd w:val="clear" w:color="auto" w:fill="C5E0B3" w:themeFill="accent6" w:themeFillTint="66"/>
            <w:vAlign w:val="center"/>
          </w:tcPr>
          <w:p w14:paraId="14B39004" w14:textId="5B71F249" w:rsidR="002E47FC" w:rsidRPr="00002FE3" w:rsidRDefault="00107FF5" w:rsidP="002E47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107FF5" w14:paraId="55C9D32D" w14:textId="77777777" w:rsidTr="00D005A1">
        <w:tc>
          <w:tcPr>
            <w:tcW w:w="1129" w:type="dxa"/>
            <w:vMerge/>
            <w:tcBorders>
              <w:top w:val="single" w:sz="6" w:space="0" w:color="auto"/>
              <w:left w:val="single" w:sz="12" w:space="0" w:color="auto"/>
              <w:bottom w:val="single" w:sz="6" w:space="0" w:color="auto"/>
              <w:right w:val="single" w:sz="6" w:space="0" w:color="auto"/>
            </w:tcBorders>
            <w:vAlign w:val="center"/>
          </w:tcPr>
          <w:p w14:paraId="29711574" w14:textId="77777777" w:rsidR="00107FF5" w:rsidRPr="00D005A1" w:rsidRDefault="00107FF5" w:rsidP="00107FF5">
            <w:pPr>
              <w:spacing w:beforeAutospacing="1" w:afterAutospacing="1"/>
              <w:jc w:val="center"/>
              <w:textAlignment w:val="baseline"/>
              <w:rPr>
                <w:rFonts w:ascii="Times New Roman" w:hAnsi="Times New Roman" w:cs="Times New Roman"/>
                <w:b/>
                <w:color w:val="000000" w:themeColor="text1"/>
                <w:sz w:val="20"/>
                <w:szCs w:val="20"/>
                <w:lang w:val="uk-UA"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14:paraId="7250DF00" w14:textId="1D260A3F"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Карведілол</w:t>
            </w:r>
          </w:p>
        </w:tc>
        <w:tc>
          <w:tcPr>
            <w:tcW w:w="992"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2387F75E" w14:textId="7777777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14:paraId="32298812" w14:textId="5F72D8AB"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293BB0">
              <w:rPr>
                <w:rFonts w:ascii="Times New Roman" w:hAnsi="Times New Roman" w:cs="Times New Roman"/>
                <w:b/>
                <w:color w:val="000000" w:themeColor="text1"/>
                <w:sz w:val="22"/>
                <w:szCs w:val="22"/>
                <w:lang w:val="uk-UA"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14:paraId="7E55F9D8" w14:textId="10E4DA9F"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293BB0">
              <w:rPr>
                <w:rFonts w:ascii="Times New Roman" w:hAnsi="Times New Roman" w:cs="Times New Roman"/>
                <w:b/>
                <w:color w:val="000000" w:themeColor="text1"/>
                <w:sz w:val="22"/>
                <w:szCs w:val="22"/>
                <w:lang w:val="uk-UA"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14:paraId="435ED578" w14:textId="7777777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3F5D2D">
              <w:rPr>
                <w:rFonts w:ascii="Times New Roman" w:hAnsi="Times New Roman" w:cs="Times New Roman"/>
                <w:b/>
                <w:color w:val="000000" w:themeColor="text1"/>
                <w:sz w:val="22"/>
                <w:szCs w:val="22"/>
                <w:lang w:val="uk-UA"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28303C21" w14:textId="7777777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6" w:space="0" w:color="auto"/>
              <w:left w:val="single" w:sz="6" w:space="0" w:color="auto"/>
              <w:bottom w:val="single" w:sz="6" w:space="0" w:color="auto"/>
              <w:right w:val="single" w:sz="6" w:space="0" w:color="auto"/>
            </w:tcBorders>
            <w:shd w:val="clear" w:color="auto" w:fill="F7CAAC" w:themeFill="accent2" w:themeFillTint="66"/>
            <w:vAlign w:val="center"/>
          </w:tcPr>
          <w:p w14:paraId="5D7F882A" w14:textId="465AF0CE"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3F5D2D">
              <w:rPr>
                <w:rFonts w:ascii="Times New Roman" w:hAnsi="Times New Roman" w:cs="Times New Roman"/>
                <w:b/>
                <w:color w:val="000000" w:themeColor="text1"/>
                <w:sz w:val="22"/>
                <w:szCs w:val="22"/>
                <w:lang w:val="uk-UA" w:eastAsia="ru-RU"/>
              </w:rPr>
              <w:t>■</w:t>
            </w:r>
          </w:p>
        </w:tc>
        <w:tc>
          <w:tcPr>
            <w:tcW w:w="850" w:type="dxa"/>
            <w:tcBorders>
              <w:top w:val="single" w:sz="6" w:space="0" w:color="auto"/>
              <w:left w:val="single" w:sz="6" w:space="0" w:color="auto"/>
              <w:bottom w:val="single" w:sz="6" w:space="0" w:color="auto"/>
              <w:right w:val="single" w:sz="12" w:space="0" w:color="auto"/>
            </w:tcBorders>
            <w:shd w:val="clear" w:color="auto" w:fill="F7CAAC" w:themeFill="accent2" w:themeFillTint="66"/>
            <w:vAlign w:val="center"/>
          </w:tcPr>
          <w:p w14:paraId="0097ACB9" w14:textId="48EBCC9E"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3F5D2D">
              <w:rPr>
                <w:rFonts w:ascii="Times New Roman" w:hAnsi="Times New Roman" w:cs="Times New Roman"/>
                <w:b/>
                <w:color w:val="000000" w:themeColor="text1"/>
                <w:sz w:val="22"/>
                <w:szCs w:val="22"/>
                <w:lang w:val="uk-UA" w:eastAsia="ru-RU"/>
              </w:rPr>
              <w:t>■</w:t>
            </w:r>
          </w:p>
        </w:tc>
      </w:tr>
      <w:tr w:rsidR="00107FF5" w14:paraId="157AB620" w14:textId="77777777" w:rsidTr="00D005A1">
        <w:tc>
          <w:tcPr>
            <w:tcW w:w="1129" w:type="dxa"/>
            <w:vMerge/>
            <w:tcBorders>
              <w:top w:val="single" w:sz="6" w:space="0" w:color="auto"/>
              <w:left w:val="single" w:sz="12" w:space="0" w:color="auto"/>
              <w:bottom w:val="single" w:sz="12" w:space="0" w:color="auto"/>
              <w:right w:val="single" w:sz="6" w:space="0" w:color="auto"/>
            </w:tcBorders>
            <w:vAlign w:val="center"/>
          </w:tcPr>
          <w:p w14:paraId="3AB7585D" w14:textId="77777777" w:rsidR="00107FF5" w:rsidRPr="00D005A1" w:rsidRDefault="00107FF5" w:rsidP="00107FF5">
            <w:pPr>
              <w:spacing w:beforeAutospacing="1" w:afterAutospacing="1"/>
              <w:jc w:val="center"/>
              <w:textAlignment w:val="baseline"/>
              <w:rPr>
                <w:rFonts w:ascii="Times New Roman" w:hAnsi="Times New Roman" w:cs="Times New Roman"/>
                <w:b/>
                <w:color w:val="000000" w:themeColor="text1"/>
                <w:sz w:val="20"/>
                <w:szCs w:val="20"/>
                <w:lang w:val="uk-UA" w:eastAsia="ru-RU"/>
              </w:rPr>
            </w:pPr>
          </w:p>
        </w:tc>
        <w:tc>
          <w:tcPr>
            <w:tcW w:w="1843" w:type="dxa"/>
            <w:tcBorders>
              <w:top w:val="single" w:sz="6" w:space="0" w:color="auto"/>
              <w:left w:val="single" w:sz="6" w:space="0" w:color="auto"/>
              <w:bottom w:val="single" w:sz="12" w:space="0" w:color="auto"/>
              <w:right w:val="single" w:sz="6" w:space="0" w:color="auto"/>
            </w:tcBorders>
            <w:vAlign w:val="center"/>
          </w:tcPr>
          <w:p w14:paraId="26C5C61F" w14:textId="693D46EA"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Пропранолол</w:t>
            </w:r>
          </w:p>
        </w:tc>
        <w:tc>
          <w:tcPr>
            <w:tcW w:w="992" w:type="dxa"/>
            <w:tcBorders>
              <w:top w:val="single" w:sz="6" w:space="0" w:color="auto"/>
              <w:left w:val="single" w:sz="6" w:space="0" w:color="auto"/>
              <w:bottom w:val="single" w:sz="12" w:space="0" w:color="auto"/>
              <w:right w:val="single" w:sz="6" w:space="0" w:color="auto"/>
            </w:tcBorders>
            <w:shd w:val="clear" w:color="auto" w:fill="C5E0B3" w:themeFill="accent6" w:themeFillTint="66"/>
            <w:vAlign w:val="center"/>
          </w:tcPr>
          <w:p w14:paraId="0C4E610A" w14:textId="15A349AE"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6" w:space="0" w:color="auto"/>
              <w:left w:val="single" w:sz="6" w:space="0" w:color="auto"/>
              <w:bottom w:val="single" w:sz="12" w:space="0" w:color="auto"/>
              <w:right w:val="single" w:sz="6" w:space="0" w:color="auto"/>
            </w:tcBorders>
            <w:shd w:val="clear" w:color="auto" w:fill="C5E0B3" w:themeFill="accent6" w:themeFillTint="66"/>
            <w:vAlign w:val="center"/>
          </w:tcPr>
          <w:p w14:paraId="35ED84F1" w14:textId="3EED803E"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6" w:space="0" w:color="auto"/>
              <w:left w:val="single" w:sz="6" w:space="0" w:color="auto"/>
              <w:bottom w:val="single" w:sz="12" w:space="0" w:color="auto"/>
              <w:right w:val="single" w:sz="6" w:space="0" w:color="auto"/>
            </w:tcBorders>
            <w:shd w:val="clear" w:color="auto" w:fill="C5E0B3" w:themeFill="accent6" w:themeFillTint="66"/>
            <w:vAlign w:val="center"/>
          </w:tcPr>
          <w:p w14:paraId="7411CFE3" w14:textId="7A6361DE"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6" w:space="0" w:color="auto"/>
              <w:left w:val="single" w:sz="6" w:space="0" w:color="auto"/>
              <w:bottom w:val="single" w:sz="12" w:space="0" w:color="auto"/>
              <w:right w:val="single" w:sz="6" w:space="0" w:color="auto"/>
            </w:tcBorders>
            <w:shd w:val="clear" w:color="auto" w:fill="C5E0B3" w:themeFill="accent6" w:themeFillTint="66"/>
            <w:vAlign w:val="center"/>
          </w:tcPr>
          <w:p w14:paraId="6A613C76" w14:textId="3073060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6" w:space="0" w:color="auto"/>
              <w:left w:val="single" w:sz="6" w:space="0" w:color="auto"/>
              <w:bottom w:val="single" w:sz="12" w:space="0" w:color="auto"/>
              <w:right w:val="single" w:sz="6" w:space="0" w:color="auto"/>
            </w:tcBorders>
            <w:shd w:val="clear" w:color="auto" w:fill="C5E0B3" w:themeFill="accent6" w:themeFillTint="66"/>
            <w:vAlign w:val="center"/>
          </w:tcPr>
          <w:p w14:paraId="2F596498" w14:textId="6CE4BDF9"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6" w:space="0" w:color="auto"/>
              <w:left w:val="single" w:sz="6" w:space="0" w:color="auto"/>
              <w:bottom w:val="single" w:sz="12" w:space="0" w:color="auto"/>
              <w:right w:val="single" w:sz="6" w:space="0" w:color="auto"/>
            </w:tcBorders>
            <w:shd w:val="clear" w:color="auto" w:fill="C5E0B3" w:themeFill="accent6" w:themeFillTint="66"/>
            <w:vAlign w:val="center"/>
          </w:tcPr>
          <w:p w14:paraId="1374DA03" w14:textId="53975AEF"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6" w:space="0" w:color="auto"/>
              <w:left w:val="single" w:sz="6" w:space="0" w:color="auto"/>
              <w:bottom w:val="single" w:sz="12" w:space="0" w:color="auto"/>
              <w:right w:val="single" w:sz="12" w:space="0" w:color="auto"/>
            </w:tcBorders>
            <w:shd w:val="clear" w:color="auto" w:fill="C5E0B3" w:themeFill="accent6" w:themeFillTint="66"/>
            <w:vAlign w:val="center"/>
          </w:tcPr>
          <w:p w14:paraId="04DC60D0" w14:textId="3D62B462"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107FF5" w14:paraId="2F25FF89" w14:textId="77777777" w:rsidTr="00D005A1">
        <w:tc>
          <w:tcPr>
            <w:tcW w:w="1129" w:type="dxa"/>
            <w:vMerge w:val="restart"/>
            <w:tcBorders>
              <w:top w:val="single" w:sz="12" w:space="0" w:color="auto"/>
              <w:left w:val="single" w:sz="12" w:space="0" w:color="auto"/>
            </w:tcBorders>
            <w:textDirection w:val="btLr"/>
            <w:vAlign w:val="center"/>
          </w:tcPr>
          <w:p w14:paraId="5E1A9607" w14:textId="7793A538" w:rsidR="00107FF5" w:rsidRPr="00D005A1" w:rsidRDefault="00F321FE" w:rsidP="00D005A1">
            <w:pPr>
              <w:spacing w:line="80" w:lineRule="atLeast"/>
              <w:textAlignment w:val="baseline"/>
              <w:rPr>
                <w:rFonts w:ascii="Times New Roman" w:hAnsi="Times New Roman" w:cs="Times New Roman"/>
                <w:b/>
                <w:color w:val="000000" w:themeColor="text1"/>
                <w:sz w:val="20"/>
                <w:szCs w:val="20"/>
                <w:lang w:val="uk-UA" w:eastAsia="ru-RU"/>
              </w:rPr>
            </w:pPr>
            <w:r>
              <w:rPr>
                <w:rFonts w:ascii="Times New Roman" w:hAnsi="Times New Roman" w:cs="Times New Roman"/>
                <w:b/>
                <w:color w:val="000000" w:themeColor="text1"/>
                <w:sz w:val="20"/>
                <w:szCs w:val="20"/>
                <w:lang w:val="uk-UA" w:eastAsia="ru-RU"/>
              </w:rPr>
              <w:t xml:space="preserve">Блокатои </w:t>
            </w:r>
            <w:r>
              <w:rPr>
                <w:rFonts w:ascii="Times New Roman" w:hAnsi="Times New Roman" w:cs="Times New Roman"/>
                <w:b/>
                <w:color w:val="000000" w:themeColor="text1"/>
                <w:sz w:val="20"/>
                <w:szCs w:val="20"/>
                <w:lang w:val="en-US" w:eastAsia="ru-RU"/>
              </w:rPr>
              <w:t>Ca</w:t>
            </w:r>
            <w:r w:rsidRPr="00D005A1">
              <w:rPr>
                <w:rFonts w:ascii="Times New Roman" w:hAnsi="Times New Roman" w:cs="Times New Roman"/>
                <w:b/>
                <w:color w:val="000000" w:themeColor="text1"/>
                <w:sz w:val="20"/>
                <w:szCs w:val="20"/>
                <w:vertAlign w:val="superscript"/>
                <w:lang w:val="en-US" w:eastAsia="ru-RU"/>
              </w:rPr>
              <w:t>2+</w:t>
            </w:r>
            <w:r>
              <w:rPr>
                <w:rFonts w:ascii="Times New Roman" w:hAnsi="Times New Roman" w:cs="Times New Roman"/>
                <w:b/>
                <w:color w:val="000000" w:themeColor="text1"/>
                <w:sz w:val="20"/>
                <w:szCs w:val="20"/>
                <w:vertAlign w:val="superscript"/>
                <w:lang w:val="en-US" w:eastAsia="ru-RU"/>
              </w:rPr>
              <w:t xml:space="preserve"> </w:t>
            </w:r>
            <w:r>
              <w:rPr>
                <w:rFonts w:ascii="Times New Roman" w:hAnsi="Times New Roman" w:cs="Times New Roman"/>
                <w:b/>
                <w:color w:val="000000" w:themeColor="text1"/>
                <w:sz w:val="20"/>
                <w:szCs w:val="20"/>
                <w:vertAlign w:val="superscript"/>
                <w:lang w:val="uk-UA" w:eastAsia="ru-RU"/>
              </w:rPr>
              <w:t>каналів</w:t>
            </w:r>
          </w:p>
        </w:tc>
        <w:tc>
          <w:tcPr>
            <w:tcW w:w="1843" w:type="dxa"/>
            <w:tcBorders>
              <w:top w:val="single" w:sz="12" w:space="0" w:color="auto"/>
            </w:tcBorders>
            <w:vAlign w:val="center"/>
          </w:tcPr>
          <w:p w14:paraId="3CFA6C53" w14:textId="35A70F9A" w:rsidR="00107FF5"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Амлодипін</w:t>
            </w:r>
          </w:p>
        </w:tc>
        <w:tc>
          <w:tcPr>
            <w:tcW w:w="992" w:type="dxa"/>
            <w:tcBorders>
              <w:top w:val="single" w:sz="12" w:space="0" w:color="auto"/>
            </w:tcBorders>
            <w:shd w:val="clear" w:color="auto" w:fill="C5E0B3" w:themeFill="accent6" w:themeFillTint="66"/>
            <w:vAlign w:val="center"/>
          </w:tcPr>
          <w:p w14:paraId="6E1A8790" w14:textId="7E1A286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F7CAAC" w:themeFill="accent2" w:themeFillTint="66"/>
          </w:tcPr>
          <w:p w14:paraId="0ACF903C" w14:textId="2939D3D4"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561C4">
              <w:rPr>
                <w:rFonts w:ascii="Times New Roman" w:hAnsi="Times New Roman" w:cs="Times New Roman"/>
                <w:b/>
                <w:color w:val="000000" w:themeColor="text1"/>
                <w:sz w:val="22"/>
                <w:szCs w:val="22"/>
                <w:lang w:val="uk-UA" w:eastAsia="ru-RU"/>
              </w:rPr>
              <w:t>■</w:t>
            </w:r>
          </w:p>
        </w:tc>
        <w:tc>
          <w:tcPr>
            <w:tcW w:w="850" w:type="dxa"/>
            <w:tcBorders>
              <w:top w:val="single" w:sz="12" w:space="0" w:color="auto"/>
            </w:tcBorders>
            <w:shd w:val="clear" w:color="auto" w:fill="F7CAAC" w:themeFill="accent2" w:themeFillTint="66"/>
          </w:tcPr>
          <w:p w14:paraId="57DCF715" w14:textId="15161EF8"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561C4">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F7CAAC" w:themeFill="accent2" w:themeFillTint="66"/>
          </w:tcPr>
          <w:p w14:paraId="52FFBDB0" w14:textId="2704B00D" w:rsidR="00107FF5" w:rsidRPr="003F5D2D"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561C4">
              <w:rPr>
                <w:rFonts w:ascii="Times New Roman" w:hAnsi="Times New Roman" w:cs="Times New Roman"/>
                <w:b/>
                <w:color w:val="000000" w:themeColor="text1"/>
                <w:sz w:val="22"/>
                <w:szCs w:val="22"/>
                <w:lang w:val="uk-UA" w:eastAsia="ru-RU"/>
              </w:rPr>
              <w:t>■</w:t>
            </w:r>
          </w:p>
        </w:tc>
        <w:tc>
          <w:tcPr>
            <w:tcW w:w="850" w:type="dxa"/>
            <w:tcBorders>
              <w:top w:val="single" w:sz="12" w:space="0" w:color="auto"/>
            </w:tcBorders>
            <w:shd w:val="clear" w:color="auto" w:fill="C5E0B3" w:themeFill="accent6" w:themeFillTint="66"/>
          </w:tcPr>
          <w:p w14:paraId="381CF9B5" w14:textId="3B8553DD"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794852">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C5E0B3" w:themeFill="accent6" w:themeFillTint="66"/>
          </w:tcPr>
          <w:p w14:paraId="4AA45664" w14:textId="04EF1CF5"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794852">
              <w:rPr>
                <w:rFonts w:ascii="Times New Roman" w:hAnsi="Times New Roman" w:cs="Times New Roman"/>
                <w:b/>
                <w:color w:val="000000" w:themeColor="text1"/>
                <w:sz w:val="22"/>
                <w:szCs w:val="22"/>
                <w:lang w:val="uk-UA" w:eastAsia="ru-RU"/>
              </w:rPr>
              <w:t>♦</w:t>
            </w:r>
          </w:p>
        </w:tc>
        <w:tc>
          <w:tcPr>
            <w:tcW w:w="850" w:type="dxa"/>
            <w:tcBorders>
              <w:top w:val="single" w:sz="12" w:space="0" w:color="auto"/>
              <w:right w:val="single" w:sz="12" w:space="0" w:color="auto"/>
            </w:tcBorders>
            <w:shd w:val="clear" w:color="auto" w:fill="C5E0B3" w:themeFill="accent6" w:themeFillTint="66"/>
          </w:tcPr>
          <w:p w14:paraId="1D9318AA" w14:textId="6436840C" w:rsidR="00107FF5" w:rsidRPr="003F5D2D"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794852">
              <w:rPr>
                <w:rFonts w:ascii="Times New Roman" w:hAnsi="Times New Roman" w:cs="Times New Roman"/>
                <w:b/>
                <w:color w:val="000000" w:themeColor="text1"/>
                <w:sz w:val="22"/>
                <w:szCs w:val="22"/>
                <w:lang w:val="uk-UA" w:eastAsia="ru-RU"/>
              </w:rPr>
              <w:t>♦</w:t>
            </w:r>
          </w:p>
        </w:tc>
      </w:tr>
      <w:tr w:rsidR="00107FF5" w14:paraId="4E16F13B" w14:textId="77777777" w:rsidTr="00D005A1">
        <w:tc>
          <w:tcPr>
            <w:tcW w:w="1129" w:type="dxa"/>
            <w:vMerge/>
            <w:tcBorders>
              <w:left w:val="single" w:sz="12" w:space="0" w:color="auto"/>
            </w:tcBorders>
            <w:vAlign w:val="center"/>
          </w:tcPr>
          <w:p w14:paraId="18D94F0B" w14:textId="77777777" w:rsidR="00107FF5" w:rsidRPr="00D005A1" w:rsidRDefault="00107FF5" w:rsidP="00107FF5">
            <w:pPr>
              <w:spacing w:beforeAutospacing="1" w:afterAutospacing="1"/>
              <w:jc w:val="center"/>
              <w:textAlignment w:val="baseline"/>
              <w:rPr>
                <w:rFonts w:ascii="Times New Roman" w:hAnsi="Times New Roman" w:cs="Times New Roman"/>
                <w:b/>
                <w:color w:val="000000" w:themeColor="text1"/>
                <w:sz w:val="20"/>
                <w:szCs w:val="20"/>
                <w:lang w:val="uk-UA" w:eastAsia="ru-RU"/>
              </w:rPr>
            </w:pPr>
          </w:p>
        </w:tc>
        <w:tc>
          <w:tcPr>
            <w:tcW w:w="1843" w:type="dxa"/>
            <w:vAlign w:val="center"/>
          </w:tcPr>
          <w:p w14:paraId="63BA0C3F" w14:textId="494491DE" w:rsidR="00107FF5"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Дилтіазем</w:t>
            </w:r>
          </w:p>
        </w:tc>
        <w:tc>
          <w:tcPr>
            <w:tcW w:w="992" w:type="dxa"/>
            <w:shd w:val="clear" w:color="auto" w:fill="C5E0B3" w:themeFill="accent6" w:themeFillTint="66"/>
            <w:vAlign w:val="center"/>
          </w:tcPr>
          <w:p w14:paraId="7374BDAB" w14:textId="4C8D0602"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F7CAAC" w:themeFill="accent2" w:themeFillTint="66"/>
          </w:tcPr>
          <w:p w14:paraId="609D4F9E" w14:textId="2A803FA3"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561C4">
              <w:rPr>
                <w:rFonts w:ascii="Times New Roman" w:hAnsi="Times New Roman" w:cs="Times New Roman"/>
                <w:b/>
                <w:color w:val="000000" w:themeColor="text1"/>
                <w:sz w:val="22"/>
                <w:szCs w:val="22"/>
                <w:lang w:val="uk-UA" w:eastAsia="ru-RU"/>
              </w:rPr>
              <w:t>■</w:t>
            </w:r>
          </w:p>
        </w:tc>
        <w:tc>
          <w:tcPr>
            <w:tcW w:w="850" w:type="dxa"/>
            <w:shd w:val="clear" w:color="auto" w:fill="F7CAAC" w:themeFill="accent2" w:themeFillTint="66"/>
          </w:tcPr>
          <w:p w14:paraId="0E043C0A" w14:textId="0CAEBFE7"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561C4">
              <w:rPr>
                <w:rFonts w:ascii="Times New Roman" w:hAnsi="Times New Roman" w:cs="Times New Roman"/>
                <w:b/>
                <w:color w:val="000000" w:themeColor="text1"/>
                <w:sz w:val="22"/>
                <w:szCs w:val="22"/>
                <w:lang w:val="uk-UA" w:eastAsia="ru-RU"/>
              </w:rPr>
              <w:t>■</w:t>
            </w:r>
          </w:p>
        </w:tc>
        <w:tc>
          <w:tcPr>
            <w:tcW w:w="851" w:type="dxa"/>
            <w:shd w:val="clear" w:color="auto" w:fill="F7CAAC" w:themeFill="accent2" w:themeFillTint="66"/>
          </w:tcPr>
          <w:p w14:paraId="538004BA" w14:textId="79E29FDC" w:rsidR="00107FF5" w:rsidRPr="003F5D2D"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561C4">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vAlign w:val="center"/>
          </w:tcPr>
          <w:p w14:paraId="71423D24" w14:textId="09D73D16"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F7CAAC" w:themeFill="accent2" w:themeFillTint="66"/>
          </w:tcPr>
          <w:p w14:paraId="15308BA9" w14:textId="3964F40A"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746AF">
              <w:rPr>
                <w:rFonts w:ascii="Times New Roman" w:hAnsi="Times New Roman" w:cs="Times New Roman"/>
                <w:b/>
                <w:color w:val="000000" w:themeColor="text1"/>
                <w:sz w:val="22"/>
                <w:szCs w:val="22"/>
                <w:lang w:val="uk-UA" w:eastAsia="ru-RU"/>
              </w:rPr>
              <w:t>■</w:t>
            </w:r>
          </w:p>
        </w:tc>
        <w:tc>
          <w:tcPr>
            <w:tcW w:w="850" w:type="dxa"/>
            <w:tcBorders>
              <w:right w:val="single" w:sz="12" w:space="0" w:color="auto"/>
            </w:tcBorders>
            <w:shd w:val="clear" w:color="auto" w:fill="F7CAAC" w:themeFill="accent2" w:themeFillTint="66"/>
          </w:tcPr>
          <w:p w14:paraId="026A965C" w14:textId="70F30569" w:rsidR="00107FF5" w:rsidRPr="003F5D2D"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746AF">
              <w:rPr>
                <w:rFonts w:ascii="Times New Roman" w:hAnsi="Times New Roman" w:cs="Times New Roman"/>
                <w:b/>
                <w:color w:val="000000" w:themeColor="text1"/>
                <w:sz w:val="22"/>
                <w:szCs w:val="22"/>
                <w:lang w:val="uk-UA" w:eastAsia="ru-RU"/>
              </w:rPr>
              <w:t>■</w:t>
            </w:r>
          </w:p>
        </w:tc>
      </w:tr>
      <w:tr w:rsidR="00107FF5" w14:paraId="19761B9B" w14:textId="77777777" w:rsidTr="00D005A1">
        <w:tc>
          <w:tcPr>
            <w:tcW w:w="1129" w:type="dxa"/>
            <w:vMerge/>
            <w:tcBorders>
              <w:left w:val="single" w:sz="12" w:space="0" w:color="auto"/>
              <w:bottom w:val="single" w:sz="12" w:space="0" w:color="auto"/>
            </w:tcBorders>
            <w:vAlign w:val="center"/>
          </w:tcPr>
          <w:p w14:paraId="13B768B3" w14:textId="4F2B291C" w:rsidR="00107FF5" w:rsidRPr="00D005A1" w:rsidRDefault="00107FF5" w:rsidP="00107FF5">
            <w:pPr>
              <w:spacing w:beforeAutospacing="1" w:afterAutospacing="1"/>
              <w:jc w:val="center"/>
              <w:textAlignment w:val="baseline"/>
              <w:rPr>
                <w:rFonts w:ascii="Times New Roman" w:hAnsi="Times New Roman" w:cs="Times New Roman"/>
                <w:b/>
                <w:color w:val="000000" w:themeColor="text1"/>
                <w:sz w:val="20"/>
                <w:szCs w:val="20"/>
                <w:lang w:val="uk-UA" w:eastAsia="ru-RU"/>
              </w:rPr>
            </w:pPr>
          </w:p>
        </w:tc>
        <w:tc>
          <w:tcPr>
            <w:tcW w:w="1843" w:type="dxa"/>
            <w:tcBorders>
              <w:bottom w:val="single" w:sz="12" w:space="0" w:color="auto"/>
            </w:tcBorders>
            <w:vAlign w:val="center"/>
          </w:tcPr>
          <w:p w14:paraId="7E384429" w14:textId="5CB949C5" w:rsidR="00107FF5"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Ніфедипін</w:t>
            </w:r>
          </w:p>
        </w:tc>
        <w:tc>
          <w:tcPr>
            <w:tcW w:w="992" w:type="dxa"/>
            <w:tcBorders>
              <w:bottom w:val="single" w:sz="12" w:space="0" w:color="auto"/>
            </w:tcBorders>
            <w:shd w:val="clear" w:color="auto" w:fill="C5E0B3" w:themeFill="accent6" w:themeFillTint="66"/>
            <w:vAlign w:val="center"/>
          </w:tcPr>
          <w:p w14:paraId="4F9BCE62" w14:textId="592C47AD"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C5E0B3" w:themeFill="accent6" w:themeFillTint="66"/>
          </w:tcPr>
          <w:p w14:paraId="27495840" w14:textId="0F408C11"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FA644E">
              <w:rPr>
                <w:rFonts w:ascii="Times New Roman" w:hAnsi="Times New Roman" w:cs="Times New Roman"/>
                <w:b/>
                <w:color w:val="000000" w:themeColor="text1"/>
                <w:sz w:val="22"/>
                <w:szCs w:val="22"/>
                <w:lang w:val="uk-UA" w:eastAsia="ru-RU"/>
              </w:rPr>
              <w:t>♦</w:t>
            </w:r>
          </w:p>
        </w:tc>
        <w:tc>
          <w:tcPr>
            <w:tcW w:w="850" w:type="dxa"/>
            <w:tcBorders>
              <w:bottom w:val="single" w:sz="12" w:space="0" w:color="auto"/>
            </w:tcBorders>
            <w:shd w:val="clear" w:color="auto" w:fill="C5E0B3" w:themeFill="accent6" w:themeFillTint="66"/>
          </w:tcPr>
          <w:p w14:paraId="43CB5023" w14:textId="3A4A2D8F"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FA644E">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F7CAAC" w:themeFill="accent2" w:themeFillTint="66"/>
          </w:tcPr>
          <w:p w14:paraId="69CE3417" w14:textId="0F869EA0" w:rsidR="00107FF5" w:rsidRPr="003F5D2D"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746AF">
              <w:rPr>
                <w:rFonts w:ascii="Times New Roman" w:hAnsi="Times New Roman" w:cs="Times New Roman"/>
                <w:b/>
                <w:color w:val="000000" w:themeColor="text1"/>
                <w:sz w:val="22"/>
                <w:szCs w:val="22"/>
                <w:lang w:val="uk-UA" w:eastAsia="ru-RU"/>
              </w:rPr>
              <w:t>■</w:t>
            </w:r>
          </w:p>
        </w:tc>
        <w:tc>
          <w:tcPr>
            <w:tcW w:w="850" w:type="dxa"/>
            <w:tcBorders>
              <w:bottom w:val="single" w:sz="12" w:space="0" w:color="auto"/>
            </w:tcBorders>
            <w:shd w:val="clear" w:color="auto" w:fill="C5E0B3" w:themeFill="accent6" w:themeFillTint="66"/>
          </w:tcPr>
          <w:p w14:paraId="26B14D58" w14:textId="36B11F0E"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8A1454">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C5E0B3" w:themeFill="accent6" w:themeFillTint="66"/>
          </w:tcPr>
          <w:p w14:paraId="7AF0ED86" w14:textId="4401394C" w:rsidR="00107FF5" w:rsidRPr="00002FE3"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8A1454">
              <w:rPr>
                <w:rFonts w:ascii="Times New Roman" w:hAnsi="Times New Roman" w:cs="Times New Roman"/>
                <w:b/>
                <w:color w:val="000000" w:themeColor="text1"/>
                <w:sz w:val="22"/>
                <w:szCs w:val="22"/>
                <w:lang w:val="uk-UA" w:eastAsia="ru-RU"/>
              </w:rPr>
              <w:t>♦</w:t>
            </w:r>
          </w:p>
        </w:tc>
        <w:tc>
          <w:tcPr>
            <w:tcW w:w="850" w:type="dxa"/>
            <w:tcBorders>
              <w:bottom w:val="single" w:sz="12" w:space="0" w:color="auto"/>
              <w:right w:val="single" w:sz="12" w:space="0" w:color="auto"/>
            </w:tcBorders>
            <w:shd w:val="clear" w:color="auto" w:fill="C5E0B3" w:themeFill="accent6" w:themeFillTint="66"/>
          </w:tcPr>
          <w:p w14:paraId="07D5359A" w14:textId="7DFFF0F2" w:rsidR="00107FF5" w:rsidRPr="003F5D2D" w:rsidRDefault="00107FF5" w:rsidP="00107FF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8A1454">
              <w:rPr>
                <w:rFonts w:ascii="Times New Roman" w:hAnsi="Times New Roman" w:cs="Times New Roman"/>
                <w:b/>
                <w:color w:val="000000" w:themeColor="text1"/>
                <w:sz w:val="22"/>
                <w:szCs w:val="22"/>
                <w:lang w:val="uk-UA" w:eastAsia="ru-RU"/>
              </w:rPr>
              <w:t>♦</w:t>
            </w:r>
          </w:p>
        </w:tc>
      </w:tr>
      <w:tr w:rsidR="00C03865" w:rsidRPr="003F5D2D" w14:paraId="0EE61E67" w14:textId="77777777" w:rsidTr="00D005A1">
        <w:trPr>
          <w:trHeight w:val="411"/>
        </w:trPr>
        <w:tc>
          <w:tcPr>
            <w:tcW w:w="1129" w:type="dxa"/>
            <w:vMerge w:val="restart"/>
            <w:tcBorders>
              <w:top w:val="single" w:sz="12" w:space="0" w:color="auto"/>
              <w:left w:val="single" w:sz="12" w:space="0" w:color="auto"/>
            </w:tcBorders>
            <w:textDirection w:val="btLr"/>
          </w:tcPr>
          <w:p w14:paraId="32BDCA32" w14:textId="7636437C" w:rsidR="00C03865" w:rsidRPr="00D005A1" w:rsidRDefault="001D4CA2" w:rsidP="00D005A1">
            <w:pPr>
              <w:spacing w:beforeAutospacing="1" w:afterAutospacing="1"/>
              <w:ind w:left="113" w:right="113"/>
              <w:jc w:val="center"/>
              <w:textAlignment w:val="baseline"/>
              <w:rPr>
                <w:rFonts w:ascii="Times New Roman" w:hAnsi="Times New Roman" w:cs="Times New Roman"/>
                <w:b/>
                <w:color w:val="000000" w:themeColor="text1"/>
                <w:sz w:val="20"/>
                <w:szCs w:val="20"/>
                <w:lang w:val="uk-UA" w:eastAsia="ru-RU"/>
              </w:rPr>
            </w:pPr>
            <w:r>
              <w:rPr>
                <w:rFonts w:ascii="Times New Roman" w:hAnsi="Times New Roman" w:cs="Times New Roman"/>
                <w:b/>
                <w:color w:val="000000" w:themeColor="text1"/>
                <w:sz w:val="20"/>
                <w:szCs w:val="20"/>
                <w:lang w:val="uk-UA" w:eastAsia="ru-RU"/>
              </w:rPr>
              <w:t>Препарати, які застосовуються при серцевій недостатності</w:t>
            </w:r>
          </w:p>
        </w:tc>
        <w:tc>
          <w:tcPr>
            <w:tcW w:w="1843" w:type="dxa"/>
            <w:tcBorders>
              <w:top w:val="single" w:sz="12" w:space="0" w:color="auto"/>
            </w:tcBorders>
          </w:tcPr>
          <w:p w14:paraId="3602A074" w14:textId="634BD069" w:rsidR="00C03865"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Аліскірен</w:t>
            </w:r>
          </w:p>
        </w:tc>
        <w:tc>
          <w:tcPr>
            <w:tcW w:w="992" w:type="dxa"/>
            <w:tcBorders>
              <w:top w:val="single" w:sz="12" w:space="0" w:color="auto"/>
            </w:tcBorders>
            <w:shd w:val="clear" w:color="auto" w:fill="C5E0B3" w:themeFill="accent6" w:themeFillTint="66"/>
            <w:vAlign w:val="center"/>
          </w:tcPr>
          <w:p w14:paraId="1DD25623" w14:textId="12C6A698"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F7CAAC" w:themeFill="accent2" w:themeFillTint="66"/>
          </w:tcPr>
          <w:p w14:paraId="293F47F2" w14:textId="3DFF2372"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746AF">
              <w:rPr>
                <w:rFonts w:ascii="Times New Roman" w:hAnsi="Times New Roman" w:cs="Times New Roman"/>
                <w:b/>
                <w:color w:val="000000" w:themeColor="text1"/>
                <w:sz w:val="22"/>
                <w:szCs w:val="22"/>
                <w:lang w:val="uk-UA" w:eastAsia="ru-RU"/>
              </w:rPr>
              <w:t>■</w:t>
            </w:r>
          </w:p>
        </w:tc>
        <w:tc>
          <w:tcPr>
            <w:tcW w:w="850" w:type="dxa"/>
            <w:tcBorders>
              <w:top w:val="single" w:sz="12" w:space="0" w:color="auto"/>
            </w:tcBorders>
            <w:shd w:val="clear" w:color="auto" w:fill="F7CAAC" w:themeFill="accent2" w:themeFillTint="66"/>
          </w:tcPr>
          <w:p w14:paraId="7BB7D079" w14:textId="2781500A"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746AF">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FF5050"/>
          </w:tcPr>
          <w:p w14:paraId="55C5AFB0" w14:textId="424C8370" w:rsidR="00C03865" w:rsidRPr="003F5D2D"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12" w:space="0" w:color="auto"/>
            </w:tcBorders>
            <w:shd w:val="clear" w:color="auto" w:fill="C5E0B3" w:themeFill="accent6" w:themeFillTint="66"/>
          </w:tcPr>
          <w:p w14:paraId="1BF1C4FD" w14:textId="3B84B3C9"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A202EC">
              <w:rPr>
                <w:rFonts w:ascii="Times New Roman" w:hAnsi="Times New Roman" w:cs="Times New Roman"/>
                <w:b/>
                <w:color w:val="000000" w:themeColor="text1"/>
                <w:sz w:val="22"/>
                <w:szCs w:val="22"/>
                <w:lang w:val="uk-UA" w:eastAsia="ru-RU"/>
              </w:rPr>
              <w:t>♦</w:t>
            </w:r>
          </w:p>
        </w:tc>
        <w:tc>
          <w:tcPr>
            <w:tcW w:w="851" w:type="dxa"/>
            <w:tcBorders>
              <w:top w:val="single" w:sz="12" w:space="0" w:color="auto"/>
            </w:tcBorders>
            <w:shd w:val="clear" w:color="auto" w:fill="FF5050"/>
          </w:tcPr>
          <w:p w14:paraId="251ECD6B" w14:textId="7705CC20"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60EE7">
              <w:rPr>
                <w:rFonts w:ascii="Times New Roman" w:hAnsi="Times New Roman" w:cs="Times New Roman"/>
                <w:b/>
                <w:color w:val="000000" w:themeColor="text1"/>
                <w:sz w:val="22"/>
                <w:szCs w:val="22"/>
                <w:lang w:val="uk-UA" w:eastAsia="ru-RU"/>
              </w:rPr>
              <w:t>●</w:t>
            </w:r>
          </w:p>
        </w:tc>
        <w:tc>
          <w:tcPr>
            <w:tcW w:w="850" w:type="dxa"/>
            <w:tcBorders>
              <w:top w:val="single" w:sz="12" w:space="0" w:color="auto"/>
              <w:right w:val="single" w:sz="12" w:space="0" w:color="auto"/>
            </w:tcBorders>
            <w:shd w:val="clear" w:color="auto" w:fill="FF5050"/>
          </w:tcPr>
          <w:p w14:paraId="29BB3B7E" w14:textId="3474EDF9" w:rsidR="00C03865" w:rsidRPr="003F5D2D"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D60EE7">
              <w:rPr>
                <w:rFonts w:ascii="Times New Roman" w:hAnsi="Times New Roman" w:cs="Times New Roman"/>
                <w:b/>
                <w:color w:val="000000" w:themeColor="text1"/>
                <w:sz w:val="22"/>
                <w:szCs w:val="22"/>
                <w:lang w:val="uk-UA" w:eastAsia="ru-RU"/>
              </w:rPr>
              <w:t>●</w:t>
            </w:r>
          </w:p>
        </w:tc>
      </w:tr>
      <w:tr w:rsidR="00C03865" w:rsidRPr="003F5D2D" w14:paraId="0604203C" w14:textId="77777777" w:rsidTr="00D005A1">
        <w:trPr>
          <w:trHeight w:val="435"/>
        </w:trPr>
        <w:tc>
          <w:tcPr>
            <w:tcW w:w="1129" w:type="dxa"/>
            <w:vMerge/>
            <w:tcBorders>
              <w:left w:val="single" w:sz="12" w:space="0" w:color="auto"/>
            </w:tcBorders>
          </w:tcPr>
          <w:p w14:paraId="2D290FCA" w14:textId="77777777"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1843" w:type="dxa"/>
          </w:tcPr>
          <w:p w14:paraId="1B4F7EF8" w14:textId="12A0638C" w:rsidR="00C03865"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Лозартан</w:t>
            </w:r>
          </w:p>
        </w:tc>
        <w:tc>
          <w:tcPr>
            <w:tcW w:w="992" w:type="dxa"/>
            <w:shd w:val="clear" w:color="auto" w:fill="C5E0B3" w:themeFill="accent6" w:themeFillTint="66"/>
            <w:vAlign w:val="center"/>
          </w:tcPr>
          <w:p w14:paraId="53C6A79D" w14:textId="69F1DA86"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tcPr>
          <w:p w14:paraId="071922BB" w14:textId="0ABB189D"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33E22">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tcPr>
          <w:p w14:paraId="6A561A9A" w14:textId="46ABE420"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33E22">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tcPr>
          <w:p w14:paraId="04476868" w14:textId="4B5B7618" w:rsidR="00C03865" w:rsidRPr="003F5D2D"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33E22">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tcPr>
          <w:p w14:paraId="427D04D2" w14:textId="1B2DC9E1"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A202EC">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tcPr>
          <w:p w14:paraId="512EB81E" w14:textId="19BC293B"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33E22">
              <w:rPr>
                <w:rFonts w:ascii="Times New Roman" w:hAnsi="Times New Roman" w:cs="Times New Roman"/>
                <w:b/>
                <w:color w:val="000000" w:themeColor="text1"/>
                <w:sz w:val="22"/>
                <w:szCs w:val="22"/>
                <w:lang w:val="uk-UA" w:eastAsia="ru-RU"/>
              </w:rPr>
              <w:t>♦</w:t>
            </w:r>
          </w:p>
        </w:tc>
        <w:tc>
          <w:tcPr>
            <w:tcW w:w="850" w:type="dxa"/>
            <w:tcBorders>
              <w:right w:val="single" w:sz="12" w:space="0" w:color="auto"/>
            </w:tcBorders>
            <w:shd w:val="clear" w:color="auto" w:fill="C5E0B3" w:themeFill="accent6" w:themeFillTint="66"/>
          </w:tcPr>
          <w:p w14:paraId="085A29D9" w14:textId="628679CC" w:rsidR="00C03865" w:rsidRPr="003F5D2D"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33E22">
              <w:rPr>
                <w:rFonts w:ascii="Times New Roman" w:hAnsi="Times New Roman" w:cs="Times New Roman"/>
                <w:b/>
                <w:color w:val="000000" w:themeColor="text1"/>
                <w:sz w:val="22"/>
                <w:szCs w:val="22"/>
                <w:lang w:val="uk-UA" w:eastAsia="ru-RU"/>
              </w:rPr>
              <w:t>♦</w:t>
            </w:r>
          </w:p>
        </w:tc>
      </w:tr>
      <w:tr w:rsidR="00C03865" w:rsidRPr="003F5D2D" w14:paraId="1ECD040D" w14:textId="77777777" w:rsidTr="00D005A1">
        <w:trPr>
          <w:trHeight w:val="594"/>
        </w:trPr>
        <w:tc>
          <w:tcPr>
            <w:tcW w:w="1129" w:type="dxa"/>
            <w:vMerge/>
            <w:tcBorders>
              <w:left w:val="single" w:sz="12" w:space="0" w:color="auto"/>
            </w:tcBorders>
          </w:tcPr>
          <w:p w14:paraId="67554C53" w14:textId="77777777"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1843" w:type="dxa"/>
          </w:tcPr>
          <w:p w14:paraId="4E5E04A3" w14:textId="358E4885" w:rsidR="00C03865"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Доксазосін</w:t>
            </w:r>
          </w:p>
        </w:tc>
        <w:tc>
          <w:tcPr>
            <w:tcW w:w="992" w:type="dxa"/>
            <w:shd w:val="clear" w:color="auto" w:fill="C5E0B3" w:themeFill="accent6" w:themeFillTint="66"/>
            <w:vAlign w:val="center"/>
          </w:tcPr>
          <w:p w14:paraId="07E4BE0E" w14:textId="7E59478E"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tcPr>
          <w:p w14:paraId="6D5BD495" w14:textId="59AC0B67"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7F4070">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tcPr>
          <w:p w14:paraId="76F74C7D" w14:textId="4CE789CA"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7F4070">
              <w:rPr>
                <w:rFonts w:ascii="Times New Roman" w:hAnsi="Times New Roman" w:cs="Times New Roman"/>
                <w:b/>
                <w:color w:val="000000" w:themeColor="text1"/>
                <w:sz w:val="22"/>
                <w:szCs w:val="22"/>
                <w:lang w:val="uk-UA" w:eastAsia="ru-RU"/>
              </w:rPr>
              <w:t>♦</w:t>
            </w:r>
          </w:p>
        </w:tc>
        <w:tc>
          <w:tcPr>
            <w:tcW w:w="851" w:type="dxa"/>
            <w:shd w:val="clear" w:color="auto" w:fill="F7CAAC" w:themeFill="accent2" w:themeFillTint="66"/>
          </w:tcPr>
          <w:p w14:paraId="083E5B10" w14:textId="18E27FAF" w:rsidR="00C03865" w:rsidRPr="003F5D2D"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746AF">
              <w:rPr>
                <w:rFonts w:ascii="Times New Roman" w:hAnsi="Times New Roman" w:cs="Times New Roman"/>
                <w:b/>
                <w:color w:val="000000" w:themeColor="text1"/>
                <w:sz w:val="22"/>
                <w:szCs w:val="22"/>
                <w:lang w:val="uk-UA" w:eastAsia="ru-RU"/>
              </w:rPr>
              <w:t>■</w:t>
            </w:r>
          </w:p>
        </w:tc>
        <w:tc>
          <w:tcPr>
            <w:tcW w:w="850" w:type="dxa"/>
            <w:shd w:val="clear" w:color="auto" w:fill="C5E0B3" w:themeFill="accent6" w:themeFillTint="66"/>
          </w:tcPr>
          <w:p w14:paraId="5B382DD5" w14:textId="46A68C63"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A202EC">
              <w:rPr>
                <w:rFonts w:ascii="Times New Roman" w:hAnsi="Times New Roman" w:cs="Times New Roman"/>
                <w:b/>
                <w:color w:val="000000" w:themeColor="text1"/>
                <w:sz w:val="22"/>
                <w:szCs w:val="22"/>
                <w:lang w:val="uk-UA" w:eastAsia="ru-RU"/>
              </w:rPr>
              <w:t>♦</w:t>
            </w:r>
          </w:p>
        </w:tc>
        <w:tc>
          <w:tcPr>
            <w:tcW w:w="851" w:type="dxa"/>
            <w:shd w:val="clear" w:color="auto" w:fill="C5E0B3" w:themeFill="accent6" w:themeFillTint="66"/>
          </w:tcPr>
          <w:p w14:paraId="154326FD" w14:textId="775FBDC6"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BB23A0">
              <w:rPr>
                <w:rFonts w:ascii="Times New Roman" w:hAnsi="Times New Roman" w:cs="Times New Roman"/>
                <w:b/>
                <w:color w:val="000000" w:themeColor="text1"/>
                <w:sz w:val="22"/>
                <w:szCs w:val="22"/>
                <w:lang w:val="uk-UA" w:eastAsia="ru-RU"/>
              </w:rPr>
              <w:t>♦</w:t>
            </w:r>
          </w:p>
        </w:tc>
        <w:tc>
          <w:tcPr>
            <w:tcW w:w="850" w:type="dxa"/>
            <w:tcBorders>
              <w:right w:val="single" w:sz="12" w:space="0" w:color="auto"/>
            </w:tcBorders>
            <w:shd w:val="clear" w:color="auto" w:fill="C5E0B3" w:themeFill="accent6" w:themeFillTint="66"/>
          </w:tcPr>
          <w:p w14:paraId="4C3B6CE2" w14:textId="2F003D75" w:rsidR="00C03865" w:rsidRPr="003F5D2D"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BB23A0">
              <w:rPr>
                <w:rFonts w:ascii="Times New Roman" w:hAnsi="Times New Roman" w:cs="Times New Roman"/>
                <w:b/>
                <w:color w:val="000000" w:themeColor="text1"/>
                <w:sz w:val="22"/>
                <w:szCs w:val="22"/>
                <w:lang w:val="uk-UA" w:eastAsia="ru-RU"/>
              </w:rPr>
              <w:t>♦</w:t>
            </w:r>
          </w:p>
        </w:tc>
      </w:tr>
      <w:tr w:rsidR="00C03865" w:rsidRPr="003F5D2D" w14:paraId="7C01EC6F" w14:textId="77777777" w:rsidTr="00D005A1">
        <w:trPr>
          <w:trHeight w:val="367"/>
        </w:trPr>
        <w:tc>
          <w:tcPr>
            <w:tcW w:w="1129" w:type="dxa"/>
            <w:vMerge/>
            <w:tcBorders>
              <w:left w:val="single" w:sz="12" w:space="0" w:color="auto"/>
              <w:bottom w:val="single" w:sz="12" w:space="0" w:color="auto"/>
            </w:tcBorders>
          </w:tcPr>
          <w:p w14:paraId="4A091AE9" w14:textId="77777777"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1843" w:type="dxa"/>
            <w:tcBorders>
              <w:bottom w:val="single" w:sz="12" w:space="0" w:color="auto"/>
            </w:tcBorders>
          </w:tcPr>
          <w:p w14:paraId="5A5A27A5" w14:textId="157212F0" w:rsidR="00C03865"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Еналаприл</w:t>
            </w:r>
          </w:p>
        </w:tc>
        <w:tc>
          <w:tcPr>
            <w:tcW w:w="992" w:type="dxa"/>
            <w:tcBorders>
              <w:bottom w:val="single" w:sz="12" w:space="0" w:color="auto"/>
            </w:tcBorders>
            <w:shd w:val="clear" w:color="auto" w:fill="C5E0B3" w:themeFill="accent6" w:themeFillTint="66"/>
            <w:vAlign w:val="center"/>
          </w:tcPr>
          <w:p w14:paraId="4FAFDE53" w14:textId="421AFC9C"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C5E0B3" w:themeFill="accent6" w:themeFillTint="66"/>
          </w:tcPr>
          <w:p w14:paraId="28F0F9E2" w14:textId="383E664E"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7F4070">
              <w:rPr>
                <w:rFonts w:ascii="Times New Roman" w:hAnsi="Times New Roman" w:cs="Times New Roman"/>
                <w:b/>
                <w:color w:val="000000" w:themeColor="text1"/>
                <w:sz w:val="22"/>
                <w:szCs w:val="22"/>
                <w:lang w:val="uk-UA" w:eastAsia="ru-RU"/>
              </w:rPr>
              <w:t>♦</w:t>
            </w:r>
          </w:p>
        </w:tc>
        <w:tc>
          <w:tcPr>
            <w:tcW w:w="850" w:type="dxa"/>
            <w:tcBorders>
              <w:bottom w:val="single" w:sz="12" w:space="0" w:color="auto"/>
            </w:tcBorders>
            <w:shd w:val="clear" w:color="auto" w:fill="C5E0B3" w:themeFill="accent6" w:themeFillTint="66"/>
          </w:tcPr>
          <w:p w14:paraId="3FAF23E0" w14:textId="699DE0D9"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7F4070">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F7CAAC" w:themeFill="accent2" w:themeFillTint="66"/>
          </w:tcPr>
          <w:p w14:paraId="3D001ADF" w14:textId="444925DB" w:rsidR="00C03865" w:rsidRPr="003F5D2D"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746AF">
              <w:rPr>
                <w:rFonts w:ascii="Times New Roman" w:hAnsi="Times New Roman" w:cs="Times New Roman"/>
                <w:b/>
                <w:color w:val="000000" w:themeColor="text1"/>
                <w:sz w:val="22"/>
                <w:szCs w:val="22"/>
                <w:lang w:val="uk-UA" w:eastAsia="ru-RU"/>
              </w:rPr>
              <w:t>■</w:t>
            </w:r>
          </w:p>
        </w:tc>
        <w:tc>
          <w:tcPr>
            <w:tcW w:w="850" w:type="dxa"/>
            <w:tcBorders>
              <w:bottom w:val="single" w:sz="12" w:space="0" w:color="auto"/>
            </w:tcBorders>
            <w:shd w:val="clear" w:color="auto" w:fill="C5E0B3" w:themeFill="accent6" w:themeFillTint="66"/>
          </w:tcPr>
          <w:p w14:paraId="4813B653" w14:textId="7E648F06"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A202EC">
              <w:rPr>
                <w:rFonts w:ascii="Times New Roman" w:hAnsi="Times New Roman" w:cs="Times New Roman"/>
                <w:b/>
                <w:color w:val="000000" w:themeColor="text1"/>
                <w:sz w:val="22"/>
                <w:szCs w:val="22"/>
                <w:lang w:val="uk-UA" w:eastAsia="ru-RU"/>
              </w:rPr>
              <w:t>♦</w:t>
            </w:r>
          </w:p>
        </w:tc>
        <w:tc>
          <w:tcPr>
            <w:tcW w:w="851" w:type="dxa"/>
            <w:tcBorders>
              <w:bottom w:val="single" w:sz="12" w:space="0" w:color="auto"/>
            </w:tcBorders>
            <w:shd w:val="clear" w:color="auto" w:fill="F7CAAC" w:themeFill="accent2" w:themeFillTint="66"/>
          </w:tcPr>
          <w:p w14:paraId="37467BC6" w14:textId="44BB2C6D" w:rsidR="00C03865" w:rsidRPr="00002FE3"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746AF">
              <w:rPr>
                <w:rFonts w:ascii="Times New Roman" w:hAnsi="Times New Roman" w:cs="Times New Roman"/>
                <w:b/>
                <w:color w:val="000000" w:themeColor="text1"/>
                <w:sz w:val="22"/>
                <w:szCs w:val="22"/>
                <w:lang w:val="uk-UA" w:eastAsia="ru-RU"/>
              </w:rPr>
              <w:t>■</w:t>
            </w:r>
          </w:p>
        </w:tc>
        <w:tc>
          <w:tcPr>
            <w:tcW w:w="850" w:type="dxa"/>
            <w:tcBorders>
              <w:bottom w:val="single" w:sz="12" w:space="0" w:color="auto"/>
              <w:right w:val="single" w:sz="12" w:space="0" w:color="auto"/>
            </w:tcBorders>
            <w:shd w:val="clear" w:color="auto" w:fill="F7CAAC" w:themeFill="accent2" w:themeFillTint="66"/>
          </w:tcPr>
          <w:p w14:paraId="26072ACE" w14:textId="5BA4388C" w:rsidR="00C03865" w:rsidRPr="003F5D2D" w:rsidRDefault="00C03865" w:rsidP="00C03865">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746AF">
              <w:rPr>
                <w:rFonts w:ascii="Times New Roman" w:hAnsi="Times New Roman" w:cs="Times New Roman"/>
                <w:b/>
                <w:color w:val="000000" w:themeColor="text1"/>
                <w:sz w:val="22"/>
                <w:szCs w:val="22"/>
                <w:lang w:val="uk-UA" w:eastAsia="ru-RU"/>
              </w:rPr>
              <w:t>■</w:t>
            </w:r>
          </w:p>
        </w:tc>
      </w:tr>
    </w:tbl>
    <w:p w14:paraId="31AE2CBF" w14:textId="44EFBB73" w:rsidR="002E47FC" w:rsidRDefault="002E47FC" w:rsidP="005312A2">
      <w:pPr>
        <w:tabs>
          <w:tab w:val="left" w:pos="1089"/>
        </w:tabs>
        <w:rPr>
          <w:rFonts w:ascii="Times New Roman" w:hAnsi="Times New Roman" w:cs="Times New Roman"/>
          <w:b/>
          <w:color w:val="000000" w:themeColor="text1"/>
          <w:lang w:val="uk-UA"/>
        </w:rPr>
      </w:pPr>
    </w:p>
    <w:tbl>
      <w:tblPr>
        <w:tblStyle w:val="a6"/>
        <w:tblW w:w="0" w:type="auto"/>
        <w:tblInd w:w="360" w:type="dxa"/>
        <w:tblLook w:val="04A0" w:firstRow="1" w:lastRow="0" w:firstColumn="1" w:lastColumn="0" w:noHBand="0" w:noVBand="1"/>
      </w:tblPr>
      <w:tblGrid>
        <w:gridCol w:w="486"/>
        <w:gridCol w:w="9060"/>
      </w:tblGrid>
      <w:tr w:rsidR="00BE71C2" w14:paraId="359BD9C1" w14:textId="77777777" w:rsidTr="003A669B">
        <w:tc>
          <w:tcPr>
            <w:tcW w:w="486" w:type="dxa"/>
            <w:shd w:val="clear" w:color="auto" w:fill="C5E0B3" w:themeFill="accent6" w:themeFillTint="66"/>
          </w:tcPr>
          <w:p w14:paraId="3BA5C9A4" w14:textId="77777777" w:rsidR="00BE71C2" w:rsidRDefault="00BE71C2" w:rsidP="003A669B">
            <w:pPr>
              <w:spacing w:beforeAutospacing="1" w:afterAutospacing="1"/>
              <w:jc w:val="center"/>
              <w:textAlignment w:val="baseline"/>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62356621" w14:textId="77777777" w:rsidR="00BE71C2" w:rsidRDefault="00BE71C2" w:rsidP="003A669B">
            <w:pPr>
              <w:tabs>
                <w:tab w:val="left" w:pos="1089"/>
              </w:tabs>
              <w:jc w:val="both"/>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Ніяких клінічно значущих взаємодій не очікується.</w:t>
            </w:r>
          </w:p>
        </w:tc>
      </w:tr>
      <w:tr w:rsidR="00BE71C2" w14:paraId="1AD5CC8A" w14:textId="77777777" w:rsidTr="003A669B">
        <w:tc>
          <w:tcPr>
            <w:tcW w:w="486" w:type="dxa"/>
            <w:shd w:val="clear" w:color="auto" w:fill="F4B083" w:themeFill="accent2" w:themeFillTint="99"/>
          </w:tcPr>
          <w:p w14:paraId="36FD8BD1" w14:textId="77777777" w:rsidR="00BE71C2" w:rsidRDefault="00BE71C2" w:rsidP="003A669B">
            <w:pPr>
              <w:tabs>
                <w:tab w:val="left" w:pos="1089"/>
              </w:tabs>
              <w:jc w:val="center"/>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37E9AE70" w14:textId="13D8925B" w:rsidR="00BE71C2" w:rsidRDefault="00DD7838" w:rsidP="003A669B">
            <w:pPr>
              <w:tabs>
                <w:tab w:val="left" w:pos="1089"/>
              </w:tabs>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Потенційна взаємодія, яка може потребувати регулювання дози, змін</w:t>
            </w:r>
            <w:r>
              <w:rPr>
                <w:rFonts w:ascii="Times New Roman" w:hAnsi="Times New Roman" w:cs="Times New Roman"/>
                <w:color w:val="000000" w:themeColor="text1"/>
                <w:lang w:val="uk-UA"/>
              </w:rPr>
              <w:t xml:space="preserve">и </w:t>
            </w:r>
            <w:r w:rsidRPr="00F15C59">
              <w:rPr>
                <w:rFonts w:ascii="Times New Roman" w:hAnsi="Times New Roman" w:cs="Times New Roman"/>
                <w:color w:val="000000" w:themeColor="text1"/>
                <w:lang w:val="uk-UA"/>
              </w:rPr>
              <w:t xml:space="preserve">часу </w:t>
            </w:r>
            <w:r>
              <w:rPr>
                <w:rFonts w:ascii="Times New Roman" w:hAnsi="Times New Roman" w:cs="Times New Roman"/>
                <w:color w:val="000000" w:themeColor="text1"/>
                <w:lang w:val="uk-UA"/>
              </w:rPr>
              <w:t>вживання</w:t>
            </w:r>
            <w:r w:rsidRPr="00F15C59">
              <w:rPr>
                <w:rFonts w:ascii="Times New Roman" w:hAnsi="Times New Roman" w:cs="Times New Roman"/>
                <w:color w:val="000000" w:themeColor="text1"/>
                <w:lang w:val="uk-UA"/>
              </w:rPr>
              <w:t xml:space="preserve"> або додатков</w:t>
            </w:r>
            <w:r>
              <w:rPr>
                <w:rFonts w:ascii="Times New Roman" w:hAnsi="Times New Roman" w:cs="Times New Roman"/>
                <w:color w:val="000000" w:themeColor="text1"/>
                <w:lang w:val="uk-UA"/>
              </w:rPr>
              <w:t>ого</w:t>
            </w:r>
            <w:r w:rsidRPr="00F15C59">
              <w:rPr>
                <w:rFonts w:ascii="Times New Roman" w:hAnsi="Times New Roman" w:cs="Times New Roman"/>
                <w:color w:val="000000" w:themeColor="text1"/>
                <w:lang w:val="uk-UA"/>
              </w:rPr>
              <w:t xml:space="preserve"> контрол</w:t>
            </w:r>
            <w:r>
              <w:rPr>
                <w:rFonts w:ascii="Times New Roman" w:hAnsi="Times New Roman" w:cs="Times New Roman"/>
                <w:color w:val="000000" w:themeColor="text1"/>
                <w:lang w:val="uk-UA"/>
              </w:rPr>
              <w:t>ю</w:t>
            </w:r>
            <w:r w:rsidRPr="00F15C59">
              <w:rPr>
                <w:rFonts w:ascii="Times New Roman" w:hAnsi="Times New Roman" w:cs="Times New Roman"/>
                <w:color w:val="000000" w:themeColor="text1"/>
                <w:lang w:val="uk-UA"/>
              </w:rPr>
              <w:t>.</w:t>
            </w:r>
          </w:p>
        </w:tc>
      </w:tr>
      <w:tr w:rsidR="00BE71C2" w14:paraId="2916CDCC" w14:textId="77777777" w:rsidTr="00D005A1">
        <w:tc>
          <w:tcPr>
            <w:tcW w:w="486" w:type="dxa"/>
            <w:shd w:val="clear" w:color="auto" w:fill="FF5050"/>
          </w:tcPr>
          <w:p w14:paraId="17149969" w14:textId="77777777" w:rsidR="00BE71C2" w:rsidRDefault="00BE71C2" w:rsidP="003A669B">
            <w:pPr>
              <w:tabs>
                <w:tab w:val="left" w:pos="1089"/>
              </w:tabs>
              <w:jc w:val="center"/>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0C4E0B5E" w14:textId="77777777" w:rsidR="00BE71C2" w:rsidRDefault="00BE71C2" w:rsidP="003A669B">
            <w:pPr>
              <w:tabs>
                <w:tab w:val="left" w:pos="1089"/>
              </w:tabs>
              <w:jc w:val="both"/>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Ці препарати н</w:t>
            </w:r>
            <w:r>
              <w:rPr>
                <w:rFonts w:ascii="Times New Roman" w:hAnsi="Times New Roman" w:cs="Times New Roman"/>
                <w:color w:val="000000" w:themeColor="text1"/>
                <w:lang w:val="uk-UA"/>
              </w:rPr>
              <w:t>е повинні застосовуватися разом</w:t>
            </w:r>
            <w:r w:rsidRPr="00F15C59">
              <w:rPr>
                <w:rFonts w:ascii="Times New Roman" w:hAnsi="Times New Roman" w:cs="Times New Roman"/>
                <w:color w:val="000000" w:themeColor="text1"/>
                <w:lang w:val="uk-UA"/>
              </w:rPr>
              <w:t>.</w:t>
            </w:r>
          </w:p>
        </w:tc>
      </w:tr>
    </w:tbl>
    <w:p w14:paraId="3A4A5FB1" w14:textId="77777777" w:rsidR="005312A2" w:rsidRDefault="005312A2" w:rsidP="005312A2">
      <w:pPr>
        <w:tabs>
          <w:tab w:val="left" w:pos="1089"/>
        </w:tabs>
        <w:rPr>
          <w:rFonts w:ascii="Times New Roman" w:hAnsi="Times New Roman" w:cs="Times New Roman"/>
          <w:i/>
          <w:color w:val="000000" w:themeColor="text1"/>
          <w:sz w:val="20"/>
          <w:szCs w:val="20"/>
          <w:lang w:val="uk-UA"/>
        </w:rPr>
      </w:pPr>
    </w:p>
    <w:p w14:paraId="79E8A099" w14:textId="77777777" w:rsidR="00D065CC" w:rsidRDefault="00D065CC" w:rsidP="00D065CC">
      <w:pPr>
        <w:tabs>
          <w:tab w:val="left" w:pos="1089"/>
        </w:tabs>
        <w:contextualSpacing/>
        <w:jc w:val="both"/>
        <w:rPr>
          <w:rFonts w:ascii="Times New Roman" w:hAnsi="Times New Roman" w:cs="Times New Roman"/>
          <w:i/>
          <w:color w:val="000000" w:themeColor="text1"/>
          <w:sz w:val="20"/>
          <w:szCs w:val="20"/>
          <w:lang w:val="uk-UA"/>
        </w:rPr>
      </w:pPr>
      <w:r w:rsidRPr="00DA6F76">
        <w:rPr>
          <w:rFonts w:ascii="Times New Roman" w:hAnsi="Times New Roman" w:cs="Times New Roman"/>
          <w:i/>
          <w:color w:val="000000" w:themeColor="text1"/>
          <w:sz w:val="20"/>
          <w:szCs w:val="20"/>
          <w:lang w:val="uk-UA"/>
        </w:rPr>
        <w:t xml:space="preserve">Примітки. Деякі лікарські засоби можуть вимагати зміни дози залежно від функції печінки. Будь ласка, </w:t>
      </w:r>
      <w:r>
        <w:rPr>
          <w:rFonts w:ascii="Times New Roman" w:hAnsi="Times New Roman" w:cs="Times New Roman"/>
          <w:i/>
          <w:color w:val="000000" w:themeColor="text1"/>
          <w:sz w:val="20"/>
          <w:szCs w:val="20"/>
          <w:lang w:val="uk-UA"/>
        </w:rPr>
        <w:t>ознайомтеся з</w:t>
      </w:r>
      <w:r w:rsidRPr="00DA6F76">
        <w:rPr>
          <w:rFonts w:ascii="Times New Roman" w:hAnsi="Times New Roman" w:cs="Times New Roman"/>
          <w:i/>
          <w:color w:val="000000" w:themeColor="text1"/>
          <w:sz w:val="20"/>
          <w:szCs w:val="20"/>
          <w:lang w:val="uk-UA"/>
        </w:rPr>
        <w:t xml:space="preserve"> </w:t>
      </w:r>
      <w:r>
        <w:rPr>
          <w:rFonts w:ascii="Times New Roman" w:hAnsi="Times New Roman" w:cs="Times New Roman"/>
          <w:i/>
          <w:color w:val="000000" w:themeColor="text1"/>
          <w:sz w:val="20"/>
          <w:szCs w:val="20"/>
          <w:lang w:val="uk-UA"/>
        </w:rPr>
        <w:t>інструкцією</w:t>
      </w:r>
      <w:r w:rsidRPr="00DA6F76">
        <w:rPr>
          <w:rFonts w:ascii="Times New Roman" w:hAnsi="Times New Roman" w:cs="Times New Roman"/>
          <w:i/>
          <w:color w:val="000000" w:themeColor="text1"/>
          <w:sz w:val="20"/>
          <w:szCs w:val="20"/>
          <w:lang w:val="uk-UA"/>
        </w:rPr>
        <w:t xml:space="preserve"> </w:t>
      </w:r>
      <w:r>
        <w:rPr>
          <w:rFonts w:ascii="Times New Roman" w:hAnsi="Times New Roman" w:cs="Times New Roman"/>
          <w:i/>
          <w:color w:val="000000" w:themeColor="text1"/>
          <w:sz w:val="20"/>
          <w:szCs w:val="20"/>
          <w:lang w:val="uk-UA"/>
        </w:rPr>
        <w:t>лікарського засобу</w:t>
      </w:r>
      <w:r w:rsidRPr="00DA6F76">
        <w:rPr>
          <w:rFonts w:ascii="Times New Roman" w:hAnsi="Times New Roman" w:cs="Times New Roman"/>
          <w:i/>
          <w:color w:val="000000" w:themeColor="text1"/>
          <w:sz w:val="20"/>
          <w:szCs w:val="20"/>
          <w:lang w:val="uk-UA"/>
        </w:rPr>
        <w:t xml:space="preserve"> щодо рекомендованих доз. Символи (зелений, помаранчевий, червоний), що використовуються в таблиці для оцінки клінічного значення взаємодії </w:t>
      </w:r>
      <w:r>
        <w:rPr>
          <w:rFonts w:ascii="Times New Roman" w:hAnsi="Times New Roman" w:cs="Times New Roman"/>
          <w:i/>
          <w:color w:val="000000" w:themeColor="text1"/>
          <w:sz w:val="20"/>
          <w:szCs w:val="20"/>
          <w:lang w:val="uk-UA"/>
        </w:rPr>
        <w:t>лікарських засобів,</w:t>
      </w:r>
      <w:r w:rsidRPr="00DA6F76">
        <w:rPr>
          <w:rFonts w:ascii="Times New Roman" w:hAnsi="Times New Roman" w:cs="Times New Roman"/>
          <w:i/>
          <w:color w:val="000000" w:themeColor="text1"/>
          <w:sz w:val="20"/>
          <w:szCs w:val="20"/>
          <w:lang w:val="uk-UA"/>
        </w:rPr>
        <w:t xml:space="preserve"> створені на основі www.hep</w:t>
      </w:r>
      <w:r>
        <w:rPr>
          <w:rFonts w:ascii="Times New Roman" w:hAnsi="Times New Roman" w:cs="Times New Roman"/>
          <w:i/>
          <w:color w:val="000000" w:themeColor="text1"/>
          <w:sz w:val="20"/>
          <w:szCs w:val="20"/>
          <w:lang w:val="uk-UA"/>
        </w:rPr>
        <w:t>–</w:t>
      </w:r>
      <w:r w:rsidRPr="00DA6F76">
        <w:rPr>
          <w:rFonts w:ascii="Times New Roman" w:hAnsi="Times New Roman" w:cs="Times New Roman"/>
          <w:i/>
          <w:color w:val="000000" w:themeColor="text1"/>
          <w:sz w:val="20"/>
          <w:szCs w:val="20"/>
          <w:lang w:val="uk-UA"/>
        </w:rPr>
        <w:t>druginteractions.org (University of Liverpool). У випадку потреби у додатковій інформації стосовно взаємодій між лікарськими засобами для більш широкого кола препаратів, а також щодо докладних даних про фармакокінетичну взаємодію та коригування доз, звертайтеся до вищезазначеного веб</w:t>
      </w:r>
      <w:r>
        <w:rPr>
          <w:rFonts w:ascii="Times New Roman" w:hAnsi="Times New Roman" w:cs="Times New Roman"/>
          <w:i/>
          <w:color w:val="000000" w:themeColor="text1"/>
          <w:sz w:val="20"/>
          <w:szCs w:val="20"/>
          <w:lang w:val="uk-UA"/>
        </w:rPr>
        <w:t>–</w:t>
      </w:r>
      <w:r w:rsidRPr="00DA6F76">
        <w:rPr>
          <w:rFonts w:ascii="Times New Roman" w:hAnsi="Times New Roman" w:cs="Times New Roman"/>
          <w:i/>
          <w:color w:val="000000" w:themeColor="text1"/>
          <w:sz w:val="20"/>
          <w:szCs w:val="20"/>
          <w:lang w:val="uk-UA"/>
        </w:rPr>
        <w:t>сайту.</w:t>
      </w:r>
    </w:p>
    <w:p w14:paraId="170A82C7" w14:textId="77777777" w:rsidR="005312A2" w:rsidRDefault="005312A2" w:rsidP="005312A2">
      <w:pPr>
        <w:tabs>
          <w:tab w:val="left" w:pos="1089"/>
        </w:tabs>
        <w:ind w:left="360"/>
        <w:rPr>
          <w:rFonts w:ascii="Times New Roman" w:hAnsi="Times New Roman" w:cs="Times New Roman"/>
          <w:b/>
          <w:color w:val="000000" w:themeColor="text1"/>
          <w:lang w:val="uk-UA"/>
        </w:rPr>
      </w:pPr>
    </w:p>
    <w:p w14:paraId="07DB9574" w14:textId="30578BD5" w:rsidR="001D4CA2" w:rsidRPr="009E2836" w:rsidRDefault="001D4CA2" w:rsidP="001D4CA2">
      <w:pPr>
        <w:tabs>
          <w:tab w:val="left" w:pos="1089"/>
        </w:tabs>
        <w:ind w:left="360"/>
        <w:jc w:val="both"/>
        <w:rPr>
          <w:rFonts w:ascii="Times New Roman" w:hAnsi="Times New Roman" w:cs="Times New Roman"/>
          <w:color w:val="000000" w:themeColor="text1"/>
          <w:lang w:val="uk-UA"/>
        </w:rPr>
      </w:pPr>
      <w:r w:rsidRPr="009E2836">
        <w:rPr>
          <w:rFonts w:ascii="Times New Roman" w:hAnsi="Times New Roman" w:cs="Times New Roman"/>
          <w:color w:val="000000" w:themeColor="text1"/>
          <w:lang w:val="uk-UA"/>
        </w:rPr>
        <w:t xml:space="preserve">Експериментальна експозиція </w:t>
      </w:r>
      <w:r w:rsidRPr="009F1038">
        <w:rPr>
          <w:rFonts w:ascii="Times New Roman" w:hAnsi="Times New Roman" w:cs="Times New Roman"/>
          <w:color w:val="000000" w:themeColor="text1"/>
          <w:lang w:val="uk-UA"/>
        </w:rPr>
        <w:t>велпатасвір</w:t>
      </w:r>
      <w:r w:rsidR="00F5160A">
        <w:rPr>
          <w:rFonts w:ascii="Times New Roman" w:hAnsi="Times New Roman" w:cs="Times New Roman"/>
          <w:color w:val="000000" w:themeColor="text1"/>
          <w:lang w:val="uk-UA"/>
        </w:rPr>
        <w:t>у</w:t>
      </w:r>
      <w:r>
        <w:rPr>
          <w:rFonts w:ascii="Times New Roman" w:hAnsi="Times New Roman" w:cs="Times New Roman"/>
          <w:color w:val="000000" w:themeColor="text1"/>
          <w:lang w:val="uk-UA"/>
        </w:rPr>
        <w:t xml:space="preserve"> з плазми крові</w:t>
      </w:r>
      <w:r w:rsidRPr="009E2836">
        <w:rPr>
          <w:rFonts w:ascii="Times New Roman" w:hAnsi="Times New Roman" w:cs="Times New Roman"/>
          <w:color w:val="000000" w:themeColor="text1"/>
          <w:lang w:val="uk-UA"/>
        </w:rPr>
        <w:t xml:space="preserve"> (AUC) </w:t>
      </w:r>
      <w:r>
        <w:rPr>
          <w:rFonts w:ascii="Times New Roman" w:hAnsi="Times New Roman" w:cs="Times New Roman"/>
          <w:color w:val="000000" w:themeColor="text1"/>
          <w:lang w:val="uk-UA"/>
        </w:rPr>
        <w:t>була однаковою</w:t>
      </w:r>
      <w:r w:rsidRPr="009E2836">
        <w:rPr>
          <w:rFonts w:ascii="Times New Roman" w:hAnsi="Times New Roman" w:cs="Times New Roman"/>
          <w:color w:val="000000" w:themeColor="text1"/>
          <w:lang w:val="uk-UA"/>
        </w:rPr>
        <w:t xml:space="preserve"> у пацієнтів з помірними </w:t>
      </w:r>
      <w:r>
        <w:rPr>
          <w:rFonts w:ascii="Times New Roman" w:hAnsi="Times New Roman" w:cs="Times New Roman"/>
          <w:color w:val="000000" w:themeColor="text1"/>
          <w:lang w:val="uk-UA"/>
        </w:rPr>
        <w:t>та важкими порушеннями печінки та у пацієнтів з контрольної групи, що мали</w:t>
      </w:r>
      <w:r w:rsidRPr="009E2836">
        <w:rPr>
          <w:rFonts w:ascii="Times New Roman" w:hAnsi="Times New Roman" w:cs="Times New Roman"/>
          <w:color w:val="000000" w:themeColor="text1"/>
          <w:lang w:val="uk-UA"/>
        </w:rPr>
        <w:t xml:space="preserve"> нормальну печінкову функцію. </w:t>
      </w:r>
      <w:r w:rsidR="00F5160A">
        <w:rPr>
          <w:rFonts w:ascii="Times New Roman" w:hAnsi="Times New Roman" w:cs="Times New Roman"/>
          <w:color w:val="000000" w:themeColor="text1"/>
          <w:lang w:val="uk-UA"/>
        </w:rPr>
        <w:t>А</w:t>
      </w:r>
      <w:r>
        <w:rPr>
          <w:rFonts w:ascii="Times New Roman" w:hAnsi="Times New Roman" w:cs="Times New Roman"/>
          <w:color w:val="000000" w:themeColor="text1"/>
          <w:lang w:val="uk-UA"/>
        </w:rPr>
        <w:t>наліз фармакокінетики</w:t>
      </w:r>
      <w:r w:rsidRPr="009E2836">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у ВІЛ</w:t>
      </w:r>
      <w:r w:rsidR="00F5160A">
        <w:rPr>
          <w:rFonts w:ascii="Times New Roman" w:hAnsi="Times New Roman" w:cs="Times New Roman"/>
          <w:color w:val="000000" w:themeColor="text1"/>
          <w:lang w:val="uk-UA"/>
        </w:rPr>
        <w:t>-</w:t>
      </w:r>
      <w:r>
        <w:rPr>
          <w:rFonts w:ascii="Times New Roman" w:hAnsi="Times New Roman" w:cs="Times New Roman"/>
          <w:color w:val="000000" w:themeColor="text1"/>
          <w:lang w:val="uk-UA"/>
        </w:rPr>
        <w:t>інфікованих пацієнтів показав, що ц</w:t>
      </w:r>
      <w:r w:rsidRPr="009E2836">
        <w:rPr>
          <w:rFonts w:ascii="Times New Roman" w:hAnsi="Times New Roman" w:cs="Times New Roman"/>
          <w:color w:val="000000" w:themeColor="text1"/>
          <w:lang w:val="uk-UA"/>
        </w:rPr>
        <w:t>ироз печінки (включаючи декомпенсований цироз печінки) не має клінічно значущого</w:t>
      </w:r>
      <w:r>
        <w:rPr>
          <w:rFonts w:ascii="Times New Roman" w:hAnsi="Times New Roman" w:cs="Times New Roman"/>
          <w:color w:val="000000" w:themeColor="text1"/>
          <w:lang w:val="uk-UA"/>
        </w:rPr>
        <w:t xml:space="preserve"> впливу на дію</w:t>
      </w:r>
      <w:r w:rsidRPr="009E2836">
        <w:rPr>
          <w:rFonts w:ascii="Times New Roman" w:hAnsi="Times New Roman" w:cs="Times New Roman"/>
          <w:color w:val="000000" w:themeColor="text1"/>
          <w:lang w:val="uk-UA"/>
        </w:rPr>
        <w:t xml:space="preserve"> </w:t>
      </w:r>
      <w:r w:rsidRPr="009F1038">
        <w:rPr>
          <w:rFonts w:ascii="Times New Roman" w:hAnsi="Times New Roman" w:cs="Times New Roman"/>
          <w:color w:val="000000" w:themeColor="text1"/>
          <w:lang w:val="uk-UA"/>
        </w:rPr>
        <w:t>велпатасвір</w:t>
      </w:r>
      <w:r>
        <w:rPr>
          <w:rFonts w:ascii="Times New Roman" w:hAnsi="Times New Roman" w:cs="Times New Roman"/>
          <w:color w:val="000000" w:themeColor="text1"/>
          <w:lang w:val="uk-UA"/>
        </w:rPr>
        <w:t>у.</w:t>
      </w:r>
      <w:r w:rsidRPr="009E2836">
        <w:rPr>
          <w:rFonts w:ascii="Times New Roman" w:hAnsi="Times New Roman" w:cs="Times New Roman"/>
          <w:color w:val="000000" w:themeColor="text1"/>
          <w:lang w:val="uk-UA"/>
        </w:rPr>
        <w:t xml:space="preserve"> </w:t>
      </w:r>
    </w:p>
    <w:p w14:paraId="0E012F47" w14:textId="77777777" w:rsidR="001D4CA2" w:rsidRDefault="001D4CA2" w:rsidP="001D4CA2">
      <w:pPr>
        <w:tabs>
          <w:tab w:val="left" w:pos="1089"/>
        </w:tabs>
        <w:ind w:left="360"/>
        <w:jc w:val="both"/>
        <w:rPr>
          <w:rFonts w:ascii="Times New Roman" w:hAnsi="Times New Roman" w:cs="Times New Roman"/>
          <w:color w:val="000000" w:themeColor="text1"/>
          <w:lang w:val="uk-UA"/>
        </w:rPr>
      </w:pPr>
    </w:p>
    <w:p w14:paraId="5E7F69BE" w14:textId="6AACED1E" w:rsidR="001D4CA2" w:rsidRPr="009E2836" w:rsidRDefault="001D4CA2" w:rsidP="001D4CA2">
      <w:pPr>
        <w:tabs>
          <w:tab w:val="left" w:pos="1089"/>
        </w:tabs>
        <w:ind w:left="360"/>
        <w:jc w:val="both"/>
        <w:rPr>
          <w:rFonts w:ascii="Times New Roman" w:hAnsi="Times New Roman" w:cs="Times New Roman"/>
          <w:color w:val="000000" w:themeColor="text1"/>
          <w:lang w:val="uk-UA"/>
        </w:rPr>
      </w:pPr>
      <w:r w:rsidRPr="009E2836">
        <w:rPr>
          <w:rFonts w:ascii="Times New Roman" w:hAnsi="Times New Roman" w:cs="Times New Roman"/>
          <w:color w:val="000000" w:themeColor="text1"/>
          <w:lang w:val="uk-UA"/>
        </w:rPr>
        <w:t xml:space="preserve">Фармакокінетика </w:t>
      </w:r>
      <w:r w:rsidRPr="009F1038">
        <w:rPr>
          <w:rFonts w:ascii="Times New Roman" w:hAnsi="Times New Roman" w:cs="Times New Roman"/>
          <w:color w:val="000000" w:themeColor="text1"/>
          <w:lang w:val="uk-UA"/>
        </w:rPr>
        <w:t>велпатасвір</w:t>
      </w:r>
      <w:r>
        <w:rPr>
          <w:rFonts w:ascii="Times New Roman" w:hAnsi="Times New Roman" w:cs="Times New Roman"/>
          <w:color w:val="000000" w:themeColor="text1"/>
          <w:lang w:val="uk-UA"/>
        </w:rPr>
        <w:t>у вивчалася у хворих ВГС</w:t>
      </w:r>
      <w:r w:rsidR="00FC6D8A">
        <w:rPr>
          <w:rFonts w:ascii="Times New Roman" w:hAnsi="Times New Roman" w:cs="Times New Roman"/>
          <w:color w:val="000000" w:themeColor="text1"/>
          <w:lang w:val="uk-UA"/>
        </w:rPr>
        <w:t>–</w:t>
      </w:r>
      <w:r w:rsidRPr="009E2836">
        <w:rPr>
          <w:rFonts w:ascii="Times New Roman" w:hAnsi="Times New Roman" w:cs="Times New Roman"/>
          <w:color w:val="000000" w:themeColor="text1"/>
          <w:lang w:val="uk-UA"/>
        </w:rPr>
        <w:t>негативних пацієнтів з важкими порушення</w:t>
      </w:r>
      <w:r>
        <w:rPr>
          <w:rFonts w:ascii="Times New Roman" w:hAnsi="Times New Roman" w:cs="Times New Roman"/>
          <w:color w:val="000000" w:themeColor="text1"/>
          <w:lang w:val="uk-UA"/>
        </w:rPr>
        <w:t xml:space="preserve">ми функції </w:t>
      </w:r>
      <w:r w:rsidRPr="00DB67F9">
        <w:rPr>
          <w:rFonts w:ascii="Times New Roman" w:hAnsi="Times New Roman" w:cs="Times New Roman"/>
          <w:color w:val="000000" w:themeColor="text1"/>
          <w:lang w:val="uk-UA"/>
        </w:rPr>
        <w:t>нирок (ШКФ</w:t>
      </w:r>
      <w:r>
        <w:rPr>
          <w:rFonts w:ascii="Times New Roman" w:hAnsi="Times New Roman" w:cs="Times New Roman"/>
          <w:color w:val="000000" w:themeColor="text1"/>
          <w:lang w:val="uk-UA"/>
        </w:rPr>
        <w:t>&lt;30 мл/хв/</w:t>
      </w:r>
      <w:r w:rsidRPr="009E2836">
        <w:rPr>
          <w:rFonts w:ascii="Times New Roman" w:hAnsi="Times New Roman" w:cs="Times New Roman"/>
          <w:color w:val="000000" w:themeColor="text1"/>
          <w:lang w:val="uk-UA"/>
        </w:rPr>
        <w:t>1,73 м</w:t>
      </w:r>
      <w:r w:rsidRPr="00F5160A">
        <w:rPr>
          <w:rFonts w:ascii="Times New Roman" w:hAnsi="Times New Roman" w:cs="Times New Roman"/>
          <w:color w:val="000000" w:themeColor="text1"/>
          <w:vertAlign w:val="superscript"/>
          <w:lang w:val="uk-UA"/>
        </w:rPr>
        <w:t>2</w:t>
      </w:r>
      <w:r w:rsidRPr="009E2836">
        <w:rPr>
          <w:rFonts w:ascii="Times New Roman" w:hAnsi="Times New Roman" w:cs="Times New Roman"/>
          <w:color w:val="000000" w:themeColor="text1"/>
          <w:lang w:val="uk-UA"/>
        </w:rPr>
        <w:t xml:space="preserve">). Відносно осіб з нормальною функцією нирок, </w:t>
      </w:r>
      <w:r w:rsidRPr="00DB67F9">
        <w:rPr>
          <w:rFonts w:ascii="Times New Roman" w:hAnsi="Times New Roman" w:cs="Times New Roman"/>
          <w:color w:val="000000" w:themeColor="text1"/>
          <w:lang w:val="uk-UA"/>
        </w:rPr>
        <w:t>AUC велпатасвіру</w:t>
      </w:r>
      <w:r w:rsidRPr="009E2836">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була</w:t>
      </w:r>
      <w:r w:rsidRPr="009E2836">
        <w:rPr>
          <w:rFonts w:ascii="Times New Roman" w:hAnsi="Times New Roman" w:cs="Times New Roman"/>
          <w:color w:val="000000" w:themeColor="text1"/>
          <w:lang w:val="uk-UA"/>
        </w:rPr>
        <w:t xml:space="preserve"> на 50% вище, щ</w:t>
      </w:r>
      <w:r>
        <w:rPr>
          <w:rFonts w:ascii="Times New Roman" w:hAnsi="Times New Roman" w:cs="Times New Roman"/>
          <w:color w:val="000000" w:themeColor="text1"/>
          <w:lang w:val="uk-UA"/>
        </w:rPr>
        <w:t>о не вважалося клінічно значущим</w:t>
      </w:r>
      <w:r w:rsidRPr="009E2836">
        <w:rPr>
          <w:rFonts w:ascii="Times New Roman" w:hAnsi="Times New Roman" w:cs="Times New Roman"/>
          <w:color w:val="000000" w:themeColor="text1"/>
          <w:lang w:val="uk-UA"/>
        </w:rPr>
        <w:t>.</w:t>
      </w:r>
    </w:p>
    <w:p w14:paraId="59088BA4" w14:textId="77777777" w:rsidR="001D4CA2" w:rsidRDefault="001D4CA2" w:rsidP="001D4CA2">
      <w:pPr>
        <w:tabs>
          <w:tab w:val="left" w:pos="1089"/>
        </w:tabs>
        <w:ind w:left="360"/>
        <w:jc w:val="both"/>
        <w:rPr>
          <w:rFonts w:ascii="Times New Roman" w:hAnsi="Times New Roman" w:cs="Times New Roman"/>
          <w:color w:val="000000" w:themeColor="text1"/>
          <w:lang w:val="uk-UA"/>
        </w:rPr>
      </w:pPr>
    </w:p>
    <w:p w14:paraId="37E208D1" w14:textId="07118778" w:rsidR="001D4CA2" w:rsidRPr="009E2836" w:rsidRDefault="001D4CA2" w:rsidP="001D4CA2">
      <w:pPr>
        <w:tabs>
          <w:tab w:val="left" w:pos="1089"/>
        </w:tabs>
        <w:ind w:left="360"/>
        <w:jc w:val="both"/>
        <w:rPr>
          <w:rFonts w:ascii="Times New Roman" w:hAnsi="Times New Roman" w:cs="Times New Roman"/>
          <w:color w:val="000000" w:themeColor="text1"/>
          <w:lang w:val="uk-UA"/>
        </w:rPr>
      </w:pPr>
      <w:r w:rsidRPr="009E2836">
        <w:rPr>
          <w:rFonts w:ascii="Times New Roman" w:hAnsi="Times New Roman" w:cs="Times New Roman"/>
          <w:color w:val="000000" w:themeColor="text1"/>
          <w:lang w:val="uk-UA"/>
        </w:rPr>
        <w:t xml:space="preserve">Оцінка безпеки софосбувіру та </w:t>
      </w:r>
      <w:r w:rsidRPr="009F1038">
        <w:rPr>
          <w:rFonts w:ascii="Times New Roman" w:hAnsi="Times New Roman" w:cs="Times New Roman"/>
          <w:color w:val="000000" w:themeColor="text1"/>
          <w:lang w:val="uk-UA"/>
        </w:rPr>
        <w:t>велпатасвір</w:t>
      </w:r>
      <w:r>
        <w:rPr>
          <w:rFonts w:ascii="Times New Roman" w:hAnsi="Times New Roman" w:cs="Times New Roman"/>
          <w:color w:val="000000" w:themeColor="text1"/>
          <w:lang w:val="uk-UA"/>
        </w:rPr>
        <w:t>у</w:t>
      </w:r>
      <w:r w:rsidRPr="009E2836">
        <w:rPr>
          <w:rFonts w:ascii="Times New Roman" w:hAnsi="Times New Roman" w:cs="Times New Roman"/>
          <w:color w:val="000000" w:themeColor="text1"/>
          <w:lang w:val="uk-UA"/>
        </w:rPr>
        <w:t xml:space="preserve"> була заснована на </w:t>
      </w:r>
      <w:r>
        <w:rPr>
          <w:rFonts w:ascii="Times New Roman" w:hAnsi="Times New Roman" w:cs="Times New Roman"/>
          <w:color w:val="000000" w:themeColor="text1"/>
          <w:lang w:val="uk-UA"/>
        </w:rPr>
        <w:t xml:space="preserve">кінцевих </w:t>
      </w:r>
      <w:r w:rsidRPr="009E2836">
        <w:rPr>
          <w:rFonts w:ascii="Times New Roman" w:hAnsi="Times New Roman" w:cs="Times New Roman"/>
          <w:color w:val="000000" w:themeColor="text1"/>
          <w:lang w:val="uk-UA"/>
        </w:rPr>
        <w:t xml:space="preserve">даних </w:t>
      </w:r>
      <w:r>
        <w:rPr>
          <w:rFonts w:ascii="Times New Roman" w:hAnsi="Times New Roman" w:cs="Times New Roman"/>
          <w:color w:val="000000" w:themeColor="text1"/>
          <w:lang w:val="uk-UA"/>
        </w:rPr>
        <w:t>дослідження фази III. Головний</w:t>
      </w:r>
      <w:r w:rsidRPr="009E2836">
        <w:rPr>
          <w:rFonts w:ascii="Times New Roman" w:hAnsi="Times New Roman" w:cs="Times New Roman"/>
          <w:color w:val="000000" w:themeColor="text1"/>
          <w:lang w:val="uk-UA"/>
        </w:rPr>
        <w:t xml:space="preserve"> біль, втома та нудота б</w:t>
      </w:r>
      <w:r>
        <w:rPr>
          <w:rFonts w:ascii="Times New Roman" w:hAnsi="Times New Roman" w:cs="Times New Roman"/>
          <w:color w:val="000000" w:themeColor="text1"/>
          <w:lang w:val="uk-UA"/>
        </w:rPr>
        <w:t>ули найбільш частими побічними реакціями, але траплялися з такою ж</w:t>
      </w:r>
      <w:r w:rsidRPr="009E2836">
        <w:rPr>
          <w:rFonts w:ascii="Times New Roman" w:hAnsi="Times New Roman" w:cs="Times New Roman"/>
          <w:color w:val="000000" w:themeColor="text1"/>
          <w:lang w:val="uk-UA"/>
        </w:rPr>
        <w:t xml:space="preserve"> частотою</w:t>
      </w:r>
      <w:r>
        <w:rPr>
          <w:rFonts w:ascii="Times New Roman" w:hAnsi="Times New Roman" w:cs="Times New Roman"/>
          <w:color w:val="000000" w:themeColor="text1"/>
          <w:lang w:val="uk-UA"/>
        </w:rPr>
        <w:t>, що і у</w:t>
      </w:r>
      <w:r w:rsidRPr="009E2836">
        <w:rPr>
          <w:rFonts w:ascii="Times New Roman" w:hAnsi="Times New Roman" w:cs="Times New Roman"/>
          <w:color w:val="000000" w:themeColor="text1"/>
          <w:lang w:val="uk-UA"/>
        </w:rPr>
        <w:t xml:space="preserve"> пацієнтів із </w:t>
      </w:r>
      <w:r>
        <w:rPr>
          <w:rFonts w:ascii="Times New Roman" w:hAnsi="Times New Roman" w:cs="Times New Roman"/>
          <w:color w:val="000000" w:themeColor="text1"/>
          <w:lang w:val="uk-UA"/>
        </w:rPr>
        <w:t xml:space="preserve">групи </w:t>
      </w:r>
      <w:r w:rsidRPr="009E2836">
        <w:rPr>
          <w:rFonts w:ascii="Times New Roman" w:hAnsi="Times New Roman" w:cs="Times New Roman"/>
          <w:color w:val="000000" w:themeColor="text1"/>
          <w:lang w:val="uk-UA"/>
        </w:rPr>
        <w:t>плацебо.</w:t>
      </w:r>
    </w:p>
    <w:p w14:paraId="75790587" w14:textId="77777777" w:rsidR="001D4CA2" w:rsidRDefault="001D4CA2" w:rsidP="001D4CA2">
      <w:pPr>
        <w:tabs>
          <w:tab w:val="left" w:pos="1089"/>
        </w:tabs>
        <w:ind w:left="360"/>
        <w:jc w:val="both"/>
        <w:rPr>
          <w:rFonts w:ascii="Times New Roman" w:hAnsi="Times New Roman" w:cs="Times New Roman"/>
          <w:color w:val="000000" w:themeColor="text1"/>
          <w:lang w:val="uk-UA"/>
        </w:rPr>
      </w:pPr>
    </w:p>
    <w:p w14:paraId="3ED5F073" w14:textId="2AB70917" w:rsidR="001D4CA2" w:rsidRPr="009E2836" w:rsidRDefault="001D4CA2" w:rsidP="001D4CA2">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З огляду на фармакокінетичний профіль</w:t>
      </w:r>
      <w:r w:rsidRPr="009E2836">
        <w:rPr>
          <w:rFonts w:ascii="Times New Roman" w:hAnsi="Times New Roman" w:cs="Times New Roman"/>
          <w:color w:val="000000" w:themeColor="text1"/>
          <w:lang w:val="uk-UA"/>
        </w:rPr>
        <w:t xml:space="preserve"> </w:t>
      </w:r>
      <w:r w:rsidRPr="009F1038">
        <w:rPr>
          <w:rFonts w:ascii="Times New Roman" w:hAnsi="Times New Roman" w:cs="Times New Roman"/>
          <w:color w:val="000000" w:themeColor="text1"/>
          <w:lang w:val="uk-UA"/>
        </w:rPr>
        <w:t>велпатасвір</w:t>
      </w:r>
      <w:r>
        <w:rPr>
          <w:rFonts w:ascii="Times New Roman" w:hAnsi="Times New Roman" w:cs="Times New Roman"/>
          <w:color w:val="000000" w:themeColor="text1"/>
          <w:lang w:val="uk-UA"/>
        </w:rPr>
        <w:t>у</w:t>
      </w:r>
      <w:r w:rsidRPr="009E2836">
        <w:rPr>
          <w:rFonts w:ascii="Times New Roman" w:hAnsi="Times New Roman" w:cs="Times New Roman"/>
          <w:color w:val="000000" w:themeColor="text1"/>
          <w:lang w:val="uk-UA"/>
        </w:rPr>
        <w:t>, існують де</w:t>
      </w:r>
      <w:r>
        <w:rPr>
          <w:rFonts w:ascii="Times New Roman" w:hAnsi="Times New Roman" w:cs="Times New Roman"/>
          <w:color w:val="000000" w:themeColor="text1"/>
          <w:lang w:val="uk-UA"/>
        </w:rPr>
        <w:t xml:space="preserve">які протипоказання щодо </w:t>
      </w:r>
      <w:r w:rsidR="00F5160A">
        <w:rPr>
          <w:rFonts w:ascii="Times New Roman" w:hAnsi="Times New Roman" w:cs="Times New Roman"/>
          <w:color w:val="000000" w:themeColor="text1"/>
          <w:lang w:val="uk-UA"/>
        </w:rPr>
        <w:t>одночасного прийому</w:t>
      </w:r>
      <w:r w:rsidRPr="009E2836">
        <w:rPr>
          <w:rFonts w:ascii="Times New Roman" w:hAnsi="Times New Roman" w:cs="Times New Roman"/>
          <w:color w:val="000000" w:themeColor="text1"/>
          <w:lang w:val="uk-UA"/>
        </w:rPr>
        <w:t xml:space="preserve"> препарат</w:t>
      </w:r>
      <w:r>
        <w:rPr>
          <w:rFonts w:ascii="Times New Roman" w:hAnsi="Times New Roman" w:cs="Times New Roman"/>
          <w:color w:val="000000" w:themeColor="text1"/>
          <w:lang w:val="uk-UA"/>
        </w:rPr>
        <w:t xml:space="preserve">ів. Протипоказані </w:t>
      </w:r>
      <w:r w:rsidRPr="009E2836">
        <w:rPr>
          <w:rFonts w:ascii="Times New Roman" w:hAnsi="Times New Roman" w:cs="Times New Roman"/>
          <w:color w:val="000000" w:themeColor="text1"/>
          <w:lang w:val="uk-UA"/>
        </w:rPr>
        <w:t xml:space="preserve">препарати, які є сильними </w:t>
      </w:r>
      <w:r w:rsidR="004D2A4F">
        <w:rPr>
          <w:rFonts w:ascii="Times New Roman" w:hAnsi="Times New Roman" w:cs="Times New Roman"/>
          <w:color w:val="000000" w:themeColor="text1"/>
          <w:lang w:val="uk-UA"/>
        </w:rPr>
        <w:t xml:space="preserve">P-gp </w:t>
      </w:r>
      <w:r w:rsidRPr="009E2836">
        <w:rPr>
          <w:rFonts w:ascii="Times New Roman" w:hAnsi="Times New Roman" w:cs="Times New Roman"/>
          <w:color w:val="000000" w:themeColor="text1"/>
          <w:lang w:val="uk-UA"/>
        </w:rPr>
        <w:t xml:space="preserve">або </w:t>
      </w:r>
      <w:r w:rsidRPr="009E2836">
        <w:rPr>
          <w:rFonts w:ascii="Times New Roman" w:hAnsi="Times New Roman" w:cs="Times New Roman"/>
          <w:color w:val="000000" w:themeColor="text1"/>
          <w:lang w:val="uk-UA"/>
        </w:rPr>
        <w:lastRenderedPageBreak/>
        <w:t>сильними індукторами CYP (наприклад, рифампіцин, рифабутин, карбамазепін, фенобарбітал, фенітоїн, звіробій) через змен</w:t>
      </w:r>
      <w:r>
        <w:rPr>
          <w:rFonts w:ascii="Times New Roman" w:hAnsi="Times New Roman" w:cs="Times New Roman"/>
          <w:color w:val="000000" w:themeColor="text1"/>
          <w:lang w:val="uk-UA"/>
        </w:rPr>
        <w:t>шення експозиції софосбувіру та/</w:t>
      </w:r>
      <w:r w:rsidRPr="009E2836">
        <w:rPr>
          <w:rFonts w:ascii="Times New Roman" w:hAnsi="Times New Roman" w:cs="Times New Roman"/>
          <w:color w:val="000000" w:themeColor="text1"/>
          <w:lang w:val="uk-UA"/>
        </w:rPr>
        <w:t xml:space="preserve">або </w:t>
      </w:r>
      <w:r w:rsidRPr="009F1038">
        <w:rPr>
          <w:rFonts w:ascii="Times New Roman" w:hAnsi="Times New Roman" w:cs="Times New Roman"/>
          <w:color w:val="000000" w:themeColor="text1"/>
          <w:lang w:val="uk-UA"/>
        </w:rPr>
        <w:t>велпатасвір</w:t>
      </w:r>
      <w:r>
        <w:rPr>
          <w:rFonts w:ascii="Times New Roman" w:hAnsi="Times New Roman" w:cs="Times New Roman"/>
          <w:color w:val="000000" w:themeColor="text1"/>
          <w:lang w:val="uk-UA"/>
        </w:rPr>
        <w:t>у</w:t>
      </w:r>
      <w:r w:rsidRPr="009E2836">
        <w:rPr>
          <w:rFonts w:ascii="Times New Roman" w:hAnsi="Times New Roman" w:cs="Times New Roman"/>
          <w:color w:val="000000" w:themeColor="text1"/>
          <w:lang w:val="uk-UA"/>
        </w:rPr>
        <w:t xml:space="preserve"> з потенційною втратою ефективності. Однак існують також препарати, які є помірними інгібіторами </w:t>
      </w:r>
      <w:r w:rsidR="004D2A4F">
        <w:rPr>
          <w:rFonts w:ascii="Times New Roman" w:hAnsi="Times New Roman" w:cs="Times New Roman"/>
          <w:color w:val="000000" w:themeColor="text1"/>
          <w:lang w:val="uk-UA"/>
        </w:rPr>
        <w:t xml:space="preserve">P-gp </w:t>
      </w:r>
      <w:r w:rsidRPr="009E2836">
        <w:rPr>
          <w:rFonts w:ascii="Times New Roman" w:hAnsi="Times New Roman" w:cs="Times New Roman"/>
          <w:color w:val="000000" w:themeColor="text1"/>
          <w:lang w:val="uk-UA"/>
        </w:rPr>
        <w:t xml:space="preserve">або CYP (такі як модафініл), які можуть зменшувати вплив </w:t>
      </w:r>
      <w:r w:rsidRPr="009F1038">
        <w:rPr>
          <w:rFonts w:ascii="Times New Roman" w:hAnsi="Times New Roman" w:cs="Times New Roman"/>
          <w:color w:val="000000" w:themeColor="text1"/>
          <w:lang w:val="uk-UA"/>
        </w:rPr>
        <w:t>велпатасвір</w:t>
      </w:r>
      <w:r>
        <w:rPr>
          <w:rFonts w:ascii="Times New Roman" w:hAnsi="Times New Roman" w:cs="Times New Roman"/>
          <w:color w:val="000000" w:themeColor="text1"/>
          <w:lang w:val="uk-UA"/>
        </w:rPr>
        <w:t>у. На</w:t>
      </w:r>
      <w:r w:rsidRPr="009E2836">
        <w:rPr>
          <w:rFonts w:ascii="Times New Roman" w:hAnsi="Times New Roman" w:cs="Times New Roman"/>
          <w:color w:val="000000" w:themeColor="text1"/>
          <w:lang w:val="uk-UA"/>
        </w:rPr>
        <w:t xml:space="preserve"> даний час</w:t>
      </w:r>
      <w:r>
        <w:rPr>
          <w:rFonts w:ascii="Times New Roman" w:hAnsi="Times New Roman" w:cs="Times New Roman"/>
          <w:color w:val="000000" w:themeColor="text1"/>
          <w:lang w:val="uk-UA"/>
        </w:rPr>
        <w:t xml:space="preserve">, ця комбінація не </w:t>
      </w:r>
      <w:r w:rsidRPr="009E2836">
        <w:rPr>
          <w:rFonts w:ascii="Times New Roman" w:hAnsi="Times New Roman" w:cs="Times New Roman"/>
          <w:color w:val="000000" w:themeColor="text1"/>
          <w:lang w:val="uk-UA"/>
        </w:rPr>
        <w:t xml:space="preserve">рекомендована </w:t>
      </w:r>
      <w:r>
        <w:rPr>
          <w:rFonts w:ascii="Times New Roman" w:hAnsi="Times New Roman" w:cs="Times New Roman"/>
          <w:color w:val="000000" w:themeColor="text1"/>
          <w:lang w:val="uk-UA"/>
        </w:rPr>
        <w:t xml:space="preserve">для застосування </w:t>
      </w:r>
      <w:r w:rsidR="009D55C0">
        <w:rPr>
          <w:rFonts w:ascii="Times New Roman" w:hAnsi="Times New Roman" w:cs="Times New Roman"/>
          <w:color w:val="000000" w:themeColor="text1"/>
          <w:lang w:val="uk-UA"/>
        </w:rPr>
        <w:t>з</w:t>
      </w:r>
      <w:r>
        <w:rPr>
          <w:rFonts w:ascii="Times New Roman" w:hAnsi="Times New Roman" w:cs="Times New Roman"/>
          <w:color w:val="000000" w:themeColor="text1"/>
          <w:lang w:val="uk-UA"/>
        </w:rPr>
        <w:t xml:space="preserve"> такими препаратами</w:t>
      </w:r>
      <w:r w:rsidRPr="009E2836">
        <w:rPr>
          <w:rFonts w:ascii="Times New Roman" w:hAnsi="Times New Roman" w:cs="Times New Roman"/>
          <w:color w:val="000000" w:themeColor="text1"/>
          <w:lang w:val="uk-UA"/>
        </w:rPr>
        <w:t>.</w:t>
      </w:r>
    </w:p>
    <w:p w14:paraId="30762E8A" w14:textId="77777777" w:rsidR="001D4CA2" w:rsidRDefault="001D4CA2" w:rsidP="001D4CA2">
      <w:pPr>
        <w:tabs>
          <w:tab w:val="left" w:pos="1089"/>
        </w:tabs>
        <w:ind w:left="360"/>
        <w:jc w:val="both"/>
        <w:rPr>
          <w:rFonts w:ascii="Times New Roman" w:hAnsi="Times New Roman" w:cs="Times New Roman"/>
          <w:color w:val="000000" w:themeColor="text1"/>
          <w:lang w:val="uk-UA"/>
        </w:rPr>
      </w:pPr>
    </w:p>
    <w:p w14:paraId="40E437E7" w14:textId="0C1B6DE4" w:rsidR="001D4CA2" w:rsidRDefault="001D4CA2" w:rsidP="001D4CA2">
      <w:pPr>
        <w:tabs>
          <w:tab w:val="left" w:pos="1089"/>
        </w:tabs>
        <w:ind w:left="360"/>
        <w:jc w:val="both"/>
        <w:rPr>
          <w:rFonts w:ascii="Times New Roman" w:hAnsi="Times New Roman" w:cs="Times New Roman"/>
          <w:color w:val="000000" w:themeColor="text1"/>
          <w:lang w:val="uk-UA"/>
        </w:rPr>
      </w:pPr>
      <w:r w:rsidRPr="009E2836">
        <w:rPr>
          <w:rFonts w:ascii="Times New Roman" w:hAnsi="Times New Roman" w:cs="Times New Roman"/>
          <w:color w:val="000000" w:themeColor="text1"/>
          <w:lang w:val="uk-UA"/>
        </w:rPr>
        <w:t xml:space="preserve">Як і </w:t>
      </w:r>
      <w:r>
        <w:rPr>
          <w:rFonts w:ascii="Times New Roman" w:hAnsi="Times New Roman" w:cs="Times New Roman"/>
          <w:color w:val="000000" w:themeColor="text1"/>
          <w:lang w:val="uk-UA"/>
        </w:rPr>
        <w:t>з ле</w:t>
      </w:r>
      <w:r w:rsidRPr="009E2836">
        <w:rPr>
          <w:rFonts w:ascii="Times New Roman" w:hAnsi="Times New Roman" w:cs="Times New Roman"/>
          <w:color w:val="000000" w:themeColor="text1"/>
          <w:lang w:val="uk-UA"/>
        </w:rPr>
        <w:t>діпасвір</w:t>
      </w:r>
      <w:r>
        <w:rPr>
          <w:rFonts w:ascii="Times New Roman" w:hAnsi="Times New Roman" w:cs="Times New Roman"/>
          <w:color w:val="000000" w:themeColor="text1"/>
          <w:lang w:val="uk-UA"/>
        </w:rPr>
        <w:t xml:space="preserve">ом, існує деяке </w:t>
      </w:r>
      <w:r w:rsidRPr="009E2836">
        <w:rPr>
          <w:rFonts w:ascii="Times New Roman" w:hAnsi="Times New Roman" w:cs="Times New Roman"/>
          <w:color w:val="000000" w:themeColor="text1"/>
          <w:lang w:val="uk-UA"/>
        </w:rPr>
        <w:t>занеп</w:t>
      </w:r>
      <w:r>
        <w:rPr>
          <w:rFonts w:ascii="Times New Roman" w:hAnsi="Times New Roman" w:cs="Times New Roman"/>
          <w:color w:val="000000" w:themeColor="text1"/>
          <w:lang w:val="uk-UA"/>
        </w:rPr>
        <w:t xml:space="preserve">окоєння щодо пригнічення </w:t>
      </w:r>
      <w:r w:rsidR="004D2A4F">
        <w:rPr>
          <w:rFonts w:ascii="Times New Roman" w:hAnsi="Times New Roman" w:cs="Times New Roman"/>
          <w:color w:val="000000" w:themeColor="text1"/>
          <w:lang w:val="uk-UA"/>
        </w:rPr>
        <w:t xml:space="preserve">P-gp </w:t>
      </w:r>
      <w:r>
        <w:rPr>
          <w:rFonts w:ascii="Times New Roman" w:hAnsi="Times New Roman" w:cs="Times New Roman"/>
          <w:color w:val="000000" w:themeColor="text1"/>
          <w:lang w:val="uk-UA"/>
        </w:rPr>
        <w:t>та/або BCRP</w:t>
      </w:r>
      <w:r w:rsidRPr="009E2836">
        <w:rPr>
          <w:rFonts w:ascii="Times New Roman" w:hAnsi="Times New Roman" w:cs="Times New Roman"/>
          <w:color w:val="000000" w:themeColor="text1"/>
          <w:lang w:val="uk-UA"/>
        </w:rPr>
        <w:t xml:space="preserve"> </w:t>
      </w:r>
      <w:r w:rsidRPr="009F1038">
        <w:rPr>
          <w:rFonts w:ascii="Times New Roman" w:hAnsi="Times New Roman" w:cs="Times New Roman"/>
          <w:color w:val="000000" w:themeColor="text1"/>
          <w:lang w:val="uk-UA"/>
        </w:rPr>
        <w:t>велпатасвір</w:t>
      </w:r>
      <w:r>
        <w:rPr>
          <w:rFonts w:ascii="Times New Roman" w:hAnsi="Times New Roman" w:cs="Times New Roman"/>
          <w:color w:val="000000" w:themeColor="text1"/>
          <w:lang w:val="uk-UA"/>
        </w:rPr>
        <w:t>ом</w:t>
      </w:r>
      <w:r w:rsidRPr="009E2836">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через</w:t>
      </w:r>
      <w:r w:rsidRPr="009E2836">
        <w:rPr>
          <w:rFonts w:ascii="Times New Roman" w:hAnsi="Times New Roman" w:cs="Times New Roman"/>
          <w:color w:val="000000" w:themeColor="text1"/>
          <w:lang w:val="uk-UA"/>
        </w:rPr>
        <w:t xml:space="preserve"> щ</w:t>
      </w:r>
      <w:r>
        <w:rPr>
          <w:rFonts w:ascii="Times New Roman" w:hAnsi="Times New Roman" w:cs="Times New Roman"/>
          <w:color w:val="000000" w:themeColor="text1"/>
          <w:lang w:val="uk-UA"/>
        </w:rPr>
        <w:t xml:space="preserve">о відбувається </w:t>
      </w:r>
      <w:r w:rsidRPr="009E2836">
        <w:rPr>
          <w:rFonts w:ascii="Times New Roman" w:hAnsi="Times New Roman" w:cs="Times New Roman"/>
          <w:color w:val="000000" w:themeColor="text1"/>
          <w:lang w:val="uk-UA"/>
        </w:rPr>
        <w:t xml:space="preserve">збільшення експозиції препарату, що є субстратом для цих транспортерів. </w:t>
      </w:r>
      <w:r>
        <w:rPr>
          <w:rFonts w:ascii="Times New Roman" w:hAnsi="Times New Roman" w:cs="Times New Roman"/>
          <w:color w:val="000000" w:themeColor="text1"/>
          <w:lang w:val="uk-UA"/>
        </w:rPr>
        <w:t>К</w:t>
      </w:r>
      <w:r w:rsidRPr="009E2836">
        <w:rPr>
          <w:rFonts w:ascii="Times New Roman" w:hAnsi="Times New Roman" w:cs="Times New Roman"/>
          <w:color w:val="000000" w:themeColor="text1"/>
          <w:lang w:val="uk-UA"/>
        </w:rPr>
        <w:t xml:space="preserve">омбінацію софосбувіру і </w:t>
      </w:r>
      <w:r w:rsidRPr="009F1038">
        <w:rPr>
          <w:rFonts w:ascii="Times New Roman" w:hAnsi="Times New Roman" w:cs="Times New Roman"/>
          <w:color w:val="000000" w:themeColor="text1"/>
          <w:lang w:val="uk-UA"/>
        </w:rPr>
        <w:t>велпатасвір</w:t>
      </w:r>
      <w:r>
        <w:rPr>
          <w:rFonts w:ascii="Times New Roman" w:hAnsi="Times New Roman" w:cs="Times New Roman"/>
          <w:color w:val="000000" w:themeColor="text1"/>
          <w:lang w:val="uk-UA"/>
        </w:rPr>
        <w:t>у</w:t>
      </w:r>
      <w:r w:rsidRPr="009E2836">
        <w:rPr>
          <w:rFonts w:ascii="Times New Roman" w:hAnsi="Times New Roman" w:cs="Times New Roman"/>
          <w:color w:val="000000" w:themeColor="text1"/>
          <w:lang w:val="uk-UA"/>
        </w:rPr>
        <w:t xml:space="preserve"> можна застосовувати спільно з субстратами P</w:t>
      </w:r>
      <w:r w:rsidR="00FC6D8A">
        <w:rPr>
          <w:rFonts w:ascii="Times New Roman" w:hAnsi="Times New Roman" w:cs="Times New Roman"/>
          <w:color w:val="000000" w:themeColor="text1"/>
          <w:lang w:val="uk-UA"/>
        </w:rPr>
        <w:t>–</w:t>
      </w:r>
      <w:r w:rsidRPr="009E2836">
        <w:rPr>
          <w:rFonts w:ascii="Times New Roman" w:hAnsi="Times New Roman" w:cs="Times New Roman"/>
          <w:color w:val="000000" w:themeColor="text1"/>
          <w:lang w:val="uk-UA"/>
        </w:rPr>
        <w:t>gp, BCRP, OATP та CYP, проте, слід проявляти певну обере</w:t>
      </w:r>
      <w:r>
        <w:rPr>
          <w:rFonts w:ascii="Times New Roman" w:hAnsi="Times New Roman" w:cs="Times New Roman"/>
          <w:color w:val="000000" w:themeColor="text1"/>
          <w:lang w:val="uk-UA"/>
        </w:rPr>
        <w:t>жність при застосуванні супутніх</w:t>
      </w:r>
      <w:r w:rsidRPr="009E2836">
        <w:rPr>
          <w:rFonts w:ascii="Times New Roman" w:hAnsi="Times New Roman" w:cs="Times New Roman"/>
          <w:color w:val="000000" w:themeColor="text1"/>
          <w:lang w:val="uk-UA"/>
        </w:rPr>
        <w:t xml:space="preserve"> ліків, які маю</w:t>
      </w:r>
      <w:r>
        <w:rPr>
          <w:rFonts w:ascii="Times New Roman" w:hAnsi="Times New Roman" w:cs="Times New Roman"/>
          <w:color w:val="000000" w:themeColor="text1"/>
          <w:lang w:val="uk-UA"/>
        </w:rPr>
        <w:t xml:space="preserve">ть вузьке терапевтичне вікно </w:t>
      </w:r>
      <w:r w:rsidRPr="009E2836">
        <w:rPr>
          <w:rFonts w:ascii="Times New Roman" w:hAnsi="Times New Roman" w:cs="Times New Roman"/>
          <w:color w:val="000000" w:themeColor="text1"/>
          <w:lang w:val="uk-UA"/>
        </w:rPr>
        <w:t xml:space="preserve">в якому збільшення експозиції препаратів може мати клінічні наслідки. </w:t>
      </w:r>
    </w:p>
    <w:p w14:paraId="0E41759C" w14:textId="77777777" w:rsidR="001D4CA2" w:rsidRDefault="001D4CA2" w:rsidP="001D4CA2">
      <w:pPr>
        <w:tabs>
          <w:tab w:val="left" w:pos="1089"/>
        </w:tabs>
        <w:ind w:left="360"/>
        <w:rPr>
          <w:rFonts w:ascii="Times New Roman" w:hAnsi="Times New Roman" w:cs="Times New Roman"/>
          <w:color w:val="000000" w:themeColor="text1"/>
          <w:lang w:val="uk-UA"/>
        </w:rPr>
      </w:pPr>
    </w:p>
    <w:p w14:paraId="0049893D" w14:textId="17AFB346" w:rsidR="001D4CA2" w:rsidRPr="009E2836" w:rsidRDefault="001D4CA2" w:rsidP="001D4CA2">
      <w:pPr>
        <w:tabs>
          <w:tab w:val="left" w:pos="1089"/>
        </w:tabs>
        <w:ind w:left="360"/>
        <w:jc w:val="both"/>
        <w:rPr>
          <w:rFonts w:ascii="Times New Roman" w:hAnsi="Times New Roman" w:cs="Times New Roman"/>
          <w:color w:val="000000" w:themeColor="text1"/>
          <w:lang w:val="uk-UA"/>
        </w:rPr>
      </w:pPr>
      <w:r w:rsidRPr="00DB67F9">
        <w:rPr>
          <w:rFonts w:ascii="Times New Roman" w:hAnsi="Times New Roman" w:cs="Times New Roman"/>
          <w:color w:val="000000" w:themeColor="text1"/>
          <w:lang w:val="uk-UA"/>
        </w:rPr>
        <w:t>Кольоров</w:t>
      </w:r>
      <w:r w:rsidR="00E65ABB">
        <w:rPr>
          <w:rFonts w:ascii="Times New Roman" w:hAnsi="Times New Roman" w:cs="Times New Roman"/>
          <w:color w:val="000000" w:themeColor="text1"/>
          <w:lang w:val="uk-UA"/>
        </w:rPr>
        <w:t>е</w:t>
      </w:r>
      <w:r w:rsidRPr="00DB67F9">
        <w:rPr>
          <w:rFonts w:ascii="Times New Roman" w:hAnsi="Times New Roman" w:cs="Times New Roman"/>
          <w:color w:val="000000" w:themeColor="text1"/>
          <w:lang w:val="uk-UA"/>
        </w:rPr>
        <w:t xml:space="preserve"> кодування</w:t>
      </w:r>
      <w:r>
        <w:rPr>
          <w:rFonts w:ascii="Times New Roman" w:hAnsi="Times New Roman" w:cs="Times New Roman"/>
          <w:color w:val="000000" w:themeColor="text1"/>
          <w:lang w:val="uk-UA"/>
        </w:rPr>
        <w:t xml:space="preserve"> для софосбувіру/</w:t>
      </w:r>
      <w:r w:rsidRPr="009F1038">
        <w:rPr>
          <w:rFonts w:ascii="Times New Roman" w:hAnsi="Times New Roman" w:cs="Times New Roman"/>
          <w:color w:val="000000" w:themeColor="text1"/>
          <w:lang w:val="uk-UA"/>
        </w:rPr>
        <w:t>велпатасвір</w:t>
      </w:r>
      <w:r w:rsidRPr="009E2836">
        <w:rPr>
          <w:rFonts w:ascii="Times New Roman" w:hAnsi="Times New Roman" w:cs="Times New Roman"/>
          <w:color w:val="000000" w:themeColor="text1"/>
          <w:lang w:val="uk-UA"/>
        </w:rPr>
        <w:t xml:space="preserve"> в табл. 4А</w:t>
      </w:r>
      <w:r w:rsidR="00FC6D8A">
        <w:rPr>
          <w:rFonts w:ascii="Times New Roman" w:hAnsi="Times New Roman" w:cs="Times New Roman"/>
          <w:color w:val="000000" w:themeColor="text1"/>
          <w:lang w:val="uk-UA"/>
        </w:rPr>
        <w:t>–</w:t>
      </w:r>
      <w:r w:rsidRPr="009E2836">
        <w:rPr>
          <w:rFonts w:ascii="Times New Roman" w:hAnsi="Times New Roman" w:cs="Times New Roman"/>
          <w:color w:val="000000" w:themeColor="text1"/>
          <w:lang w:val="uk-UA"/>
        </w:rPr>
        <w:t>G відображає це (наприклад, для дигоксину, дабігатрану, тикагрелору, карведилолу, а</w:t>
      </w:r>
      <w:r>
        <w:rPr>
          <w:rFonts w:ascii="Times New Roman" w:hAnsi="Times New Roman" w:cs="Times New Roman"/>
          <w:color w:val="000000" w:themeColor="text1"/>
          <w:lang w:val="uk-UA"/>
        </w:rPr>
        <w:t>млодипіну, дилтиазему, аліскирену</w:t>
      </w:r>
      <w:r w:rsidRPr="009E2836">
        <w:rPr>
          <w:rFonts w:ascii="Times New Roman" w:hAnsi="Times New Roman" w:cs="Times New Roman"/>
          <w:color w:val="000000" w:themeColor="text1"/>
          <w:lang w:val="uk-UA"/>
        </w:rPr>
        <w:t>).</w:t>
      </w:r>
    </w:p>
    <w:p w14:paraId="2022990B" w14:textId="77777777" w:rsidR="001D4CA2" w:rsidRDefault="001D4CA2" w:rsidP="001D4CA2">
      <w:pPr>
        <w:tabs>
          <w:tab w:val="left" w:pos="1089"/>
        </w:tabs>
        <w:ind w:left="360"/>
        <w:jc w:val="both"/>
        <w:rPr>
          <w:rFonts w:ascii="Times New Roman" w:hAnsi="Times New Roman" w:cs="Times New Roman"/>
          <w:color w:val="000000" w:themeColor="text1"/>
          <w:lang w:val="uk-UA"/>
        </w:rPr>
      </w:pPr>
    </w:p>
    <w:p w14:paraId="6A55F118" w14:textId="779253BA" w:rsidR="001D4CA2" w:rsidRDefault="001D4CA2" w:rsidP="001D4CA2">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Р</w:t>
      </w:r>
      <w:r w:rsidRPr="009E2836">
        <w:rPr>
          <w:rFonts w:ascii="Times New Roman" w:hAnsi="Times New Roman" w:cs="Times New Roman"/>
          <w:color w:val="000000" w:themeColor="text1"/>
          <w:lang w:val="uk-UA"/>
        </w:rPr>
        <w:t xml:space="preserve">озчинність </w:t>
      </w:r>
      <w:r w:rsidRPr="009F1038">
        <w:rPr>
          <w:rFonts w:ascii="Times New Roman" w:hAnsi="Times New Roman" w:cs="Times New Roman"/>
          <w:color w:val="000000" w:themeColor="text1"/>
          <w:lang w:val="uk-UA"/>
        </w:rPr>
        <w:t>велпатасвір</w:t>
      </w:r>
      <w:r>
        <w:rPr>
          <w:rFonts w:ascii="Times New Roman" w:hAnsi="Times New Roman" w:cs="Times New Roman"/>
          <w:color w:val="000000" w:themeColor="text1"/>
          <w:lang w:val="uk-UA"/>
        </w:rPr>
        <w:t>у, як і ледіпасвіру</w:t>
      </w:r>
      <w:r w:rsidR="00870D13">
        <w:rPr>
          <w:rFonts w:ascii="Times New Roman" w:hAnsi="Times New Roman" w:cs="Times New Roman"/>
          <w:color w:val="000000" w:themeColor="text1"/>
          <w:lang w:val="uk-UA"/>
        </w:rPr>
        <w:t>,</w:t>
      </w:r>
      <w:r w:rsidRPr="009E2836">
        <w:rPr>
          <w:rFonts w:ascii="Times New Roman" w:hAnsi="Times New Roman" w:cs="Times New Roman"/>
          <w:color w:val="000000" w:themeColor="text1"/>
          <w:lang w:val="uk-UA"/>
        </w:rPr>
        <w:t xml:space="preserve"> зменшується при підвищенні рН. Тому важливо </w:t>
      </w:r>
      <w:r>
        <w:rPr>
          <w:rFonts w:ascii="Times New Roman" w:hAnsi="Times New Roman" w:cs="Times New Roman"/>
          <w:color w:val="000000" w:themeColor="text1"/>
          <w:lang w:val="uk-UA"/>
        </w:rPr>
        <w:t xml:space="preserve">володіти інформацією </w:t>
      </w:r>
      <w:r w:rsidRPr="009E2836">
        <w:rPr>
          <w:rFonts w:ascii="Times New Roman" w:hAnsi="Times New Roman" w:cs="Times New Roman"/>
          <w:color w:val="000000" w:themeColor="text1"/>
          <w:lang w:val="uk-UA"/>
        </w:rPr>
        <w:t>щодо спільного введення антацидів, антагоністів Н2</w:t>
      </w:r>
      <w:r w:rsidR="00FC6D8A">
        <w:rPr>
          <w:rFonts w:ascii="Times New Roman" w:hAnsi="Times New Roman" w:cs="Times New Roman"/>
          <w:color w:val="000000" w:themeColor="text1"/>
          <w:lang w:val="uk-UA"/>
        </w:rPr>
        <w:t>–</w:t>
      </w:r>
      <w:r w:rsidRPr="009E2836">
        <w:rPr>
          <w:rFonts w:ascii="Times New Roman" w:hAnsi="Times New Roman" w:cs="Times New Roman"/>
          <w:color w:val="000000" w:themeColor="text1"/>
          <w:lang w:val="uk-UA"/>
        </w:rPr>
        <w:t>рецепторів та інг</w:t>
      </w:r>
      <w:r>
        <w:rPr>
          <w:rFonts w:ascii="Times New Roman" w:hAnsi="Times New Roman" w:cs="Times New Roman"/>
          <w:color w:val="000000" w:themeColor="text1"/>
          <w:lang w:val="uk-UA"/>
        </w:rPr>
        <w:t>ібіторів протонно</w:t>
      </w:r>
      <w:r w:rsidR="00870D13">
        <w:rPr>
          <w:rFonts w:ascii="Times New Roman" w:hAnsi="Times New Roman" w:cs="Times New Roman"/>
          <w:color w:val="000000" w:themeColor="text1"/>
          <w:lang w:val="uk-UA"/>
        </w:rPr>
        <w:t>ї помпи</w:t>
      </w:r>
      <w:r>
        <w:rPr>
          <w:rFonts w:ascii="Times New Roman" w:hAnsi="Times New Roman" w:cs="Times New Roman"/>
          <w:color w:val="000000" w:themeColor="text1"/>
          <w:lang w:val="uk-UA"/>
        </w:rPr>
        <w:t xml:space="preserve">. Для більшості пацієнтів, </w:t>
      </w:r>
      <w:r w:rsidRPr="009E2836">
        <w:rPr>
          <w:rFonts w:ascii="Times New Roman" w:hAnsi="Times New Roman" w:cs="Times New Roman"/>
          <w:color w:val="000000" w:themeColor="text1"/>
          <w:lang w:val="uk-UA"/>
        </w:rPr>
        <w:t>слід уникати</w:t>
      </w:r>
      <w:r w:rsidR="00870D13">
        <w:rPr>
          <w:rFonts w:ascii="Times New Roman" w:hAnsi="Times New Roman" w:cs="Times New Roman"/>
          <w:color w:val="000000" w:themeColor="text1"/>
          <w:lang w:val="uk-UA"/>
        </w:rPr>
        <w:t xml:space="preserve"> прийому</w:t>
      </w:r>
      <w:r w:rsidRPr="009E2836">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інгібіторів протонн</w:t>
      </w:r>
      <w:r w:rsidR="00870D13">
        <w:rPr>
          <w:rFonts w:ascii="Times New Roman" w:hAnsi="Times New Roman" w:cs="Times New Roman"/>
          <w:color w:val="000000" w:themeColor="text1"/>
          <w:lang w:val="uk-UA"/>
        </w:rPr>
        <w:t>ої помпи</w:t>
      </w:r>
      <w:r w:rsidRPr="009E2836">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під час терапії софосбувіром/</w:t>
      </w:r>
      <w:r w:rsidRPr="009F1038">
        <w:rPr>
          <w:rFonts w:ascii="Times New Roman" w:hAnsi="Times New Roman" w:cs="Times New Roman"/>
          <w:color w:val="000000" w:themeColor="text1"/>
          <w:lang w:val="uk-UA"/>
        </w:rPr>
        <w:t>велпатасвір</w:t>
      </w:r>
      <w:r>
        <w:rPr>
          <w:rFonts w:ascii="Times New Roman" w:hAnsi="Times New Roman" w:cs="Times New Roman"/>
          <w:color w:val="000000" w:themeColor="text1"/>
          <w:lang w:val="uk-UA"/>
        </w:rPr>
        <w:t>ом</w:t>
      </w:r>
      <w:r w:rsidRPr="009E2836">
        <w:rPr>
          <w:rFonts w:ascii="Times New Roman" w:hAnsi="Times New Roman" w:cs="Times New Roman"/>
          <w:color w:val="000000" w:themeColor="text1"/>
          <w:lang w:val="uk-UA"/>
        </w:rPr>
        <w:t xml:space="preserve">. </w:t>
      </w:r>
      <w:r w:rsidR="00E65ABB">
        <w:rPr>
          <w:rFonts w:ascii="Times New Roman" w:hAnsi="Times New Roman" w:cs="Times New Roman"/>
          <w:color w:val="000000" w:themeColor="text1"/>
          <w:lang w:val="uk-UA"/>
        </w:rPr>
        <w:t>При необхідності</w:t>
      </w:r>
      <w:r w:rsidRPr="00DB67F9">
        <w:rPr>
          <w:rFonts w:ascii="Times New Roman" w:hAnsi="Times New Roman" w:cs="Times New Roman"/>
          <w:color w:val="000000" w:themeColor="text1"/>
          <w:lang w:val="uk-UA"/>
        </w:rPr>
        <w:t xml:space="preserve">, софосбувір/велпатасвір слід </w:t>
      </w:r>
      <w:r w:rsidR="00E65ABB">
        <w:rPr>
          <w:rFonts w:ascii="Times New Roman" w:hAnsi="Times New Roman" w:cs="Times New Roman"/>
          <w:color w:val="000000" w:themeColor="text1"/>
          <w:lang w:val="uk-UA"/>
        </w:rPr>
        <w:t>приймати</w:t>
      </w:r>
      <w:r w:rsidRPr="00DB67F9">
        <w:rPr>
          <w:rFonts w:ascii="Times New Roman" w:hAnsi="Times New Roman" w:cs="Times New Roman"/>
          <w:color w:val="000000" w:themeColor="text1"/>
          <w:lang w:val="uk-UA"/>
        </w:rPr>
        <w:t xml:space="preserve"> разом з їжею за 4 години до </w:t>
      </w:r>
      <w:r w:rsidR="00870D13">
        <w:rPr>
          <w:rFonts w:ascii="Times New Roman" w:hAnsi="Times New Roman" w:cs="Times New Roman"/>
          <w:color w:val="000000" w:themeColor="text1"/>
          <w:lang w:val="uk-UA"/>
        </w:rPr>
        <w:t xml:space="preserve">прийому </w:t>
      </w:r>
      <w:r w:rsidRPr="00DB67F9">
        <w:rPr>
          <w:rFonts w:ascii="Times New Roman" w:hAnsi="Times New Roman" w:cs="Times New Roman"/>
          <w:color w:val="000000" w:themeColor="text1"/>
          <w:lang w:val="uk-UA"/>
        </w:rPr>
        <w:t>інгібітор</w:t>
      </w:r>
      <w:r w:rsidR="00E65ABB">
        <w:rPr>
          <w:rFonts w:ascii="Times New Roman" w:hAnsi="Times New Roman" w:cs="Times New Roman"/>
          <w:color w:val="000000" w:themeColor="text1"/>
          <w:lang w:val="uk-UA"/>
        </w:rPr>
        <w:t>а</w:t>
      </w:r>
      <w:r w:rsidRPr="00DB67F9">
        <w:rPr>
          <w:rFonts w:ascii="Times New Roman" w:hAnsi="Times New Roman" w:cs="Times New Roman"/>
          <w:color w:val="000000" w:themeColor="text1"/>
          <w:lang w:val="uk-UA"/>
        </w:rPr>
        <w:t xml:space="preserve"> протонно</w:t>
      </w:r>
      <w:r w:rsidR="00870D13">
        <w:rPr>
          <w:rFonts w:ascii="Times New Roman" w:hAnsi="Times New Roman" w:cs="Times New Roman"/>
          <w:color w:val="000000" w:themeColor="text1"/>
          <w:lang w:val="uk-UA"/>
        </w:rPr>
        <w:t>ї</w:t>
      </w:r>
      <w:r w:rsidRPr="00DB67F9">
        <w:rPr>
          <w:rFonts w:ascii="Times New Roman" w:hAnsi="Times New Roman" w:cs="Times New Roman"/>
          <w:color w:val="000000" w:themeColor="text1"/>
          <w:lang w:val="uk-UA"/>
        </w:rPr>
        <w:t xml:space="preserve"> </w:t>
      </w:r>
      <w:r w:rsidR="00870D13">
        <w:rPr>
          <w:rFonts w:ascii="Times New Roman" w:hAnsi="Times New Roman" w:cs="Times New Roman"/>
          <w:color w:val="000000" w:themeColor="text1"/>
          <w:lang w:val="uk-UA"/>
        </w:rPr>
        <w:t>помпи</w:t>
      </w:r>
      <w:r w:rsidRPr="00DB67F9">
        <w:rPr>
          <w:rFonts w:ascii="Times New Roman" w:hAnsi="Times New Roman" w:cs="Times New Roman"/>
          <w:color w:val="000000" w:themeColor="text1"/>
          <w:lang w:val="uk-UA"/>
        </w:rPr>
        <w:t>, при максимальній дозі, що співставна омепразолу 20 мг (табл. 5).</w:t>
      </w:r>
    </w:p>
    <w:p w14:paraId="7E0F137C" w14:textId="77777777" w:rsidR="001D4CA2" w:rsidRDefault="001D4CA2" w:rsidP="001D4CA2">
      <w:pPr>
        <w:tabs>
          <w:tab w:val="left" w:pos="1089"/>
        </w:tabs>
        <w:ind w:left="360"/>
        <w:jc w:val="both"/>
        <w:rPr>
          <w:rFonts w:ascii="Times New Roman" w:hAnsi="Times New Roman" w:cs="Times New Roman"/>
          <w:color w:val="000000" w:themeColor="text1"/>
          <w:lang w:val="uk-UA"/>
        </w:rPr>
      </w:pPr>
    </w:p>
    <w:p w14:paraId="236B8039" w14:textId="56A8F721" w:rsidR="001D4CA2" w:rsidRDefault="00E65ABB" w:rsidP="001D4CA2">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Пацієнтам із ко-інфекцією </w:t>
      </w:r>
      <w:r w:rsidR="001D4CA2">
        <w:rPr>
          <w:rFonts w:ascii="Times New Roman" w:hAnsi="Times New Roman" w:cs="Times New Roman"/>
          <w:color w:val="000000" w:themeColor="text1"/>
          <w:lang w:val="uk-UA"/>
        </w:rPr>
        <w:t>ВІЛ/ВГС можна приймати</w:t>
      </w:r>
      <w:r w:rsidR="001D4CA2" w:rsidRPr="00D76BC2">
        <w:rPr>
          <w:rFonts w:ascii="Times New Roman" w:hAnsi="Times New Roman" w:cs="Times New Roman"/>
          <w:color w:val="000000" w:themeColor="text1"/>
          <w:lang w:val="uk-UA"/>
        </w:rPr>
        <w:t xml:space="preserve"> </w:t>
      </w:r>
      <w:r w:rsidR="001D4CA2">
        <w:rPr>
          <w:rFonts w:ascii="Times New Roman" w:hAnsi="Times New Roman" w:cs="Times New Roman"/>
          <w:color w:val="000000" w:themeColor="text1"/>
          <w:lang w:val="uk-UA"/>
        </w:rPr>
        <w:t>софосбувір</w:t>
      </w:r>
      <w:r w:rsidR="001D4CA2" w:rsidRPr="00D76BC2">
        <w:rPr>
          <w:rFonts w:ascii="Times New Roman" w:hAnsi="Times New Roman" w:cs="Times New Roman"/>
          <w:color w:val="000000" w:themeColor="text1"/>
          <w:lang w:val="uk-UA"/>
        </w:rPr>
        <w:t>/</w:t>
      </w:r>
      <w:r w:rsidR="001D4CA2" w:rsidRPr="009F1038">
        <w:rPr>
          <w:rFonts w:ascii="Times New Roman" w:hAnsi="Times New Roman" w:cs="Times New Roman"/>
          <w:color w:val="000000" w:themeColor="text1"/>
          <w:lang w:val="uk-UA"/>
        </w:rPr>
        <w:t>велпатасвір</w:t>
      </w:r>
      <w:r w:rsidR="001D4CA2">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разом</w:t>
      </w:r>
      <w:r w:rsidR="001D4CA2">
        <w:rPr>
          <w:rFonts w:ascii="Times New Roman" w:hAnsi="Times New Roman" w:cs="Times New Roman"/>
          <w:color w:val="000000" w:themeColor="text1"/>
          <w:lang w:val="uk-UA"/>
        </w:rPr>
        <w:t xml:space="preserve"> з більшістю</w:t>
      </w:r>
      <w:r w:rsidR="001D4CA2" w:rsidRPr="00D76BC2">
        <w:rPr>
          <w:rFonts w:ascii="Times New Roman" w:hAnsi="Times New Roman" w:cs="Times New Roman"/>
          <w:color w:val="000000" w:themeColor="text1"/>
          <w:lang w:val="uk-UA"/>
        </w:rPr>
        <w:t xml:space="preserve"> антиретровірусних препаратів, за винятком таких препаратів </w:t>
      </w:r>
      <w:r>
        <w:rPr>
          <w:rFonts w:ascii="Times New Roman" w:hAnsi="Times New Roman" w:cs="Times New Roman"/>
          <w:color w:val="000000" w:themeColor="text1"/>
          <w:lang w:val="uk-UA"/>
        </w:rPr>
        <w:t xml:space="preserve">як </w:t>
      </w:r>
      <w:r w:rsidR="00187E20">
        <w:rPr>
          <w:rFonts w:ascii="Times New Roman" w:hAnsi="Times New Roman" w:cs="Times New Roman"/>
          <w:color w:val="000000" w:themeColor="text1"/>
          <w:lang w:val="uk-UA"/>
        </w:rPr>
        <w:t>ефавіренц</w:t>
      </w:r>
      <w:r w:rsidR="001D4CA2" w:rsidRPr="00D76BC2">
        <w:rPr>
          <w:rFonts w:ascii="Times New Roman" w:hAnsi="Times New Roman" w:cs="Times New Roman"/>
          <w:color w:val="000000" w:themeColor="text1"/>
          <w:lang w:val="uk-UA"/>
        </w:rPr>
        <w:t>, етравірин та невірапін. Ефавіренц призводить до 50</w:t>
      </w:r>
      <w:r>
        <w:rPr>
          <w:rFonts w:ascii="Times New Roman" w:hAnsi="Times New Roman" w:cs="Times New Roman"/>
          <w:color w:val="000000" w:themeColor="text1"/>
          <w:lang w:val="uk-UA"/>
        </w:rPr>
        <w:t>%</w:t>
      </w:r>
      <w:r w:rsidR="001D4CA2" w:rsidRPr="00D76BC2">
        <w:rPr>
          <w:rFonts w:ascii="Times New Roman" w:hAnsi="Times New Roman" w:cs="Times New Roman"/>
          <w:color w:val="000000" w:themeColor="text1"/>
          <w:lang w:val="uk-UA"/>
        </w:rPr>
        <w:t xml:space="preserve"> зменшення </w:t>
      </w:r>
      <w:r w:rsidR="001D4CA2">
        <w:rPr>
          <w:rFonts w:ascii="Times New Roman" w:hAnsi="Times New Roman" w:cs="Times New Roman"/>
          <w:color w:val="000000" w:themeColor="text1"/>
          <w:lang w:val="uk-UA"/>
        </w:rPr>
        <w:t xml:space="preserve">ефективності </w:t>
      </w:r>
      <w:r w:rsidR="001D4CA2" w:rsidRPr="009F1038">
        <w:rPr>
          <w:rFonts w:ascii="Times New Roman" w:hAnsi="Times New Roman" w:cs="Times New Roman"/>
          <w:color w:val="000000" w:themeColor="text1"/>
          <w:lang w:val="uk-UA"/>
        </w:rPr>
        <w:t>велпатасвір</w:t>
      </w:r>
      <w:r w:rsidR="001D4CA2">
        <w:rPr>
          <w:rFonts w:ascii="Times New Roman" w:hAnsi="Times New Roman" w:cs="Times New Roman"/>
          <w:color w:val="000000" w:themeColor="text1"/>
          <w:lang w:val="uk-UA"/>
        </w:rPr>
        <w:t>у. Софосбувір/</w:t>
      </w:r>
      <w:r w:rsidR="001D4CA2" w:rsidRPr="009F1038">
        <w:rPr>
          <w:rFonts w:ascii="Times New Roman" w:hAnsi="Times New Roman" w:cs="Times New Roman"/>
          <w:color w:val="000000" w:themeColor="text1"/>
          <w:lang w:val="uk-UA"/>
        </w:rPr>
        <w:t>велпатасвір</w:t>
      </w:r>
      <w:r w:rsidR="001D4CA2">
        <w:rPr>
          <w:rFonts w:ascii="Times New Roman" w:hAnsi="Times New Roman" w:cs="Times New Roman"/>
          <w:color w:val="000000" w:themeColor="text1"/>
          <w:lang w:val="uk-UA"/>
        </w:rPr>
        <w:t xml:space="preserve"> також підвищує експозицію тен</w:t>
      </w:r>
      <w:r w:rsidR="001D4CA2" w:rsidRPr="00D76BC2">
        <w:rPr>
          <w:rFonts w:ascii="Times New Roman" w:hAnsi="Times New Roman" w:cs="Times New Roman"/>
          <w:color w:val="000000" w:themeColor="text1"/>
          <w:lang w:val="uk-UA"/>
        </w:rPr>
        <w:t>офовіру, інгібуючи P</w:t>
      </w:r>
      <w:r w:rsidR="00FC6D8A">
        <w:rPr>
          <w:rFonts w:ascii="Times New Roman" w:hAnsi="Times New Roman" w:cs="Times New Roman"/>
          <w:color w:val="000000" w:themeColor="text1"/>
          <w:lang w:val="uk-UA"/>
        </w:rPr>
        <w:t>–</w:t>
      </w:r>
      <w:r w:rsidR="001D4CA2" w:rsidRPr="00D76BC2">
        <w:rPr>
          <w:rFonts w:ascii="Times New Roman" w:hAnsi="Times New Roman" w:cs="Times New Roman"/>
          <w:color w:val="000000" w:themeColor="text1"/>
          <w:lang w:val="uk-UA"/>
        </w:rPr>
        <w:t>gp. Це означає, що</w:t>
      </w:r>
      <w:r>
        <w:rPr>
          <w:rFonts w:ascii="Times New Roman" w:hAnsi="Times New Roman" w:cs="Times New Roman"/>
          <w:color w:val="000000" w:themeColor="text1"/>
          <w:lang w:val="uk-UA"/>
        </w:rPr>
        <w:t xml:space="preserve"> у</w:t>
      </w:r>
      <w:r w:rsidR="001D4CA2" w:rsidRPr="00D76BC2">
        <w:rPr>
          <w:rFonts w:ascii="Times New Roman" w:hAnsi="Times New Roman" w:cs="Times New Roman"/>
          <w:color w:val="000000" w:themeColor="text1"/>
          <w:lang w:val="uk-UA"/>
        </w:rPr>
        <w:t xml:space="preserve"> пацієнт</w:t>
      </w:r>
      <w:r>
        <w:rPr>
          <w:rFonts w:ascii="Times New Roman" w:hAnsi="Times New Roman" w:cs="Times New Roman"/>
          <w:color w:val="000000" w:themeColor="text1"/>
          <w:lang w:val="uk-UA"/>
        </w:rPr>
        <w:t xml:space="preserve">ів, які отримують </w:t>
      </w:r>
      <w:r w:rsidR="001D4CA2" w:rsidRPr="00666A11">
        <w:rPr>
          <w:rFonts w:ascii="Times New Roman" w:hAnsi="Times New Roman" w:cs="Times New Roman"/>
          <w:color w:val="000000" w:themeColor="text1"/>
          <w:lang w:val="uk-UA"/>
        </w:rPr>
        <w:t xml:space="preserve">TDF, </w:t>
      </w:r>
      <w:r w:rsidR="00666A11">
        <w:rPr>
          <w:rFonts w:ascii="Times New Roman" w:hAnsi="Times New Roman" w:cs="Times New Roman"/>
          <w:color w:val="000000" w:themeColor="text1"/>
          <w:lang w:val="uk-UA"/>
        </w:rPr>
        <w:t xml:space="preserve">необхідно здійснювати контроль за функцією </w:t>
      </w:r>
      <w:r w:rsidR="001D4CA2" w:rsidRPr="00D76BC2">
        <w:rPr>
          <w:rFonts w:ascii="Times New Roman" w:hAnsi="Times New Roman" w:cs="Times New Roman"/>
          <w:color w:val="000000" w:themeColor="text1"/>
          <w:lang w:val="uk-UA"/>
        </w:rPr>
        <w:t>нирок.</w:t>
      </w:r>
    </w:p>
    <w:p w14:paraId="55C71E65" w14:textId="77777777" w:rsidR="005312A2" w:rsidRDefault="005312A2" w:rsidP="005312A2">
      <w:pPr>
        <w:tabs>
          <w:tab w:val="left" w:pos="1089"/>
        </w:tabs>
        <w:ind w:left="360"/>
        <w:rPr>
          <w:rFonts w:ascii="Times New Roman" w:hAnsi="Times New Roman" w:cs="Times New Roman"/>
          <w:b/>
          <w:color w:val="000000" w:themeColor="text1"/>
          <w:lang w:val="uk-UA"/>
        </w:rPr>
      </w:pPr>
    </w:p>
    <w:p w14:paraId="58BAA587" w14:textId="15A5C455" w:rsidR="005312A2" w:rsidRDefault="005312A2" w:rsidP="005312A2">
      <w:pPr>
        <w:tabs>
          <w:tab w:val="left" w:pos="1089"/>
        </w:tabs>
        <w:ind w:left="360"/>
        <w:rPr>
          <w:rFonts w:ascii="Times New Roman" w:hAnsi="Times New Roman" w:cs="Times New Roman"/>
          <w:b/>
          <w:color w:val="000000" w:themeColor="text1"/>
          <w:lang w:val="uk-UA"/>
        </w:rPr>
      </w:pPr>
      <w:r w:rsidRPr="00B40817">
        <w:rPr>
          <w:rFonts w:ascii="Times New Roman" w:hAnsi="Times New Roman" w:cs="Times New Roman"/>
          <w:b/>
          <w:color w:val="000000" w:themeColor="text1"/>
          <w:lang w:val="uk-UA"/>
        </w:rPr>
        <w:t>Таблиця 4</w:t>
      </w:r>
      <w:r w:rsidRPr="00B40817">
        <w:rPr>
          <w:rFonts w:ascii="Times New Roman" w:hAnsi="Times New Roman" w:cs="Times New Roman"/>
          <w:b/>
          <w:color w:val="000000" w:themeColor="text1"/>
          <w:lang w:val="en-US"/>
        </w:rPr>
        <w:t>F</w:t>
      </w:r>
      <w:r w:rsidRPr="006C7989">
        <w:rPr>
          <w:rFonts w:ascii="Times New Roman" w:hAnsi="Times New Roman" w:cs="Times New Roman"/>
          <w:b/>
          <w:color w:val="000000" w:themeColor="text1"/>
          <w:lang w:val="uk-UA"/>
        </w:rPr>
        <w:t>.</w:t>
      </w:r>
      <w:r w:rsidRPr="006C7989">
        <w:rPr>
          <w:rFonts w:ascii="Times New Roman" w:hAnsi="Times New Roman" w:cs="Times New Roman"/>
          <w:color w:val="000000" w:themeColor="text1"/>
          <w:lang w:val="uk-UA"/>
        </w:rPr>
        <w:t xml:space="preserve"> </w:t>
      </w:r>
      <w:r>
        <w:rPr>
          <w:rFonts w:ascii="Times New Roman" w:hAnsi="Times New Roman" w:cs="Times New Roman"/>
          <w:b/>
          <w:color w:val="000000" w:themeColor="text1"/>
          <w:lang w:val="uk-UA"/>
        </w:rPr>
        <w:t>Лікарські взаємодії між ПППД та імунодепресантами</w:t>
      </w:r>
    </w:p>
    <w:tbl>
      <w:tblPr>
        <w:tblStyle w:val="a6"/>
        <w:tblW w:w="0" w:type="auto"/>
        <w:tblInd w:w="421" w:type="dxa"/>
        <w:tblLayout w:type="fixed"/>
        <w:tblLook w:val="04A0" w:firstRow="1" w:lastRow="0" w:firstColumn="1" w:lastColumn="0" w:noHBand="0" w:noVBand="1"/>
      </w:tblPr>
      <w:tblGrid>
        <w:gridCol w:w="2131"/>
        <w:gridCol w:w="992"/>
        <w:gridCol w:w="851"/>
        <w:gridCol w:w="850"/>
        <w:gridCol w:w="851"/>
        <w:gridCol w:w="850"/>
        <w:gridCol w:w="851"/>
        <w:gridCol w:w="850"/>
      </w:tblGrid>
      <w:tr w:rsidR="00BE71C2" w14:paraId="0CE62BF9" w14:textId="77777777" w:rsidTr="00811C12">
        <w:tc>
          <w:tcPr>
            <w:tcW w:w="2131" w:type="dxa"/>
            <w:tcBorders>
              <w:bottom w:val="single" w:sz="8" w:space="0" w:color="auto"/>
            </w:tcBorders>
            <w:vAlign w:val="center"/>
          </w:tcPr>
          <w:p w14:paraId="4973714A" w14:textId="77777777" w:rsidR="00BE71C2" w:rsidRPr="00002FE3" w:rsidRDefault="00BE71C2" w:rsidP="00666A11">
            <w:pPr>
              <w:spacing w:beforeAutospacing="1" w:afterAutospacing="1"/>
              <w:ind w:left="171"/>
              <w:jc w:val="center"/>
              <w:textAlignment w:val="baseline"/>
              <w:rPr>
                <w:rFonts w:ascii="Times New Roman" w:hAnsi="Times New Roman" w:cs="Times New Roman"/>
                <w:b/>
                <w:color w:val="000000" w:themeColor="text1"/>
                <w:sz w:val="22"/>
                <w:szCs w:val="22"/>
                <w:lang w:val="uk-UA" w:eastAsia="ru-RU"/>
              </w:rPr>
            </w:pPr>
          </w:p>
        </w:tc>
        <w:tc>
          <w:tcPr>
            <w:tcW w:w="992" w:type="dxa"/>
            <w:tcBorders>
              <w:bottom w:val="single" w:sz="8" w:space="0" w:color="auto"/>
            </w:tcBorders>
            <w:vAlign w:val="center"/>
          </w:tcPr>
          <w:p w14:paraId="6CCE042A" w14:textId="77777777" w:rsidR="00BE71C2" w:rsidRPr="00002FE3" w:rsidRDefault="00BE71C2" w:rsidP="003A669B">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w:t>
            </w:r>
          </w:p>
        </w:tc>
        <w:tc>
          <w:tcPr>
            <w:tcW w:w="851" w:type="dxa"/>
            <w:tcBorders>
              <w:bottom w:val="single" w:sz="8" w:space="0" w:color="auto"/>
            </w:tcBorders>
            <w:vAlign w:val="center"/>
          </w:tcPr>
          <w:p w14:paraId="3682A8C2" w14:textId="77777777" w:rsidR="00BE71C2" w:rsidRPr="00002FE3" w:rsidRDefault="00BE71C2" w:rsidP="003A669B">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SOF/LDV</w:t>
            </w:r>
          </w:p>
        </w:tc>
        <w:tc>
          <w:tcPr>
            <w:tcW w:w="850" w:type="dxa"/>
            <w:tcBorders>
              <w:bottom w:val="single" w:sz="8" w:space="0" w:color="auto"/>
            </w:tcBorders>
            <w:vAlign w:val="center"/>
          </w:tcPr>
          <w:p w14:paraId="4D90EAB9" w14:textId="77777777" w:rsidR="00BE71C2" w:rsidRPr="00002FE3" w:rsidRDefault="00BE71C2" w:rsidP="003A669B">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SOF/VEL</w:t>
            </w:r>
          </w:p>
        </w:tc>
        <w:tc>
          <w:tcPr>
            <w:tcW w:w="851" w:type="dxa"/>
            <w:tcBorders>
              <w:bottom w:val="single" w:sz="8" w:space="0" w:color="auto"/>
            </w:tcBorders>
            <w:vAlign w:val="center"/>
          </w:tcPr>
          <w:p w14:paraId="4B89A9A7" w14:textId="77777777" w:rsidR="00BE71C2" w:rsidRPr="00002FE3" w:rsidRDefault="00BE71C2" w:rsidP="003A669B">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OBV/PTV/r+</w:t>
            </w:r>
            <w:r w:rsidRPr="00002FE3">
              <w:rPr>
                <w:rFonts w:ascii="Times New Roman" w:hAnsi="Times New Roman" w:cs="Times New Roman"/>
                <w:b/>
                <w:color w:val="000000" w:themeColor="text1"/>
                <w:sz w:val="22"/>
                <w:szCs w:val="22"/>
                <w:lang w:val="uk-UA" w:eastAsia="ru-RU"/>
              </w:rPr>
              <w:t xml:space="preserve"> </w:t>
            </w:r>
            <w:r w:rsidRPr="00002FE3">
              <w:rPr>
                <w:rFonts w:ascii="Times New Roman" w:hAnsi="Times New Roman" w:cs="Times New Roman"/>
                <w:b/>
                <w:color w:val="000000" w:themeColor="text1"/>
                <w:sz w:val="22"/>
                <w:szCs w:val="22"/>
                <w:lang w:val="it-IT" w:eastAsia="ru-RU"/>
              </w:rPr>
              <w:t>DSV</w:t>
            </w:r>
          </w:p>
        </w:tc>
        <w:tc>
          <w:tcPr>
            <w:tcW w:w="850" w:type="dxa"/>
            <w:tcBorders>
              <w:bottom w:val="single" w:sz="8" w:space="0" w:color="auto"/>
            </w:tcBorders>
            <w:vAlign w:val="center"/>
          </w:tcPr>
          <w:p w14:paraId="7B3E3B77" w14:textId="77777777" w:rsidR="00BE71C2" w:rsidRPr="00002FE3" w:rsidRDefault="00BE71C2" w:rsidP="003A669B">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GZR/EBR</w:t>
            </w:r>
          </w:p>
        </w:tc>
        <w:tc>
          <w:tcPr>
            <w:tcW w:w="851" w:type="dxa"/>
            <w:tcBorders>
              <w:bottom w:val="single" w:sz="8" w:space="0" w:color="auto"/>
            </w:tcBorders>
            <w:vAlign w:val="center"/>
          </w:tcPr>
          <w:p w14:paraId="1D7C2F3B" w14:textId="77777777" w:rsidR="00BE71C2" w:rsidRPr="00002FE3" w:rsidRDefault="00BE71C2" w:rsidP="003A669B">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SOF/VEL/VOX</w:t>
            </w:r>
          </w:p>
        </w:tc>
        <w:tc>
          <w:tcPr>
            <w:tcW w:w="850" w:type="dxa"/>
            <w:tcBorders>
              <w:bottom w:val="single" w:sz="8" w:space="0" w:color="auto"/>
            </w:tcBorders>
            <w:vAlign w:val="center"/>
          </w:tcPr>
          <w:p w14:paraId="402CAC98" w14:textId="77777777" w:rsidR="00BE71C2" w:rsidRPr="00002FE3" w:rsidRDefault="00BE71C2" w:rsidP="003A669B">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GLE/PIB</w:t>
            </w:r>
          </w:p>
        </w:tc>
      </w:tr>
      <w:tr w:rsidR="00BE71C2" w14:paraId="60C8AFCF" w14:textId="77777777" w:rsidTr="00811C12">
        <w:tc>
          <w:tcPr>
            <w:tcW w:w="2131" w:type="dxa"/>
            <w:tcBorders>
              <w:top w:val="single" w:sz="8" w:space="0" w:color="auto"/>
              <w:left w:val="single" w:sz="8" w:space="0" w:color="auto"/>
              <w:bottom w:val="single" w:sz="8" w:space="0" w:color="auto"/>
              <w:right w:val="single" w:sz="8" w:space="0" w:color="auto"/>
            </w:tcBorders>
            <w:vAlign w:val="center"/>
          </w:tcPr>
          <w:p w14:paraId="7531A062" w14:textId="6282D05B"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Азатіоприн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BE2C0E6" w14:textId="77777777"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150EDD3F" w14:textId="409C465C"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64A7B5F" w14:textId="0FA035E0"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226BE246" w14:textId="48667A99"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6A4A99">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1FD46D86" w14:textId="5027D3A2"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6A4A99">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337A7C35" w14:textId="406F2071"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6A4A99">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7CFBBE83" w14:textId="64541032"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6A4A99">
              <w:rPr>
                <w:rFonts w:ascii="Times New Roman" w:hAnsi="Times New Roman" w:cs="Times New Roman"/>
                <w:b/>
                <w:color w:val="000000" w:themeColor="text1"/>
                <w:sz w:val="22"/>
                <w:szCs w:val="22"/>
                <w:lang w:val="uk-UA" w:eastAsia="ru-RU"/>
              </w:rPr>
              <w:t>♦</w:t>
            </w:r>
          </w:p>
        </w:tc>
      </w:tr>
      <w:tr w:rsidR="00BE71C2" w14:paraId="024A0D44" w14:textId="77777777" w:rsidTr="00811C12">
        <w:tc>
          <w:tcPr>
            <w:tcW w:w="2131" w:type="dxa"/>
            <w:tcBorders>
              <w:top w:val="single" w:sz="8" w:space="0" w:color="auto"/>
              <w:left w:val="single" w:sz="8" w:space="0" w:color="auto"/>
              <w:bottom w:val="single" w:sz="8" w:space="0" w:color="auto"/>
              <w:right w:val="single" w:sz="8" w:space="0" w:color="auto"/>
            </w:tcBorders>
            <w:vAlign w:val="center"/>
          </w:tcPr>
          <w:p w14:paraId="0E0D7ABC" w14:textId="5450E849"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Циклоспорин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362A2C4E" w14:textId="77777777"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AF2740C" w14:textId="399108F5"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125A9D52" w14:textId="70F602BE"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395205AB" w14:textId="6A7287FF"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F5050"/>
          </w:tcPr>
          <w:p w14:paraId="1AB0316A" w14:textId="704C76D6"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6D5CC6">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F5050"/>
          </w:tcPr>
          <w:p w14:paraId="74645D23" w14:textId="522080F9"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6D5CC6">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4955F94E" w14:textId="21EF3CE3"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r>
      <w:tr w:rsidR="00BE71C2" w14:paraId="298FCBCE" w14:textId="77777777" w:rsidTr="00811C12">
        <w:tc>
          <w:tcPr>
            <w:tcW w:w="2131" w:type="dxa"/>
            <w:tcBorders>
              <w:top w:val="single" w:sz="8" w:space="0" w:color="auto"/>
              <w:left w:val="single" w:sz="8" w:space="0" w:color="auto"/>
              <w:bottom w:val="single" w:sz="8" w:space="0" w:color="auto"/>
              <w:right w:val="single" w:sz="8" w:space="0" w:color="auto"/>
            </w:tcBorders>
            <w:vAlign w:val="center"/>
          </w:tcPr>
          <w:p w14:paraId="6DEB9AB4" w14:textId="504E4A7E"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Етанерцепт</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29AE3A8" w14:textId="77777777"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B1C5C9B" w14:textId="129587D4"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5A195F1B" w14:textId="6E4E1A5E"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1A627381" w14:textId="6B20998E"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4DF5EB36" w14:textId="3A8C5DF4"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4B1742">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6E4D5E2A" w14:textId="66E38DAA"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4B1742">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29227283" w14:textId="79375069"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4B1742">
              <w:rPr>
                <w:rFonts w:ascii="Times New Roman" w:hAnsi="Times New Roman" w:cs="Times New Roman"/>
                <w:b/>
                <w:color w:val="000000" w:themeColor="text1"/>
                <w:sz w:val="22"/>
                <w:szCs w:val="22"/>
                <w:lang w:val="uk-UA" w:eastAsia="ru-RU"/>
              </w:rPr>
              <w:t>♦</w:t>
            </w:r>
          </w:p>
        </w:tc>
      </w:tr>
      <w:tr w:rsidR="00BE71C2" w14:paraId="74D2582A" w14:textId="77777777" w:rsidTr="00811C12">
        <w:tc>
          <w:tcPr>
            <w:tcW w:w="2131" w:type="dxa"/>
            <w:tcBorders>
              <w:top w:val="single" w:sz="8" w:space="0" w:color="auto"/>
              <w:left w:val="single" w:sz="8" w:space="0" w:color="auto"/>
              <w:bottom w:val="single" w:sz="8" w:space="0" w:color="auto"/>
              <w:right w:val="single" w:sz="8" w:space="0" w:color="auto"/>
            </w:tcBorders>
            <w:vAlign w:val="center"/>
          </w:tcPr>
          <w:p w14:paraId="0C8A6ADE" w14:textId="067AE532"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Мікофенолят</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35326FA3" w14:textId="77777777"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6AF18166" w14:textId="4AEC9624"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4DFE274E" w14:textId="2343DBD2"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2A36C1EA" w14:textId="7017E617"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11B9FB0A" w14:textId="4B7F2072"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4B1742">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26E0579F" w14:textId="25AE3E07"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4B1742">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078E2FF4" w14:textId="6A498B94"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4B1742">
              <w:rPr>
                <w:rFonts w:ascii="Times New Roman" w:hAnsi="Times New Roman" w:cs="Times New Roman"/>
                <w:b/>
                <w:color w:val="000000" w:themeColor="text1"/>
                <w:sz w:val="22"/>
                <w:szCs w:val="22"/>
                <w:lang w:val="uk-UA" w:eastAsia="ru-RU"/>
              </w:rPr>
              <w:t>♦</w:t>
            </w:r>
          </w:p>
        </w:tc>
      </w:tr>
      <w:tr w:rsidR="00BE71C2" w14:paraId="662862CA" w14:textId="77777777" w:rsidTr="00811C12">
        <w:tc>
          <w:tcPr>
            <w:tcW w:w="2131" w:type="dxa"/>
            <w:tcBorders>
              <w:top w:val="single" w:sz="8" w:space="0" w:color="auto"/>
              <w:left w:val="single" w:sz="8" w:space="0" w:color="auto"/>
              <w:bottom w:val="single" w:sz="8" w:space="0" w:color="auto"/>
              <w:right w:val="single" w:sz="8" w:space="0" w:color="auto"/>
            </w:tcBorders>
            <w:vAlign w:val="center"/>
          </w:tcPr>
          <w:p w14:paraId="448D29C2" w14:textId="635A179B"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Сіролімус</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7687E3E5" w14:textId="77777777"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563EC206" w14:textId="0F396CE6"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40A64782" w14:textId="3AE630D4"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6120C36" w14:textId="121C1256"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117D01">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D6B401F" w14:textId="33524142"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117D01">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687AA32" w14:textId="63B2DF52"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117D01">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D991E33" w14:textId="01763978"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117D01">
              <w:rPr>
                <w:rFonts w:ascii="Times New Roman" w:hAnsi="Times New Roman" w:cs="Times New Roman"/>
                <w:b/>
                <w:color w:val="000000" w:themeColor="text1"/>
                <w:sz w:val="22"/>
                <w:szCs w:val="22"/>
                <w:lang w:val="uk-UA" w:eastAsia="ru-RU"/>
              </w:rPr>
              <w:t>■</w:t>
            </w:r>
          </w:p>
        </w:tc>
      </w:tr>
      <w:tr w:rsidR="00BE71C2" w14:paraId="1EF44077" w14:textId="77777777" w:rsidTr="00811C12">
        <w:tc>
          <w:tcPr>
            <w:tcW w:w="2131" w:type="dxa"/>
            <w:tcBorders>
              <w:top w:val="single" w:sz="8" w:space="0" w:color="auto"/>
              <w:left w:val="single" w:sz="8" w:space="0" w:color="auto"/>
              <w:bottom w:val="single" w:sz="8" w:space="0" w:color="auto"/>
              <w:right w:val="single" w:sz="8" w:space="0" w:color="auto"/>
            </w:tcBorders>
            <w:vAlign w:val="center"/>
          </w:tcPr>
          <w:p w14:paraId="3662DE89" w14:textId="071184EE"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Такроліму</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A0010FA" w14:textId="77777777"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3F980D2E" w14:textId="69AC20D5"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473E66B1" w14:textId="16AA1FC6"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FF66AFE" w14:textId="20EEEECB"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117D01">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B73722E" w14:textId="584547A1"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117D01">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6F03BBB" w14:textId="68781E89"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117D01">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93059DE" w14:textId="76BDE7BA" w:rsidR="00BE71C2" w:rsidRPr="00002FE3" w:rsidRDefault="00BE71C2" w:rsidP="00BE71C2">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117D01">
              <w:rPr>
                <w:rFonts w:ascii="Times New Roman" w:hAnsi="Times New Roman" w:cs="Times New Roman"/>
                <w:b/>
                <w:color w:val="000000" w:themeColor="text1"/>
                <w:sz w:val="22"/>
                <w:szCs w:val="22"/>
                <w:lang w:val="uk-UA" w:eastAsia="ru-RU"/>
              </w:rPr>
              <w:t>■</w:t>
            </w:r>
          </w:p>
        </w:tc>
      </w:tr>
    </w:tbl>
    <w:p w14:paraId="0AAFF382" w14:textId="77777777" w:rsidR="00BE71C2" w:rsidRPr="006C7989" w:rsidRDefault="00BE71C2" w:rsidP="005312A2">
      <w:pPr>
        <w:tabs>
          <w:tab w:val="left" w:pos="1089"/>
        </w:tabs>
        <w:ind w:left="360"/>
        <w:rPr>
          <w:rFonts w:ascii="Times New Roman" w:hAnsi="Times New Roman" w:cs="Times New Roman"/>
          <w:color w:val="000000" w:themeColor="text1"/>
          <w:lang w:val="uk-UA"/>
        </w:rPr>
      </w:pPr>
    </w:p>
    <w:tbl>
      <w:tblPr>
        <w:tblStyle w:val="a6"/>
        <w:tblW w:w="9546" w:type="dxa"/>
        <w:tblInd w:w="421" w:type="dxa"/>
        <w:tblLook w:val="04A0" w:firstRow="1" w:lastRow="0" w:firstColumn="1" w:lastColumn="0" w:noHBand="0" w:noVBand="1"/>
      </w:tblPr>
      <w:tblGrid>
        <w:gridCol w:w="486"/>
        <w:gridCol w:w="9060"/>
      </w:tblGrid>
      <w:tr w:rsidR="00BE71C2" w14:paraId="7ECA1C0F" w14:textId="77777777" w:rsidTr="00811C12">
        <w:tc>
          <w:tcPr>
            <w:tcW w:w="486" w:type="dxa"/>
            <w:shd w:val="clear" w:color="auto" w:fill="C5E0B3" w:themeFill="accent6" w:themeFillTint="66"/>
          </w:tcPr>
          <w:p w14:paraId="370CC2D5" w14:textId="77777777" w:rsidR="00BE71C2" w:rsidRDefault="00BE71C2" w:rsidP="003A669B">
            <w:pPr>
              <w:spacing w:beforeAutospacing="1" w:afterAutospacing="1"/>
              <w:jc w:val="center"/>
              <w:textAlignment w:val="baseline"/>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7F9B2AE9" w14:textId="77777777" w:rsidR="00BE71C2" w:rsidRDefault="00BE71C2" w:rsidP="003A669B">
            <w:pPr>
              <w:tabs>
                <w:tab w:val="left" w:pos="1089"/>
              </w:tabs>
              <w:jc w:val="both"/>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Ніяких клінічно значущих взаємодій не очікується.</w:t>
            </w:r>
          </w:p>
        </w:tc>
      </w:tr>
      <w:tr w:rsidR="00BE71C2" w14:paraId="7187C02D" w14:textId="77777777" w:rsidTr="00811C12">
        <w:tc>
          <w:tcPr>
            <w:tcW w:w="486" w:type="dxa"/>
            <w:shd w:val="clear" w:color="auto" w:fill="F4B083" w:themeFill="accent2" w:themeFillTint="99"/>
          </w:tcPr>
          <w:p w14:paraId="2AA36F8D" w14:textId="77777777" w:rsidR="00BE71C2" w:rsidRDefault="00BE71C2" w:rsidP="003A669B">
            <w:pPr>
              <w:tabs>
                <w:tab w:val="left" w:pos="1089"/>
              </w:tabs>
              <w:jc w:val="center"/>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5AFB30B0" w14:textId="452D4522" w:rsidR="00BE71C2" w:rsidRDefault="00DD7838" w:rsidP="003A669B">
            <w:pPr>
              <w:tabs>
                <w:tab w:val="left" w:pos="1089"/>
              </w:tabs>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Потенційна взаємодія, яка може потребувати регулювання дози, змін</w:t>
            </w:r>
            <w:r>
              <w:rPr>
                <w:rFonts w:ascii="Times New Roman" w:hAnsi="Times New Roman" w:cs="Times New Roman"/>
                <w:color w:val="000000" w:themeColor="text1"/>
                <w:lang w:val="uk-UA"/>
              </w:rPr>
              <w:t xml:space="preserve">и </w:t>
            </w:r>
            <w:r w:rsidRPr="00F15C59">
              <w:rPr>
                <w:rFonts w:ascii="Times New Roman" w:hAnsi="Times New Roman" w:cs="Times New Roman"/>
                <w:color w:val="000000" w:themeColor="text1"/>
                <w:lang w:val="uk-UA"/>
              </w:rPr>
              <w:t xml:space="preserve">часу </w:t>
            </w:r>
            <w:r>
              <w:rPr>
                <w:rFonts w:ascii="Times New Roman" w:hAnsi="Times New Roman" w:cs="Times New Roman"/>
                <w:color w:val="000000" w:themeColor="text1"/>
                <w:lang w:val="uk-UA"/>
              </w:rPr>
              <w:t>вживання</w:t>
            </w:r>
            <w:r w:rsidRPr="00F15C59">
              <w:rPr>
                <w:rFonts w:ascii="Times New Roman" w:hAnsi="Times New Roman" w:cs="Times New Roman"/>
                <w:color w:val="000000" w:themeColor="text1"/>
                <w:lang w:val="uk-UA"/>
              </w:rPr>
              <w:t xml:space="preserve"> або додатков</w:t>
            </w:r>
            <w:r>
              <w:rPr>
                <w:rFonts w:ascii="Times New Roman" w:hAnsi="Times New Roman" w:cs="Times New Roman"/>
                <w:color w:val="000000" w:themeColor="text1"/>
                <w:lang w:val="uk-UA"/>
              </w:rPr>
              <w:t>ого</w:t>
            </w:r>
            <w:r w:rsidRPr="00F15C59">
              <w:rPr>
                <w:rFonts w:ascii="Times New Roman" w:hAnsi="Times New Roman" w:cs="Times New Roman"/>
                <w:color w:val="000000" w:themeColor="text1"/>
                <w:lang w:val="uk-UA"/>
              </w:rPr>
              <w:t xml:space="preserve"> контрол</w:t>
            </w:r>
            <w:r>
              <w:rPr>
                <w:rFonts w:ascii="Times New Roman" w:hAnsi="Times New Roman" w:cs="Times New Roman"/>
                <w:color w:val="000000" w:themeColor="text1"/>
                <w:lang w:val="uk-UA"/>
              </w:rPr>
              <w:t>ю</w:t>
            </w:r>
            <w:r w:rsidRPr="00F15C59">
              <w:rPr>
                <w:rFonts w:ascii="Times New Roman" w:hAnsi="Times New Roman" w:cs="Times New Roman"/>
                <w:color w:val="000000" w:themeColor="text1"/>
                <w:lang w:val="uk-UA"/>
              </w:rPr>
              <w:t>.</w:t>
            </w:r>
          </w:p>
        </w:tc>
      </w:tr>
      <w:tr w:rsidR="00BE71C2" w14:paraId="27A09110" w14:textId="77777777" w:rsidTr="00811C12">
        <w:tc>
          <w:tcPr>
            <w:tcW w:w="486" w:type="dxa"/>
            <w:shd w:val="clear" w:color="auto" w:fill="FF5050"/>
          </w:tcPr>
          <w:p w14:paraId="7FE4824B" w14:textId="77777777" w:rsidR="00BE71C2" w:rsidRDefault="00BE71C2" w:rsidP="003A669B">
            <w:pPr>
              <w:tabs>
                <w:tab w:val="left" w:pos="1089"/>
              </w:tabs>
              <w:jc w:val="center"/>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7C677280" w14:textId="77777777" w:rsidR="00BE71C2" w:rsidRDefault="00BE71C2" w:rsidP="003A669B">
            <w:pPr>
              <w:tabs>
                <w:tab w:val="left" w:pos="1089"/>
              </w:tabs>
              <w:jc w:val="both"/>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Ці препарати н</w:t>
            </w:r>
            <w:r>
              <w:rPr>
                <w:rFonts w:ascii="Times New Roman" w:hAnsi="Times New Roman" w:cs="Times New Roman"/>
                <w:color w:val="000000" w:themeColor="text1"/>
                <w:lang w:val="uk-UA"/>
              </w:rPr>
              <w:t>е повинні застосовуватися разом</w:t>
            </w:r>
            <w:r w:rsidRPr="00F15C59">
              <w:rPr>
                <w:rFonts w:ascii="Times New Roman" w:hAnsi="Times New Roman" w:cs="Times New Roman"/>
                <w:color w:val="000000" w:themeColor="text1"/>
                <w:lang w:val="uk-UA"/>
              </w:rPr>
              <w:t>.</w:t>
            </w:r>
          </w:p>
        </w:tc>
      </w:tr>
    </w:tbl>
    <w:p w14:paraId="0B6D1505" w14:textId="13699BAA" w:rsidR="005312A2" w:rsidRPr="005312A2" w:rsidRDefault="005312A2" w:rsidP="005312A2">
      <w:pPr>
        <w:tabs>
          <w:tab w:val="left" w:pos="1089"/>
        </w:tabs>
        <w:ind w:left="360"/>
        <w:rPr>
          <w:rFonts w:ascii="Times New Roman" w:hAnsi="Times New Roman" w:cs="Times New Roman"/>
          <w:color w:val="000000" w:themeColor="text1"/>
          <w:lang w:val="uk-UA"/>
        </w:rPr>
      </w:pPr>
    </w:p>
    <w:p w14:paraId="05D7BDA1" w14:textId="322DFECC" w:rsidR="005312A2" w:rsidRDefault="00811C12" w:rsidP="00811C12">
      <w:pPr>
        <w:tabs>
          <w:tab w:val="left" w:pos="1089"/>
        </w:tabs>
        <w:ind w:left="284" w:hanging="284"/>
        <w:jc w:val="both"/>
        <w:rPr>
          <w:rFonts w:ascii="Times New Roman" w:hAnsi="Times New Roman" w:cs="Times New Roman"/>
          <w:i/>
          <w:color w:val="000000" w:themeColor="text1"/>
          <w:sz w:val="20"/>
          <w:szCs w:val="20"/>
          <w:lang w:val="uk-UA"/>
        </w:rPr>
      </w:pPr>
      <w:r>
        <w:rPr>
          <w:rFonts w:ascii="Times New Roman" w:hAnsi="Times New Roman" w:cs="Times New Roman"/>
          <w:i/>
          <w:color w:val="000000" w:themeColor="text1"/>
          <w:sz w:val="20"/>
          <w:szCs w:val="20"/>
          <w:lang w:val="uk-UA"/>
        </w:rPr>
        <w:tab/>
      </w:r>
      <w:r w:rsidR="005312A2" w:rsidRPr="00DA6F76">
        <w:rPr>
          <w:rFonts w:ascii="Times New Roman" w:hAnsi="Times New Roman" w:cs="Times New Roman"/>
          <w:i/>
          <w:color w:val="000000" w:themeColor="text1"/>
          <w:sz w:val="20"/>
          <w:szCs w:val="20"/>
          <w:lang w:val="uk-UA"/>
        </w:rPr>
        <w:t>Примітки. Деякі лікарські засоби можуть вимагати зміни дози залежно від функції печінки. Будь ласка, звертайтеся до інформації, яка вказана в інформаційному листку препарату щодо рекомендованих доз. Символи (зелений, помаранчевий, червоний), що використовуються в таблиці для оцінки клінічного значення взаємодії ліків створені на основі www.hep</w:t>
      </w:r>
      <w:r w:rsidR="00FC6D8A">
        <w:rPr>
          <w:rFonts w:ascii="Times New Roman" w:hAnsi="Times New Roman" w:cs="Times New Roman"/>
          <w:i/>
          <w:color w:val="000000" w:themeColor="text1"/>
          <w:sz w:val="20"/>
          <w:szCs w:val="20"/>
          <w:lang w:val="uk-UA"/>
        </w:rPr>
        <w:t>–</w:t>
      </w:r>
      <w:r w:rsidR="005312A2" w:rsidRPr="00DA6F76">
        <w:rPr>
          <w:rFonts w:ascii="Times New Roman" w:hAnsi="Times New Roman" w:cs="Times New Roman"/>
          <w:i/>
          <w:color w:val="000000" w:themeColor="text1"/>
          <w:sz w:val="20"/>
          <w:szCs w:val="20"/>
          <w:lang w:val="uk-UA"/>
        </w:rPr>
        <w:t>druginteractions.org (University of Liverpool). У випадку потреби у додатковій інформації стосовно взаємодій між лікарськими засобами для більш широкого кола препаратів, а також щодо докладних даних про фармакокінетичну взаємодію та коригування доз, звертайтеся до вищезазначеного веб</w:t>
      </w:r>
      <w:r w:rsidR="00FC6D8A">
        <w:rPr>
          <w:rFonts w:ascii="Times New Roman" w:hAnsi="Times New Roman" w:cs="Times New Roman"/>
          <w:i/>
          <w:color w:val="000000" w:themeColor="text1"/>
          <w:sz w:val="20"/>
          <w:szCs w:val="20"/>
          <w:lang w:val="uk-UA"/>
        </w:rPr>
        <w:t>–</w:t>
      </w:r>
      <w:r w:rsidR="005312A2" w:rsidRPr="00DA6F76">
        <w:rPr>
          <w:rFonts w:ascii="Times New Roman" w:hAnsi="Times New Roman" w:cs="Times New Roman"/>
          <w:i/>
          <w:color w:val="000000" w:themeColor="text1"/>
          <w:sz w:val="20"/>
          <w:szCs w:val="20"/>
          <w:lang w:val="uk-UA"/>
        </w:rPr>
        <w:t>сайту</w:t>
      </w:r>
    </w:p>
    <w:p w14:paraId="4EB422B2" w14:textId="01A65D40" w:rsidR="005312A2" w:rsidRDefault="005312A2" w:rsidP="005312A2">
      <w:pPr>
        <w:tabs>
          <w:tab w:val="left" w:pos="1089"/>
        </w:tabs>
        <w:ind w:left="360"/>
        <w:jc w:val="both"/>
        <w:rPr>
          <w:rFonts w:ascii="Times New Roman" w:hAnsi="Times New Roman" w:cs="Times New Roman"/>
          <w:b/>
          <w:color w:val="000000" w:themeColor="text1"/>
          <w:lang w:val="uk-UA"/>
        </w:rPr>
      </w:pPr>
      <w:r w:rsidRPr="006C7989">
        <w:rPr>
          <w:rFonts w:ascii="Times New Roman" w:hAnsi="Times New Roman" w:cs="Times New Roman"/>
          <w:b/>
          <w:color w:val="000000" w:themeColor="text1"/>
          <w:lang w:val="uk-UA"/>
        </w:rPr>
        <w:lastRenderedPageBreak/>
        <w:t>Таблиця 4</w:t>
      </w:r>
      <w:r w:rsidRPr="00EC4E32">
        <w:rPr>
          <w:rFonts w:ascii="Times New Roman" w:hAnsi="Times New Roman" w:cs="Times New Roman"/>
          <w:b/>
          <w:color w:val="000000" w:themeColor="text1"/>
          <w:lang w:val="en-US"/>
        </w:rPr>
        <w:t>G</w:t>
      </w:r>
      <w:r w:rsidRPr="006C7989">
        <w:rPr>
          <w:rFonts w:ascii="Times New Roman" w:hAnsi="Times New Roman" w:cs="Times New Roman"/>
          <w:b/>
          <w:color w:val="000000" w:themeColor="text1"/>
          <w:lang w:val="uk-UA"/>
        </w:rPr>
        <w:t>.</w:t>
      </w:r>
      <w:r w:rsidRPr="006C7989">
        <w:rPr>
          <w:rFonts w:ascii="Times New Roman" w:hAnsi="Times New Roman" w:cs="Times New Roman"/>
          <w:color w:val="000000" w:themeColor="text1"/>
          <w:lang w:val="uk-UA"/>
        </w:rPr>
        <w:t xml:space="preserve"> </w:t>
      </w:r>
      <w:r>
        <w:rPr>
          <w:rFonts w:ascii="Times New Roman" w:hAnsi="Times New Roman" w:cs="Times New Roman"/>
          <w:b/>
          <w:color w:val="000000" w:themeColor="text1"/>
          <w:lang w:val="uk-UA"/>
        </w:rPr>
        <w:t xml:space="preserve">Лікарські взаємодії між ПППД та </w:t>
      </w:r>
      <w:r w:rsidRPr="006C7989">
        <w:rPr>
          <w:rFonts w:ascii="Times New Roman" w:hAnsi="Times New Roman" w:cs="Times New Roman"/>
          <w:b/>
          <w:color w:val="000000" w:themeColor="text1"/>
          <w:lang w:val="uk-UA"/>
        </w:rPr>
        <w:t>пероральн</w:t>
      </w:r>
      <w:r>
        <w:rPr>
          <w:rFonts w:ascii="Times New Roman" w:hAnsi="Times New Roman" w:cs="Times New Roman"/>
          <w:b/>
          <w:color w:val="000000" w:themeColor="text1"/>
          <w:lang w:val="uk-UA"/>
        </w:rPr>
        <w:t>ими антитромбоцитарними препаратами та антикоагулянтами</w:t>
      </w:r>
    </w:p>
    <w:p w14:paraId="5B2BAA71" w14:textId="77777777" w:rsidR="00D31DA1" w:rsidRDefault="00D31DA1" w:rsidP="005312A2">
      <w:pPr>
        <w:tabs>
          <w:tab w:val="left" w:pos="1089"/>
        </w:tabs>
        <w:ind w:left="360"/>
        <w:jc w:val="both"/>
        <w:rPr>
          <w:rFonts w:ascii="Times New Roman" w:hAnsi="Times New Roman" w:cs="Times New Roman"/>
          <w:b/>
          <w:color w:val="000000" w:themeColor="text1"/>
          <w:lang w:val="uk-UA"/>
        </w:rPr>
      </w:pPr>
    </w:p>
    <w:tbl>
      <w:tblPr>
        <w:tblStyle w:val="a6"/>
        <w:tblW w:w="0" w:type="auto"/>
        <w:tblInd w:w="279" w:type="dxa"/>
        <w:tblLayout w:type="fixed"/>
        <w:tblLook w:val="04A0" w:firstRow="1" w:lastRow="0" w:firstColumn="1" w:lastColumn="0" w:noHBand="0" w:noVBand="1"/>
      </w:tblPr>
      <w:tblGrid>
        <w:gridCol w:w="2131"/>
        <w:gridCol w:w="992"/>
        <w:gridCol w:w="851"/>
        <w:gridCol w:w="850"/>
        <w:gridCol w:w="851"/>
        <w:gridCol w:w="850"/>
        <w:gridCol w:w="851"/>
        <w:gridCol w:w="850"/>
      </w:tblGrid>
      <w:tr w:rsidR="008630C6" w14:paraId="2F565DE2" w14:textId="77777777" w:rsidTr="00666A11">
        <w:tc>
          <w:tcPr>
            <w:tcW w:w="2131" w:type="dxa"/>
            <w:tcBorders>
              <w:bottom w:val="single" w:sz="8" w:space="0" w:color="auto"/>
            </w:tcBorders>
            <w:vAlign w:val="center"/>
          </w:tcPr>
          <w:p w14:paraId="3C9096E5" w14:textId="77777777" w:rsidR="008630C6" w:rsidRPr="00002FE3" w:rsidRDefault="008630C6" w:rsidP="003A669B">
            <w:pPr>
              <w:spacing w:beforeAutospacing="1" w:afterAutospacing="1"/>
              <w:jc w:val="center"/>
              <w:textAlignment w:val="baseline"/>
              <w:rPr>
                <w:rFonts w:ascii="Times New Roman" w:hAnsi="Times New Roman" w:cs="Times New Roman"/>
                <w:b/>
                <w:color w:val="000000" w:themeColor="text1"/>
                <w:sz w:val="22"/>
                <w:szCs w:val="22"/>
                <w:lang w:val="uk-UA" w:eastAsia="ru-RU"/>
              </w:rPr>
            </w:pPr>
          </w:p>
        </w:tc>
        <w:tc>
          <w:tcPr>
            <w:tcW w:w="992" w:type="dxa"/>
            <w:tcBorders>
              <w:bottom w:val="single" w:sz="8" w:space="0" w:color="auto"/>
            </w:tcBorders>
            <w:vAlign w:val="center"/>
          </w:tcPr>
          <w:p w14:paraId="11F9A9EF" w14:textId="77777777" w:rsidR="008630C6" w:rsidRPr="00002FE3" w:rsidRDefault="008630C6" w:rsidP="003A669B">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w:t>
            </w:r>
          </w:p>
        </w:tc>
        <w:tc>
          <w:tcPr>
            <w:tcW w:w="851" w:type="dxa"/>
            <w:tcBorders>
              <w:bottom w:val="single" w:sz="8" w:space="0" w:color="auto"/>
            </w:tcBorders>
            <w:vAlign w:val="center"/>
          </w:tcPr>
          <w:p w14:paraId="31F8E807" w14:textId="77777777" w:rsidR="008630C6" w:rsidRPr="00002FE3" w:rsidRDefault="008630C6" w:rsidP="003A669B">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SOF/LDV</w:t>
            </w:r>
          </w:p>
        </w:tc>
        <w:tc>
          <w:tcPr>
            <w:tcW w:w="850" w:type="dxa"/>
            <w:tcBorders>
              <w:bottom w:val="single" w:sz="8" w:space="0" w:color="auto"/>
            </w:tcBorders>
            <w:vAlign w:val="center"/>
          </w:tcPr>
          <w:p w14:paraId="34EA22D8" w14:textId="77777777" w:rsidR="008630C6" w:rsidRPr="00002FE3" w:rsidRDefault="008630C6" w:rsidP="003A669B">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SOF/VEL</w:t>
            </w:r>
          </w:p>
        </w:tc>
        <w:tc>
          <w:tcPr>
            <w:tcW w:w="851" w:type="dxa"/>
            <w:tcBorders>
              <w:bottom w:val="single" w:sz="8" w:space="0" w:color="auto"/>
            </w:tcBorders>
            <w:vAlign w:val="center"/>
          </w:tcPr>
          <w:p w14:paraId="15478B31" w14:textId="77777777" w:rsidR="008630C6" w:rsidRPr="00002FE3" w:rsidRDefault="008630C6" w:rsidP="003A669B">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OBV/PTV/r+</w:t>
            </w:r>
            <w:r w:rsidRPr="00002FE3">
              <w:rPr>
                <w:rFonts w:ascii="Times New Roman" w:hAnsi="Times New Roman" w:cs="Times New Roman"/>
                <w:b/>
                <w:color w:val="000000" w:themeColor="text1"/>
                <w:sz w:val="22"/>
                <w:szCs w:val="22"/>
                <w:lang w:val="uk-UA" w:eastAsia="ru-RU"/>
              </w:rPr>
              <w:t xml:space="preserve"> </w:t>
            </w:r>
            <w:r w:rsidRPr="00002FE3">
              <w:rPr>
                <w:rFonts w:ascii="Times New Roman" w:hAnsi="Times New Roman" w:cs="Times New Roman"/>
                <w:b/>
                <w:color w:val="000000" w:themeColor="text1"/>
                <w:sz w:val="22"/>
                <w:szCs w:val="22"/>
                <w:lang w:val="it-IT" w:eastAsia="ru-RU"/>
              </w:rPr>
              <w:t>DSV</w:t>
            </w:r>
          </w:p>
        </w:tc>
        <w:tc>
          <w:tcPr>
            <w:tcW w:w="850" w:type="dxa"/>
            <w:tcBorders>
              <w:bottom w:val="single" w:sz="8" w:space="0" w:color="auto"/>
            </w:tcBorders>
            <w:vAlign w:val="center"/>
          </w:tcPr>
          <w:p w14:paraId="74B39EA7" w14:textId="77777777" w:rsidR="008630C6" w:rsidRPr="00002FE3" w:rsidRDefault="008630C6" w:rsidP="003A669B">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GZR/EBR</w:t>
            </w:r>
          </w:p>
        </w:tc>
        <w:tc>
          <w:tcPr>
            <w:tcW w:w="851" w:type="dxa"/>
            <w:tcBorders>
              <w:bottom w:val="single" w:sz="8" w:space="0" w:color="auto"/>
            </w:tcBorders>
            <w:vAlign w:val="center"/>
          </w:tcPr>
          <w:p w14:paraId="29DA744A" w14:textId="77777777" w:rsidR="008630C6" w:rsidRPr="00002FE3" w:rsidRDefault="008630C6" w:rsidP="003A669B">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SOF/VEL/VOX</w:t>
            </w:r>
          </w:p>
        </w:tc>
        <w:tc>
          <w:tcPr>
            <w:tcW w:w="850" w:type="dxa"/>
            <w:tcBorders>
              <w:bottom w:val="single" w:sz="8" w:space="0" w:color="auto"/>
            </w:tcBorders>
            <w:vAlign w:val="center"/>
          </w:tcPr>
          <w:p w14:paraId="3CAC0C08" w14:textId="77777777" w:rsidR="008630C6" w:rsidRPr="00002FE3" w:rsidRDefault="008630C6" w:rsidP="003A669B">
            <w:pPr>
              <w:spacing w:beforeAutospacing="1" w:afterAutospacing="1"/>
              <w:jc w:val="center"/>
              <w:textAlignment w:val="baseline"/>
              <w:rPr>
                <w:rFonts w:ascii="Times New Roman" w:hAnsi="Times New Roman" w:cs="Times New Roman"/>
                <w:b/>
                <w:color w:val="000000" w:themeColor="text1"/>
                <w:sz w:val="22"/>
                <w:szCs w:val="22"/>
                <w:lang w:val="it-IT" w:eastAsia="ru-RU"/>
              </w:rPr>
            </w:pPr>
            <w:r w:rsidRPr="00002FE3">
              <w:rPr>
                <w:rFonts w:ascii="Times New Roman" w:hAnsi="Times New Roman" w:cs="Times New Roman"/>
                <w:b/>
                <w:color w:val="000000" w:themeColor="text1"/>
                <w:sz w:val="22"/>
                <w:szCs w:val="22"/>
                <w:lang w:val="it-IT" w:eastAsia="ru-RU"/>
              </w:rPr>
              <w:t>GLE/PIB</w:t>
            </w:r>
          </w:p>
        </w:tc>
      </w:tr>
      <w:tr w:rsidR="008630C6" w14:paraId="60771100" w14:textId="77777777" w:rsidTr="00666A11">
        <w:tc>
          <w:tcPr>
            <w:tcW w:w="2131" w:type="dxa"/>
            <w:tcBorders>
              <w:top w:val="single" w:sz="8" w:space="0" w:color="auto"/>
              <w:left w:val="single" w:sz="8" w:space="0" w:color="auto"/>
              <w:bottom w:val="single" w:sz="8" w:space="0" w:color="auto"/>
              <w:right w:val="single" w:sz="8" w:space="0" w:color="auto"/>
            </w:tcBorders>
            <w:vAlign w:val="center"/>
          </w:tcPr>
          <w:p w14:paraId="1F5C6BD0" w14:textId="77A11DED" w:rsidR="008630C6" w:rsidRPr="00002FE3" w:rsidRDefault="008630C6" w:rsidP="003A669B">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Клопідогрель</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37A0D3B1" w14:textId="77777777" w:rsidR="008630C6" w:rsidRPr="00002FE3" w:rsidRDefault="008630C6" w:rsidP="003A669B">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FE611EE" w14:textId="77777777" w:rsidR="008630C6" w:rsidRPr="00002FE3" w:rsidRDefault="008630C6" w:rsidP="003A669B">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84AAF21" w14:textId="77777777" w:rsidR="008630C6" w:rsidRPr="00002FE3" w:rsidRDefault="008630C6" w:rsidP="003A669B">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42D4C65" w14:textId="30EB2940" w:rsidR="008630C6" w:rsidRPr="00002FE3" w:rsidRDefault="00A222FC" w:rsidP="003A669B">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117D01">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68D89C80" w14:textId="77777777" w:rsidR="008630C6" w:rsidRPr="00002FE3" w:rsidRDefault="008630C6" w:rsidP="003A669B">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6A4A99">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58F8C439" w14:textId="77777777" w:rsidR="008630C6" w:rsidRPr="00002FE3" w:rsidRDefault="008630C6" w:rsidP="003A669B">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6A4A99">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5A8CA3DC" w14:textId="77777777" w:rsidR="008630C6" w:rsidRPr="00002FE3" w:rsidRDefault="008630C6" w:rsidP="003A669B">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6A4A99">
              <w:rPr>
                <w:rFonts w:ascii="Times New Roman" w:hAnsi="Times New Roman" w:cs="Times New Roman"/>
                <w:b/>
                <w:color w:val="000000" w:themeColor="text1"/>
                <w:sz w:val="22"/>
                <w:szCs w:val="22"/>
                <w:lang w:val="uk-UA" w:eastAsia="ru-RU"/>
              </w:rPr>
              <w:t>♦</w:t>
            </w:r>
          </w:p>
        </w:tc>
      </w:tr>
      <w:tr w:rsidR="00A222FC" w14:paraId="4225178E" w14:textId="77777777" w:rsidTr="00666A11">
        <w:tc>
          <w:tcPr>
            <w:tcW w:w="2131" w:type="dxa"/>
            <w:tcBorders>
              <w:top w:val="single" w:sz="8" w:space="0" w:color="auto"/>
              <w:left w:val="single" w:sz="8" w:space="0" w:color="auto"/>
              <w:bottom w:val="single" w:sz="8" w:space="0" w:color="auto"/>
              <w:right w:val="single" w:sz="8" w:space="0" w:color="auto"/>
            </w:tcBorders>
            <w:vAlign w:val="center"/>
          </w:tcPr>
          <w:p w14:paraId="52D42449" w14:textId="53EA4365"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Дабігатран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2F80E4F4" w14:textId="77777777"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EDC35B6" w14:textId="75E87A14"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951DAC">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105757C" w14:textId="23DC9FB7"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46B71">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29790551" w14:textId="77777777"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2CDC427" w14:textId="782EB650"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593387">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F5050"/>
          </w:tcPr>
          <w:p w14:paraId="4AEAC9D5" w14:textId="77777777"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6D5CC6">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F5050"/>
            <w:vAlign w:val="center"/>
          </w:tcPr>
          <w:p w14:paraId="2C4DDD07" w14:textId="5928764A"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6D5CC6">
              <w:rPr>
                <w:rFonts w:ascii="Times New Roman" w:hAnsi="Times New Roman" w:cs="Times New Roman"/>
                <w:b/>
                <w:color w:val="000000" w:themeColor="text1"/>
                <w:sz w:val="22"/>
                <w:szCs w:val="22"/>
                <w:lang w:val="uk-UA" w:eastAsia="ru-RU"/>
              </w:rPr>
              <w:t>●</w:t>
            </w:r>
          </w:p>
        </w:tc>
      </w:tr>
      <w:tr w:rsidR="00A222FC" w14:paraId="5E375FCD" w14:textId="77777777" w:rsidTr="00666A11">
        <w:tc>
          <w:tcPr>
            <w:tcW w:w="2131" w:type="dxa"/>
            <w:tcBorders>
              <w:top w:val="single" w:sz="8" w:space="0" w:color="auto"/>
              <w:left w:val="single" w:sz="8" w:space="0" w:color="auto"/>
              <w:bottom w:val="single" w:sz="8" w:space="0" w:color="auto"/>
              <w:right w:val="single" w:sz="8" w:space="0" w:color="auto"/>
            </w:tcBorders>
            <w:vAlign w:val="center"/>
          </w:tcPr>
          <w:p w14:paraId="24057D67" w14:textId="04AA94B4"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Тікагрелор</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01A89198" w14:textId="77777777"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AE61809" w14:textId="0C455034"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951DAC">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834E45E" w14:textId="1B059FA2"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46B71">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F5050"/>
          </w:tcPr>
          <w:p w14:paraId="1029B9F3" w14:textId="3AB5B539"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C7C24">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BCF63EA" w14:textId="4A5F617C"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593387">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E38CA2B" w14:textId="47990619"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89097A">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73B0BC5E" w14:textId="5923E92D"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21216">
              <w:rPr>
                <w:rFonts w:ascii="Times New Roman" w:hAnsi="Times New Roman" w:cs="Times New Roman"/>
                <w:b/>
                <w:color w:val="000000" w:themeColor="text1"/>
                <w:sz w:val="22"/>
                <w:szCs w:val="22"/>
                <w:lang w:val="uk-UA" w:eastAsia="ru-RU"/>
              </w:rPr>
              <w:t>■</w:t>
            </w:r>
          </w:p>
        </w:tc>
      </w:tr>
      <w:tr w:rsidR="00A222FC" w14:paraId="6E188841" w14:textId="77777777" w:rsidTr="00666A11">
        <w:tc>
          <w:tcPr>
            <w:tcW w:w="2131" w:type="dxa"/>
            <w:tcBorders>
              <w:top w:val="single" w:sz="8" w:space="0" w:color="auto"/>
              <w:left w:val="single" w:sz="8" w:space="0" w:color="auto"/>
              <w:bottom w:val="single" w:sz="8" w:space="0" w:color="auto"/>
              <w:right w:val="single" w:sz="8" w:space="0" w:color="auto"/>
            </w:tcBorders>
            <w:vAlign w:val="center"/>
          </w:tcPr>
          <w:p w14:paraId="0D632CD8" w14:textId="3AC381D9"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Рівароксабан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30BC0721" w14:textId="77777777"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86A3A5B" w14:textId="79F9069C"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951DAC">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E4D85D4" w14:textId="72BBF955"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46B71">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F5050"/>
          </w:tcPr>
          <w:p w14:paraId="5F140EE0" w14:textId="66287EC4"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C7C24">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F8B80B1" w14:textId="513F74AD"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593387">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5D4CD8F" w14:textId="136C059D"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89097A">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FDEB6D3" w14:textId="308ED0E5"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21216">
              <w:rPr>
                <w:rFonts w:ascii="Times New Roman" w:hAnsi="Times New Roman" w:cs="Times New Roman"/>
                <w:b/>
                <w:color w:val="000000" w:themeColor="text1"/>
                <w:sz w:val="22"/>
                <w:szCs w:val="22"/>
                <w:lang w:val="uk-UA" w:eastAsia="ru-RU"/>
              </w:rPr>
              <w:t>■</w:t>
            </w:r>
          </w:p>
        </w:tc>
      </w:tr>
      <w:tr w:rsidR="00A222FC" w14:paraId="5042DDDF" w14:textId="77777777" w:rsidTr="00666A11">
        <w:tc>
          <w:tcPr>
            <w:tcW w:w="2131" w:type="dxa"/>
            <w:tcBorders>
              <w:top w:val="single" w:sz="8" w:space="0" w:color="auto"/>
              <w:left w:val="single" w:sz="8" w:space="0" w:color="auto"/>
              <w:bottom w:val="single" w:sz="8" w:space="0" w:color="auto"/>
              <w:right w:val="single" w:sz="8" w:space="0" w:color="auto"/>
            </w:tcBorders>
            <w:vAlign w:val="center"/>
          </w:tcPr>
          <w:p w14:paraId="3E300A05" w14:textId="39104EC1"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Апіксибан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53FD2494" w14:textId="77777777"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1711589" w14:textId="774825B8"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951DAC">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5A540574" w14:textId="677BD19D"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46B71">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F5050"/>
          </w:tcPr>
          <w:p w14:paraId="6462276D" w14:textId="5E18D339"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C7C24">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48F7D35" w14:textId="693C91ED"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593387">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FC3105A" w14:textId="77777777"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117D01">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9572C14" w14:textId="3B0D5609"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21216">
              <w:rPr>
                <w:rFonts w:ascii="Times New Roman" w:hAnsi="Times New Roman" w:cs="Times New Roman"/>
                <w:b/>
                <w:color w:val="000000" w:themeColor="text1"/>
                <w:sz w:val="22"/>
                <w:szCs w:val="22"/>
                <w:lang w:val="uk-UA" w:eastAsia="ru-RU"/>
              </w:rPr>
              <w:t>■</w:t>
            </w:r>
          </w:p>
        </w:tc>
      </w:tr>
      <w:tr w:rsidR="00A222FC" w14:paraId="7025DE7B" w14:textId="77777777" w:rsidTr="00666A11">
        <w:tc>
          <w:tcPr>
            <w:tcW w:w="2131" w:type="dxa"/>
            <w:tcBorders>
              <w:top w:val="single" w:sz="8" w:space="0" w:color="auto"/>
              <w:left w:val="single" w:sz="8" w:space="0" w:color="auto"/>
              <w:bottom w:val="single" w:sz="8" w:space="0" w:color="auto"/>
              <w:right w:val="single" w:sz="8" w:space="0" w:color="auto"/>
            </w:tcBorders>
            <w:vAlign w:val="center"/>
          </w:tcPr>
          <w:p w14:paraId="30468F5A" w14:textId="082AD654"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Едоксабан</w:t>
            </w:r>
          </w:p>
        </w:tc>
        <w:tc>
          <w:tcPr>
            <w:tcW w:w="992"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1DF63348" w14:textId="77777777"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02FE3">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91A24DB" w14:textId="04E76E49"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951DAC">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B0494EA" w14:textId="7AA44871"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46B71">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09D1A70F" w14:textId="77777777"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117D01">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B0299F4" w14:textId="339263AD"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593387">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F5050"/>
          </w:tcPr>
          <w:p w14:paraId="3DD905A0" w14:textId="7C2437A0"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6D5CC6">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9B998C0" w14:textId="6AF00EC6"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21216">
              <w:rPr>
                <w:rFonts w:ascii="Times New Roman" w:hAnsi="Times New Roman" w:cs="Times New Roman"/>
                <w:b/>
                <w:color w:val="000000" w:themeColor="text1"/>
                <w:sz w:val="22"/>
                <w:szCs w:val="22"/>
                <w:lang w:val="uk-UA" w:eastAsia="ru-RU"/>
              </w:rPr>
              <w:t>■</w:t>
            </w:r>
          </w:p>
        </w:tc>
      </w:tr>
      <w:tr w:rsidR="00A222FC" w14:paraId="5D14829B" w14:textId="77777777" w:rsidTr="00666A11">
        <w:tc>
          <w:tcPr>
            <w:tcW w:w="2131" w:type="dxa"/>
            <w:tcBorders>
              <w:top w:val="single" w:sz="8" w:space="0" w:color="auto"/>
              <w:left w:val="single" w:sz="8" w:space="0" w:color="auto"/>
              <w:bottom w:val="single" w:sz="8" w:space="0" w:color="auto"/>
              <w:right w:val="single" w:sz="8" w:space="0" w:color="auto"/>
            </w:tcBorders>
            <w:vAlign w:val="center"/>
          </w:tcPr>
          <w:p w14:paraId="517FA96E" w14:textId="768E010A" w:rsidR="00A222FC"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Варфарин</w:t>
            </w:r>
          </w:p>
        </w:tc>
        <w:tc>
          <w:tcPr>
            <w:tcW w:w="992"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2993BE53" w14:textId="4EF524AC"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117D01">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3F93611" w14:textId="3D7E9520"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951DAC">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A9C01B2" w14:textId="0B7C1C21" w:rsidR="00A222FC" w:rsidRPr="00002FE3"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046B71">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DF9C322" w14:textId="7DCF1C63" w:rsidR="00A222FC" w:rsidRPr="00117D01"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117D01">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31BFD568" w14:textId="1206A82F" w:rsidR="00A222FC" w:rsidRPr="00117D01"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593387">
              <w:rPr>
                <w:rFonts w:ascii="Times New Roman" w:hAnsi="Times New Roman" w:cs="Times New Roman"/>
                <w:b/>
                <w:color w:val="000000" w:themeColor="text1"/>
                <w:sz w:val="22"/>
                <w:szCs w:val="22"/>
                <w:lang w:val="uk-UA" w:eastAsia="ru-RU"/>
              </w:rPr>
              <w:t>■</w:t>
            </w:r>
          </w:p>
        </w:tc>
        <w:tc>
          <w:tcPr>
            <w:tcW w:w="851"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276AB965" w14:textId="68591A79" w:rsidR="00A222FC" w:rsidRPr="00117D01"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117D01">
              <w:rPr>
                <w:rFonts w:ascii="Times New Roman" w:hAnsi="Times New Roman" w:cs="Times New Roman"/>
                <w:b/>
                <w:color w:val="000000" w:themeColor="text1"/>
                <w:sz w:val="22"/>
                <w:szCs w:val="22"/>
                <w:lang w:val="uk-UA" w:eastAsia="ru-RU"/>
              </w:rPr>
              <w:t>■</w:t>
            </w:r>
          </w:p>
        </w:tc>
        <w:tc>
          <w:tcPr>
            <w:tcW w:w="85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44571D86" w14:textId="1673A61D" w:rsidR="00A222FC" w:rsidRPr="00117D01" w:rsidRDefault="00A222FC" w:rsidP="00A222FC">
            <w:pPr>
              <w:spacing w:beforeAutospacing="1" w:afterAutospacing="1"/>
              <w:jc w:val="center"/>
              <w:textAlignment w:val="baseline"/>
              <w:rPr>
                <w:rFonts w:ascii="Times New Roman" w:hAnsi="Times New Roman" w:cs="Times New Roman"/>
                <w:b/>
                <w:color w:val="000000" w:themeColor="text1"/>
                <w:sz w:val="22"/>
                <w:szCs w:val="22"/>
                <w:lang w:val="uk-UA" w:eastAsia="ru-RU"/>
              </w:rPr>
            </w:pPr>
            <w:r w:rsidRPr="00C21216">
              <w:rPr>
                <w:rFonts w:ascii="Times New Roman" w:hAnsi="Times New Roman" w:cs="Times New Roman"/>
                <w:b/>
                <w:color w:val="000000" w:themeColor="text1"/>
                <w:sz w:val="22"/>
                <w:szCs w:val="22"/>
                <w:lang w:val="uk-UA" w:eastAsia="ru-RU"/>
              </w:rPr>
              <w:t>■</w:t>
            </w:r>
          </w:p>
        </w:tc>
      </w:tr>
    </w:tbl>
    <w:p w14:paraId="7AE55EB8" w14:textId="77777777" w:rsidR="008630C6" w:rsidRPr="00EC4E32" w:rsidRDefault="008630C6" w:rsidP="005312A2">
      <w:pPr>
        <w:tabs>
          <w:tab w:val="left" w:pos="1089"/>
        </w:tabs>
        <w:ind w:left="360"/>
        <w:jc w:val="both"/>
        <w:rPr>
          <w:rFonts w:ascii="Times New Roman" w:hAnsi="Times New Roman" w:cs="Times New Roman"/>
          <w:color w:val="000000" w:themeColor="text1"/>
          <w:lang w:val="uk-UA"/>
        </w:rPr>
      </w:pPr>
    </w:p>
    <w:tbl>
      <w:tblPr>
        <w:tblStyle w:val="a6"/>
        <w:tblW w:w="0" w:type="auto"/>
        <w:tblInd w:w="279" w:type="dxa"/>
        <w:tblLook w:val="04A0" w:firstRow="1" w:lastRow="0" w:firstColumn="1" w:lastColumn="0" w:noHBand="0" w:noVBand="1"/>
      </w:tblPr>
      <w:tblGrid>
        <w:gridCol w:w="486"/>
        <w:gridCol w:w="9060"/>
      </w:tblGrid>
      <w:tr w:rsidR="00A222FC" w14:paraId="13E3CED5" w14:textId="77777777" w:rsidTr="00811C12">
        <w:tc>
          <w:tcPr>
            <w:tcW w:w="486" w:type="dxa"/>
            <w:shd w:val="clear" w:color="auto" w:fill="C5E0B3" w:themeFill="accent6" w:themeFillTint="66"/>
          </w:tcPr>
          <w:p w14:paraId="145936CE" w14:textId="77777777" w:rsidR="00A222FC" w:rsidRDefault="00A222FC" w:rsidP="003A669B">
            <w:pPr>
              <w:spacing w:beforeAutospacing="1" w:afterAutospacing="1"/>
              <w:jc w:val="center"/>
              <w:textAlignment w:val="baseline"/>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3D983987" w14:textId="77777777" w:rsidR="00A222FC" w:rsidRDefault="00A222FC" w:rsidP="003A669B">
            <w:pPr>
              <w:tabs>
                <w:tab w:val="left" w:pos="1089"/>
              </w:tabs>
              <w:jc w:val="both"/>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Ніяких клінічно значущих взаємодій не очікується.</w:t>
            </w:r>
          </w:p>
        </w:tc>
      </w:tr>
      <w:tr w:rsidR="00A222FC" w14:paraId="064B6A67" w14:textId="77777777" w:rsidTr="00811C12">
        <w:tc>
          <w:tcPr>
            <w:tcW w:w="486" w:type="dxa"/>
            <w:shd w:val="clear" w:color="auto" w:fill="F4B083" w:themeFill="accent2" w:themeFillTint="99"/>
          </w:tcPr>
          <w:p w14:paraId="25826C3D" w14:textId="77777777" w:rsidR="00A222FC" w:rsidRDefault="00A222FC" w:rsidP="003A669B">
            <w:pPr>
              <w:tabs>
                <w:tab w:val="left" w:pos="1089"/>
              </w:tabs>
              <w:jc w:val="center"/>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177F361B" w14:textId="46C6515A" w:rsidR="00A222FC" w:rsidRDefault="00DD7838" w:rsidP="003A669B">
            <w:pPr>
              <w:tabs>
                <w:tab w:val="left" w:pos="1089"/>
              </w:tabs>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Потенційна взаємодія, яка може потребувати регулювання дози, змін</w:t>
            </w:r>
            <w:r>
              <w:rPr>
                <w:rFonts w:ascii="Times New Roman" w:hAnsi="Times New Roman" w:cs="Times New Roman"/>
                <w:color w:val="000000" w:themeColor="text1"/>
                <w:lang w:val="uk-UA"/>
              </w:rPr>
              <w:t xml:space="preserve">и </w:t>
            </w:r>
            <w:r w:rsidRPr="00F15C59">
              <w:rPr>
                <w:rFonts w:ascii="Times New Roman" w:hAnsi="Times New Roman" w:cs="Times New Roman"/>
                <w:color w:val="000000" w:themeColor="text1"/>
                <w:lang w:val="uk-UA"/>
              </w:rPr>
              <w:t xml:space="preserve">часу </w:t>
            </w:r>
            <w:r>
              <w:rPr>
                <w:rFonts w:ascii="Times New Roman" w:hAnsi="Times New Roman" w:cs="Times New Roman"/>
                <w:color w:val="000000" w:themeColor="text1"/>
                <w:lang w:val="uk-UA"/>
              </w:rPr>
              <w:t>вживання</w:t>
            </w:r>
            <w:r w:rsidRPr="00F15C59">
              <w:rPr>
                <w:rFonts w:ascii="Times New Roman" w:hAnsi="Times New Roman" w:cs="Times New Roman"/>
                <w:color w:val="000000" w:themeColor="text1"/>
                <w:lang w:val="uk-UA"/>
              </w:rPr>
              <w:t xml:space="preserve"> або додатков</w:t>
            </w:r>
            <w:r>
              <w:rPr>
                <w:rFonts w:ascii="Times New Roman" w:hAnsi="Times New Roman" w:cs="Times New Roman"/>
                <w:color w:val="000000" w:themeColor="text1"/>
                <w:lang w:val="uk-UA"/>
              </w:rPr>
              <w:t>ого</w:t>
            </w:r>
            <w:r w:rsidRPr="00F15C59">
              <w:rPr>
                <w:rFonts w:ascii="Times New Roman" w:hAnsi="Times New Roman" w:cs="Times New Roman"/>
                <w:color w:val="000000" w:themeColor="text1"/>
                <w:lang w:val="uk-UA"/>
              </w:rPr>
              <w:t xml:space="preserve"> контрол</w:t>
            </w:r>
            <w:r>
              <w:rPr>
                <w:rFonts w:ascii="Times New Roman" w:hAnsi="Times New Roman" w:cs="Times New Roman"/>
                <w:color w:val="000000" w:themeColor="text1"/>
                <w:lang w:val="uk-UA"/>
              </w:rPr>
              <w:t>ю</w:t>
            </w:r>
            <w:r w:rsidRPr="00F15C59">
              <w:rPr>
                <w:rFonts w:ascii="Times New Roman" w:hAnsi="Times New Roman" w:cs="Times New Roman"/>
                <w:color w:val="000000" w:themeColor="text1"/>
                <w:lang w:val="uk-UA"/>
              </w:rPr>
              <w:t>.</w:t>
            </w:r>
          </w:p>
        </w:tc>
      </w:tr>
      <w:tr w:rsidR="00A222FC" w14:paraId="66DCE982" w14:textId="77777777" w:rsidTr="00811C12">
        <w:tc>
          <w:tcPr>
            <w:tcW w:w="486" w:type="dxa"/>
            <w:shd w:val="clear" w:color="auto" w:fill="FF5050"/>
          </w:tcPr>
          <w:p w14:paraId="163D9490" w14:textId="77777777" w:rsidR="00A222FC" w:rsidRDefault="00A222FC" w:rsidP="003A669B">
            <w:pPr>
              <w:tabs>
                <w:tab w:val="left" w:pos="1089"/>
              </w:tabs>
              <w:jc w:val="center"/>
              <w:rPr>
                <w:rFonts w:ascii="Times New Roman" w:hAnsi="Times New Roman" w:cs="Times New Roman"/>
                <w:color w:val="000000" w:themeColor="text1"/>
                <w:lang w:val="uk-UA"/>
              </w:rPr>
            </w:pPr>
            <w:r w:rsidRPr="00002FE3">
              <w:rPr>
                <w:rFonts w:ascii="Times New Roman" w:hAnsi="Times New Roman" w:cs="Times New Roman"/>
                <w:b/>
                <w:color w:val="000000" w:themeColor="text1"/>
                <w:sz w:val="22"/>
                <w:szCs w:val="22"/>
                <w:lang w:val="uk-UA" w:eastAsia="ru-RU"/>
              </w:rPr>
              <w:t>●</w:t>
            </w:r>
          </w:p>
        </w:tc>
        <w:tc>
          <w:tcPr>
            <w:tcW w:w="9060" w:type="dxa"/>
          </w:tcPr>
          <w:p w14:paraId="5379130E" w14:textId="77777777" w:rsidR="00A222FC" w:rsidRDefault="00A222FC" w:rsidP="003A669B">
            <w:pPr>
              <w:tabs>
                <w:tab w:val="left" w:pos="1089"/>
              </w:tabs>
              <w:jc w:val="both"/>
              <w:rPr>
                <w:rFonts w:ascii="Times New Roman" w:hAnsi="Times New Roman" w:cs="Times New Roman"/>
                <w:color w:val="000000" w:themeColor="text1"/>
                <w:lang w:val="uk-UA"/>
              </w:rPr>
            </w:pPr>
            <w:r w:rsidRPr="00F15C59">
              <w:rPr>
                <w:rFonts w:ascii="Times New Roman" w:hAnsi="Times New Roman" w:cs="Times New Roman"/>
                <w:color w:val="000000" w:themeColor="text1"/>
                <w:lang w:val="uk-UA"/>
              </w:rPr>
              <w:t>Ці препарати н</w:t>
            </w:r>
            <w:r>
              <w:rPr>
                <w:rFonts w:ascii="Times New Roman" w:hAnsi="Times New Roman" w:cs="Times New Roman"/>
                <w:color w:val="000000" w:themeColor="text1"/>
                <w:lang w:val="uk-UA"/>
              </w:rPr>
              <w:t>е повинні застосовуватися разом</w:t>
            </w:r>
            <w:r w:rsidRPr="00F15C59">
              <w:rPr>
                <w:rFonts w:ascii="Times New Roman" w:hAnsi="Times New Roman" w:cs="Times New Roman"/>
                <w:color w:val="000000" w:themeColor="text1"/>
                <w:lang w:val="uk-UA"/>
              </w:rPr>
              <w:t>.</w:t>
            </w:r>
          </w:p>
        </w:tc>
      </w:tr>
    </w:tbl>
    <w:p w14:paraId="7D448265" w14:textId="66540DBB" w:rsidR="005312A2" w:rsidRPr="00D005A1" w:rsidRDefault="005312A2" w:rsidP="005312A2">
      <w:pPr>
        <w:tabs>
          <w:tab w:val="left" w:pos="1089"/>
        </w:tabs>
        <w:ind w:left="360"/>
        <w:rPr>
          <w:rFonts w:ascii="Times New Roman" w:hAnsi="Times New Roman" w:cs="Times New Roman"/>
          <w:color w:val="000000" w:themeColor="text1"/>
        </w:rPr>
      </w:pPr>
    </w:p>
    <w:p w14:paraId="09ED4C5D" w14:textId="3AF3A277" w:rsidR="005312A2" w:rsidRPr="005312A2" w:rsidRDefault="00811C12" w:rsidP="00811C12">
      <w:pPr>
        <w:tabs>
          <w:tab w:val="left" w:pos="1089"/>
        </w:tabs>
        <w:ind w:left="142" w:hanging="142"/>
        <w:jc w:val="both"/>
        <w:rPr>
          <w:rFonts w:ascii="Times New Roman" w:hAnsi="Times New Roman" w:cs="Times New Roman"/>
          <w:i/>
          <w:color w:val="000000" w:themeColor="text1"/>
          <w:sz w:val="20"/>
          <w:szCs w:val="20"/>
          <w:lang w:val="uk-UA"/>
        </w:rPr>
      </w:pPr>
      <w:r>
        <w:rPr>
          <w:rFonts w:ascii="Times New Roman" w:hAnsi="Times New Roman" w:cs="Times New Roman"/>
          <w:i/>
          <w:color w:val="000000" w:themeColor="text1"/>
          <w:sz w:val="20"/>
          <w:szCs w:val="20"/>
          <w:lang w:val="uk-UA"/>
        </w:rPr>
        <w:tab/>
      </w:r>
      <w:r w:rsidR="005312A2" w:rsidRPr="00DA6F76">
        <w:rPr>
          <w:rFonts w:ascii="Times New Roman" w:hAnsi="Times New Roman" w:cs="Times New Roman"/>
          <w:i/>
          <w:color w:val="000000" w:themeColor="text1"/>
          <w:sz w:val="20"/>
          <w:szCs w:val="20"/>
          <w:lang w:val="uk-UA"/>
        </w:rPr>
        <w:t>Примітки. Деякі лікарські засоби можуть вимагати зміни дози залежно від функції печінки. Будь ласка, звертайтеся до інформації, яка вказана в інформаційному листку препарату щодо рекомендованих доз. Символи (зелений, помаранчевий, червоний), що використовуються в таблиці для оцінки клінічного значення взаємодії ліків створені на основі www.hep</w:t>
      </w:r>
      <w:r w:rsidR="00FC6D8A">
        <w:rPr>
          <w:rFonts w:ascii="Times New Roman" w:hAnsi="Times New Roman" w:cs="Times New Roman"/>
          <w:i/>
          <w:color w:val="000000" w:themeColor="text1"/>
          <w:sz w:val="20"/>
          <w:szCs w:val="20"/>
          <w:lang w:val="uk-UA"/>
        </w:rPr>
        <w:t>–</w:t>
      </w:r>
      <w:r w:rsidR="005312A2" w:rsidRPr="00DA6F76">
        <w:rPr>
          <w:rFonts w:ascii="Times New Roman" w:hAnsi="Times New Roman" w:cs="Times New Roman"/>
          <w:i/>
          <w:color w:val="000000" w:themeColor="text1"/>
          <w:sz w:val="20"/>
          <w:szCs w:val="20"/>
          <w:lang w:val="uk-UA"/>
        </w:rPr>
        <w:t>druginteractions.org (University of Liverpool). У випадку потреби у додатковій інформації стосовно взаємодій між лікарськими засобами для більш широкого кола препаратів, а також щодо докладних даних про фармакокінетичну взаємодію та коригування доз, звертайтеся до вищезазначеного веб</w:t>
      </w:r>
      <w:r w:rsidR="00FC6D8A">
        <w:rPr>
          <w:rFonts w:ascii="Times New Roman" w:hAnsi="Times New Roman" w:cs="Times New Roman"/>
          <w:i/>
          <w:color w:val="000000" w:themeColor="text1"/>
          <w:sz w:val="20"/>
          <w:szCs w:val="20"/>
          <w:lang w:val="uk-UA"/>
        </w:rPr>
        <w:t>–</w:t>
      </w:r>
      <w:r w:rsidR="005312A2" w:rsidRPr="00DA6F76">
        <w:rPr>
          <w:rFonts w:ascii="Times New Roman" w:hAnsi="Times New Roman" w:cs="Times New Roman"/>
          <w:i/>
          <w:color w:val="000000" w:themeColor="text1"/>
          <w:sz w:val="20"/>
          <w:szCs w:val="20"/>
          <w:lang w:val="uk-UA"/>
        </w:rPr>
        <w:t>сайту</w:t>
      </w:r>
    </w:p>
    <w:p w14:paraId="6AC260B5" w14:textId="77777777" w:rsidR="009E2836" w:rsidRDefault="009E2836" w:rsidP="00F53078">
      <w:pPr>
        <w:tabs>
          <w:tab w:val="left" w:pos="1089"/>
        </w:tabs>
        <w:ind w:left="360"/>
        <w:jc w:val="both"/>
        <w:rPr>
          <w:rFonts w:ascii="Times New Roman" w:hAnsi="Times New Roman" w:cs="Times New Roman"/>
          <w:color w:val="000000" w:themeColor="text1"/>
          <w:lang w:val="uk-UA"/>
        </w:rPr>
      </w:pPr>
    </w:p>
    <w:p w14:paraId="38363DED" w14:textId="62A8D98E" w:rsidR="008B0252" w:rsidRPr="008B0252" w:rsidRDefault="008B0252" w:rsidP="008B0252">
      <w:pPr>
        <w:tabs>
          <w:tab w:val="left" w:pos="1089"/>
        </w:tabs>
        <w:ind w:left="360"/>
        <w:rPr>
          <w:rFonts w:ascii="Times New Roman" w:hAnsi="Times New Roman" w:cs="Times New Roman"/>
          <w:b/>
          <w:color w:val="2E74B5" w:themeColor="accent1" w:themeShade="BF"/>
          <w:lang w:val="uk-UA"/>
        </w:rPr>
      </w:pPr>
      <w:r w:rsidRPr="008B0252">
        <w:rPr>
          <w:rFonts w:ascii="Times New Roman" w:hAnsi="Times New Roman" w:cs="Times New Roman"/>
          <w:b/>
          <w:color w:val="2E74B5" w:themeColor="accent1" w:themeShade="BF"/>
          <w:lang w:val="uk-UA"/>
        </w:rPr>
        <w:t>Софосбувір, велпатасвір і воксілапревір</w:t>
      </w:r>
    </w:p>
    <w:p w14:paraId="5DECCCE2" w14:textId="77777777" w:rsidR="008B0252" w:rsidRDefault="008B0252" w:rsidP="008B0252">
      <w:pPr>
        <w:tabs>
          <w:tab w:val="left" w:pos="1089"/>
        </w:tabs>
        <w:ind w:left="360"/>
        <w:rPr>
          <w:rFonts w:ascii="Times New Roman" w:hAnsi="Times New Roman" w:cs="Times New Roman"/>
          <w:color w:val="000000" w:themeColor="text1"/>
          <w:lang w:val="uk-UA"/>
        </w:rPr>
      </w:pPr>
    </w:p>
    <w:p w14:paraId="13F27B1A" w14:textId="48590DF7" w:rsidR="008B0252" w:rsidRPr="008B0252" w:rsidRDefault="008B0252" w:rsidP="00F53078">
      <w:pPr>
        <w:tabs>
          <w:tab w:val="left" w:pos="1089"/>
        </w:tabs>
        <w:ind w:left="360"/>
        <w:jc w:val="both"/>
        <w:rPr>
          <w:rFonts w:ascii="Times New Roman" w:hAnsi="Times New Roman" w:cs="Times New Roman"/>
          <w:color w:val="000000" w:themeColor="text1"/>
          <w:lang w:val="uk-UA"/>
        </w:rPr>
      </w:pPr>
      <w:r w:rsidRPr="008B0252">
        <w:rPr>
          <w:rFonts w:ascii="Times New Roman" w:hAnsi="Times New Roman" w:cs="Times New Roman"/>
          <w:color w:val="000000" w:themeColor="text1"/>
          <w:lang w:val="uk-UA"/>
        </w:rPr>
        <w:t xml:space="preserve">Софосбувір, </w:t>
      </w:r>
      <w:r w:rsidRPr="009F1038">
        <w:rPr>
          <w:rFonts w:ascii="Times New Roman" w:hAnsi="Times New Roman" w:cs="Times New Roman"/>
          <w:color w:val="000000" w:themeColor="text1"/>
          <w:lang w:val="uk-UA"/>
        </w:rPr>
        <w:t>велпатасвір</w:t>
      </w:r>
      <w:r w:rsidRPr="008B0252">
        <w:rPr>
          <w:rFonts w:ascii="Times New Roman" w:hAnsi="Times New Roman" w:cs="Times New Roman"/>
          <w:color w:val="000000" w:themeColor="text1"/>
          <w:lang w:val="uk-UA"/>
        </w:rPr>
        <w:t xml:space="preserve"> і воксілапревір доступні </w:t>
      </w:r>
      <w:r w:rsidR="00FF5BA0">
        <w:rPr>
          <w:rFonts w:ascii="Times New Roman" w:hAnsi="Times New Roman" w:cs="Times New Roman"/>
          <w:color w:val="000000" w:themeColor="text1"/>
          <w:lang w:val="uk-UA"/>
        </w:rPr>
        <w:t>у</w:t>
      </w:r>
      <w:r w:rsidRPr="008B0252">
        <w:rPr>
          <w:rFonts w:ascii="Times New Roman" w:hAnsi="Times New Roman" w:cs="Times New Roman"/>
          <w:color w:val="000000" w:themeColor="text1"/>
          <w:lang w:val="uk-UA"/>
        </w:rPr>
        <w:t xml:space="preserve"> к</w:t>
      </w:r>
      <w:r>
        <w:rPr>
          <w:rFonts w:ascii="Times New Roman" w:hAnsi="Times New Roman" w:cs="Times New Roman"/>
          <w:color w:val="000000" w:themeColor="text1"/>
          <w:lang w:val="uk-UA"/>
        </w:rPr>
        <w:t>омбінації з фіксованою дозою трьох препаратів</w:t>
      </w:r>
      <w:r w:rsidRPr="008B0252">
        <w:rPr>
          <w:rFonts w:ascii="Times New Roman" w:hAnsi="Times New Roman" w:cs="Times New Roman"/>
          <w:color w:val="000000" w:themeColor="text1"/>
          <w:lang w:val="uk-UA"/>
        </w:rPr>
        <w:t xml:space="preserve">, що містять 400 мг софосбувіру, 100 мг </w:t>
      </w:r>
      <w:r w:rsidRPr="009F1038">
        <w:rPr>
          <w:rFonts w:ascii="Times New Roman" w:hAnsi="Times New Roman" w:cs="Times New Roman"/>
          <w:color w:val="000000" w:themeColor="text1"/>
          <w:lang w:val="uk-UA"/>
        </w:rPr>
        <w:t>велпатасвір</w:t>
      </w:r>
      <w:r>
        <w:rPr>
          <w:rFonts w:ascii="Times New Roman" w:hAnsi="Times New Roman" w:cs="Times New Roman"/>
          <w:color w:val="000000" w:themeColor="text1"/>
          <w:lang w:val="uk-UA"/>
        </w:rPr>
        <w:t>у</w:t>
      </w:r>
      <w:r w:rsidRPr="008B0252">
        <w:rPr>
          <w:rFonts w:ascii="Times New Roman" w:hAnsi="Times New Roman" w:cs="Times New Roman"/>
          <w:color w:val="000000" w:themeColor="text1"/>
          <w:lang w:val="uk-UA"/>
        </w:rPr>
        <w:t xml:space="preserve"> та 100 мг воксілапревіру в одній таблетці. Рекомендована доза цієї комбінації </w:t>
      </w:r>
      <w:r w:rsidR="00FC6D8A">
        <w:rPr>
          <w:rFonts w:ascii="Times New Roman" w:hAnsi="Times New Roman" w:cs="Times New Roman"/>
          <w:color w:val="000000" w:themeColor="text1"/>
          <w:lang w:val="uk-UA"/>
        </w:rPr>
        <w:t>–</w:t>
      </w:r>
      <w:r w:rsidRPr="008B0252">
        <w:rPr>
          <w:rFonts w:ascii="Times New Roman" w:hAnsi="Times New Roman" w:cs="Times New Roman"/>
          <w:color w:val="000000" w:themeColor="text1"/>
          <w:lang w:val="uk-UA"/>
        </w:rPr>
        <w:t xml:space="preserve"> одна таблетка, що приймається перорально один раз на добу з їжею, оскільки експозиція </w:t>
      </w:r>
      <w:r w:rsidR="00666A11">
        <w:rPr>
          <w:rFonts w:ascii="Times New Roman" w:hAnsi="Times New Roman" w:cs="Times New Roman"/>
          <w:color w:val="000000" w:themeColor="text1"/>
          <w:lang w:val="uk-UA"/>
        </w:rPr>
        <w:t xml:space="preserve">в </w:t>
      </w:r>
      <w:r w:rsidRPr="008B0252">
        <w:rPr>
          <w:rFonts w:ascii="Times New Roman" w:hAnsi="Times New Roman" w:cs="Times New Roman"/>
          <w:color w:val="000000" w:themeColor="text1"/>
          <w:lang w:val="uk-UA"/>
        </w:rPr>
        <w:t>плазм</w:t>
      </w:r>
      <w:r w:rsidR="00666A11">
        <w:rPr>
          <w:rFonts w:ascii="Times New Roman" w:hAnsi="Times New Roman" w:cs="Times New Roman"/>
          <w:color w:val="000000" w:themeColor="text1"/>
          <w:lang w:val="uk-UA"/>
        </w:rPr>
        <w:t>і</w:t>
      </w:r>
      <w:r w:rsidRPr="008B0252">
        <w:rPr>
          <w:rFonts w:ascii="Times New Roman" w:hAnsi="Times New Roman" w:cs="Times New Roman"/>
          <w:color w:val="000000" w:themeColor="text1"/>
          <w:lang w:val="uk-UA"/>
        </w:rPr>
        <w:t xml:space="preserve"> крові (AUC) і максимальна концентрація (C</w:t>
      </w:r>
      <w:r w:rsidRPr="008B0252">
        <w:rPr>
          <w:rFonts w:ascii="Times New Roman" w:hAnsi="Times New Roman" w:cs="Times New Roman"/>
          <w:b/>
          <w:color w:val="000000" w:themeColor="text1"/>
          <w:vertAlign w:val="subscript"/>
          <w:lang w:val="uk-UA"/>
        </w:rPr>
        <w:t>max</w:t>
      </w:r>
      <w:r>
        <w:rPr>
          <w:rFonts w:ascii="Times New Roman" w:hAnsi="Times New Roman" w:cs="Times New Roman"/>
          <w:color w:val="000000" w:themeColor="text1"/>
          <w:lang w:val="uk-UA"/>
        </w:rPr>
        <w:t xml:space="preserve">) </w:t>
      </w:r>
      <w:r w:rsidRPr="008B0252">
        <w:rPr>
          <w:rFonts w:ascii="Times New Roman" w:hAnsi="Times New Roman" w:cs="Times New Roman"/>
          <w:color w:val="000000" w:themeColor="text1"/>
          <w:lang w:val="uk-UA"/>
        </w:rPr>
        <w:t>воксілапревір</w:t>
      </w:r>
      <w:r>
        <w:rPr>
          <w:rFonts w:ascii="Times New Roman" w:hAnsi="Times New Roman" w:cs="Times New Roman"/>
          <w:color w:val="000000" w:themeColor="text1"/>
          <w:lang w:val="uk-UA"/>
        </w:rPr>
        <w:t>у</w:t>
      </w:r>
      <w:r w:rsidRPr="008B0252">
        <w:rPr>
          <w:rFonts w:ascii="Times New Roman" w:hAnsi="Times New Roman" w:cs="Times New Roman"/>
          <w:color w:val="000000" w:themeColor="text1"/>
          <w:lang w:val="uk-UA"/>
        </w:rPr>
        <w:t xml:space="preserve"> становили </w:t>
      </w:r>
      <w:r>
        <w:rPr>
          <w:rFonts w:ascii="Times New Roman" w:hAnsi="Times New Roman" w:cs="Times New Roman"/>
          <w:color w:val="000000" w:themeColor="text1"/>
          <w:lang w:val="uk-UA"/>
        </w:rPr>
        <w:t xml:space="preserve">від 112% та 435%, і відповідно від 147% до 680% </w:t>
      </w:r>
      <w:r w:rsidR="00666A11">
        <w:rPr>
          <w:rFonts w:ascii="Times New Roman" w:hAnsi="Times New Roman" w:cs="Times New Roman"/>
          <w:color w:val="000000" w:themeColor="text1"/>
          <w:lang w:val="uk-UA"/>
        </w:rPr>
        <w:t xml:space="preserve">під час прийому </w:t>
      </w:r>
      <w:r w:rsidRPr="008B0252">
        <w:rPr>
          <w:rFonts w:ascii="Times New Roman" w:hAnsi="Times New Roman" w:cs="Times New Roman"/>
          <w:color w:val="000000" w:themeColor="text1"/>
          <w:lang w:val="uk-UA"/>
        </w:rPr>
        <w:t>їжі.</w:t>
      </w:r>
    </w:p>
    <w:p w14:paraId="76564899" w14:textId="77777777" w:rsidR="008B0252" w:rsidRDefault="008B0252" w:rsidP="00F53078">
      <w:pPr>
        <w:tabs>
          <w:tab w:val="left" w:pos="1089"/>
        </w:tabs>
        <w:ind w:left="360"/>
        <w:jc w:val="both"/>
        <w:rPr>
          <w:rFonts w:ascii="Times New Roman" w:hAnsi="Times New Roman" w:cs="Times New Roman"/>
          <w:color w:val="000000" w:themeColor="text1"/>
          <w:lang w:val="uk-UA"/>
        </w:rPr>
      </w:pPr>
    </w:p>
    <w:p w14:paraId="637D1AE3" w14:textId="5F6D10B1" w:rsidR="0022147F" w:rsidRDefault="008B0252" w:rsidP="00F53078">
      <w:pPr>
        <w:tabs>
          <w:tab w:val="left" w:pos="1089"/>
        </w:tabs>
        <w:ind w:left="360"/>
        <w:jc w:val="both"/>
        <w:rPr>
          <w:rFonts w:ascii="Times New Roman" w:hAnsi="Times New Roman" w:cs="Times New Roman"/>
          <w:color w:val="000000" w:themeColor="text1"/>
          <w:lang w:val="uk-UA"/>
        </w:rPr>
      </w:pPr>
      <w:r w:rsidRPr="008B0252">
        <w:rPr>
          <w:rFonts w:ascii="Times New Roman" w:hAnsi="Times New Roman" w:cs="Times New Roman"/>
          <w:color w:val="000000" w:themeColor="text1"/>
          <w:lang w:val="uk-UA"/>
        </w:rPr>
        <w:t xml:space="preserve">Специфічна фармакокінетична інформація, що стосується </w:t>
      </w:r>
      <w:r w:rsidR="00FF5BA0" w:rsidRPr="008B0252">
        <w:rPr>
          <w:rFonts w:ascii="Times New Roman" w:hAnsi="Times New Roman" w:cs="Times New Roman"/>
          <w:color w:val="000000" w:themeColor="text1"/>
          <w:lang w:val="uk-UA"/>
        </w:rPr>
        <w:t>софосбу</w:t>
      </w:r>
      <w:r w:rsidR="00FF5BA0">
        <w:rPr>
          <w:rFonts w:ascii="Times New Roman" w:hAnsi="Times New Roman" w:cs="Times New Roman"/>
          <w:color w:val="000000" w:themeColor="text1"/>
          <w:lang w:val="uk-UA"/>
        </w:rPr>
        <w:t>віру</w:t>
      </w:r>
      <w:r w:rsidR="00FF5BA0" w:rsidRPr="008B0252">
        <w:rPr>
          <w:rFonts w:ascii="Times New Roman" w:hAnsi="Times New Roman" w:cs="Times New Roman"/>
          <w:color w:val="000000" w:themeColor="text1"/>
          <w:lang w:val="uk-UA"/>
        </w:rPr>
        <w:t xml:space="preserve"> </w:t>
      </w:r>
      <w:r w:rsidRPr="008B0252">
        <w:rPr>
          <w:rFonts w:ascii="Times New Roman" w:hAnsi="Times New Roman" w:cs="Times New Roman"/>
          <w:color w:val="000000" w:themeColor="text1"/>
          <w:lang w:val="uk-UA"/>
        </w:rPr>
        <w:t xml:space="preserve">і </w:t>
      </w:r>
      <w:r w:rsidRPr="009F1038">
        <w:rPr>
          <w:rFonts w:ascii="Times New Roman" w:hAnsi="Times New Roman" w:cs="Times New Roman"/>
          <w:color w:val="000000" w:themeColor="text1"/>
          <w:lang w:val="uk-UA"/>
        </w:rPr>
        <w:t>велпатасвір</w:t>
      </w:r>
      <w:r>
        <w:rPr>
          <w:rFonts w:ascii="Times New Roman" w:hAnsi="Times New Roman" w:cs="Times New Roman"/>
          <w:color w:val="000000" w:themeColor="text1"/>
          <w:lang w:val="uk-UA"/>
        </w:rPr>
        <w:t>у</w:t>
      </w:r>
      <w:r w:rsidRPr="008B0252">
        <w:rPr>
          <w:rFonts w:ascii="Times New Roman" w:hAnsi="Times New Roman" w:cs="Times New Roman"/>
          <w:color w:val="000000" w:themeColor="text1"/>
          <w:lang w:val="uk-UA"/>
        </w:rPr>
        <w:t>, обгов</w:t>
      </w:r>
      <w:r>
        <w:rPr>
          <w:rFonts w:ascii="Times New Roman" w:hAnsi="Times New Roman" w:cs="Times New Roman"/>
          <w:color w:val="000000" w:themeColor="text1"/>
          <w:lang w:val="uk-UA"/>
        </w:rPr>
        <w:t>орюється в попередніх розділах. В</w:t>
      </w:r>
      <w:r w:rsidRPr="008B0252">
        <w:rPr>
          <w:rFonts w:ascii="Times New Roman" w:hAnsi="Times New Roman" w:cs="Times New Roman"/>
          <w:color w:val="000000" w:themeColor="text1"/>
          <w:lang w:val="uk-UA"/>
        </w:rPr>
        <w:t>оксілапревір</w:t>
      </w:r>
      <w:r>
        <w:rPr>
          <w:rFonts w:ascii="Times New Roman" w:hAnsi="Times New Roman" w:cs="Times New Roman"/>
          <w:color w:val="000000" w:themeColor="text1"/>
          <w:lang w:val="uk-UA"/>
        </w:rPr>
        <w:t xml:space="preserve"> метаболюється</w:t>
      </w:r>
      <w:r w:rsidRPr="008B0252">
        <w:rPr>
          <w:rFonts w:ascii="Times New Roman" w:hAnsi="Times New Roman" w:cs="Times New Roman"/>
          <w:color w:val="000000" w:themeColor="text1"/>
          <w:lang w:val="uk-UA"/>
        </w:rPr>
        <w:t xml:space="preserve"> in vitro </w:t>
      </w:r>
      <w:r>
        <w:rPr>
          <w:rFonts w:ascii="Times New Roman" w:hAnsi="Times New Roman" w:cs="Times New Roman"/>
          <w:color w:val="000000" w:themeColor="text1"/>
          <w:lang w:val="uk-UA"/>
        </w:rPr>
        <w:t xml:space="preserve">через </w:t>
      </w:r>
      <w:r w:rsidRPr="008B0252">
        <w:rPr>
          <w:rFonts w:ascii="Times New Roman" w:hAnsi="Times New Roman" w:cs="Times New Roman"/>
          <w:color w:val="000000" w:themeColor="text1"/>
          <w:lang w:val="uk-UA"/>
        </w:rPr>
        <w:t xml:space="preserve">CYP3A4, </w:t>
      </w:r>
      <w:r>
        <w:rPr>
          <w:rFonts w:ascii="Times New Roman" w:hAnsi="Times New Roman" w:cs="Times New Roman"/>
          <w:color w:val="000000" w:themeColor="text1"/>
          <w:lang w:val="uk-UA"/>
        </w:rPr>
        <w:t>з переважною більшістю препарату</w:t>
      </w:r>
      <w:r w:rsidRPr="008B0252">
        <w:rPr>
          <w:rFonts w:ascii="Times New Roman" w:hAnsi="Times New Roman" w:cs="Times New Roman"/>
          <w:color w:val="000000" w:themeColor="text1"/>
          <w:lang w:val="uk-UA"/>
        </w:rPr>
        <w:t xml:space="preserve"> у плазмі </w:t>
      </w:r>
      <w:r>
        <w:rPr>
          <w:rFonts w:ascii="Times New Roman" w:hAnsi="Times New Roman" w:cs="Times New Roman"/>
          <w:color w:val="000000" w:themeColor="text1"/>
          <w:lang w:val="uk-UA"/>
        </w:rPr>
        <w:t>крові</w:t>
      </w:r>
      <w:r w:rsidRPr="008B0252">
        <w:rPr>
          <w:rFonts w:ascii="Times New Roman" w:hAnsi="Times New Roman" w:cs="Times New Roman"/>
          <w:color w:val="000000" w:themeColor="text1"/>
          <w:lang w:val="uk-UA"/>
        </w:rPr>
        <w:t>. В</w:t>
      </w:r>
      <w:r w:rsidRPr="009F1038">
        <w:rPr>
          <w:rFonts w:ascii="Times New Roman" w:hAnsi="Times New Roman" w:cs="Times New Roman"/>
          <w:color w:val="000000" w:themeColor="text1"/>
          <w:lang w:val="uk-UA"/>
        </w:rPr>
        <w:t>елпатасвір</w:t>
      </w:r>
      <w:r w:rsidRPr="008B0252">
        <w:rPr>
          <w:rFonts w:ascii="Times New Roman" w:hAnsi="Times New Roman" w:cs="Times New Roman"/>
          <w:color w:val="000000" w:themeColor="text1"/>
          <w:lang w:val="uk-UA"/>
        </w:rPr>
        <w:t xml:space="preserve"> та воксі</w:t>
      </w:r>
      <w:r>
        <w:rPr>
          <w:rFonts w:ascii="Times New Roman" w:hAnsi="Times New Roman" w:cs="Times New Roman"/>
          <w:color w:val="000000" w:themeColor="text1"/>
          <w:lang w:val="uk-UA"/>
        </w:rPr>
        <w:t>лапревір транспортуються</w:t>
      </w:r>
      <w:r w:rsidRPr="008B0252">
        <w:rPr>
          <w:rFonts w:ascii="Times New Roman" w:hAnsi="Times New Roman" w:cs="Times New Roman"/>
          <w:color w:val="000000" w:themeColor="text1"/>
          <w:lang w:val="uk-UA"/>
        </w:rPr>
        <w:t xml:space="preserve"> P</w:t>
      </w:r>
      <w:r w:rsidR="00FC6D8A">
        <w:rPr>
          <w:rFonts w:ascii="Times New Roman" w:hAnsi="Times New Roman" w:cs="Times New Roman"/>
          <w:color w:val="000000" w:themeColor="text1"/>
          <w:lang w:val="uk-UA"/>
        </w:rPr>
        <w:t>–</w:t>
      </w:r>
      <w:r w:rsidRPr="008B0252">
        <w:rPr>
          <w:rFonts w:ascii="Times New Roman" w:hAnsi="Times New Roman" w:cs="Times New Roman"/>
          <w:color w:val="000000" w:themeColor="text1"/>
          <w:lang w:val="uk-UA"/>
        </w:rPr>
        <w:t>gp, BCRP, OATP1B1 та OATP1B3. Біліарна</w:t>
      </w:r>
      <w:r>
        <w:rPr>
          <w:rFonts w:ascii="Times New Roman" w:hAnsi="Times New Roman" w:cs="Times New Roman"/>
          <w:color w:val="000000" w:themeColor="text1"/>
          <w:lang w:val="uk-UA"/>
        </w:rPr>
        <w:t xml:space="preserve"> екскреція основного препарату є основним</w:t>
      </w:r>
      <w:r w:rsidRPr="008B0252">
        <w:rPr>
          <w:rFonts w:ascii="Times New Roman" w:hAnsi="Times New Roman" w:cs="Times New Roman"/>
          <w:color w:val="000000" w:themeColor="text1"/>
          <w:lang w:val="uk-UA"/>
        </w:rPr>
        <w:t xml:space="preserve"> шлях</w:t>
      </w:r>
      <w:r>
        <w:rPr>
          <w:rFonts w:ascii="Times New Roman" w:hAnsi="Times New Roman" w:cs="Times New Roman"/>
          <w:color w:val="000000" w:themeColor="text1"/>
          <w:lang w:val="uk-UA"/>
        </w:rPr>
        <w:t>ом виведення</w:t>
      </w:r>
      <w:r w:rsidRPr="008B0252">
        <w:rPr>
          <w:rFonts w:ascii="Times New Roman" w:hAnsi="Times New Roman" w:cs="Times New Roman"/>
          <w:color w:val="000000" w:themeColor="text1"/>
          <w:lang w:val="uk-UA"/>
        </w:rPr>
        <w:t xml:space="preserve"> воксілапревір</w:t>
      </w:r>
      <w:r>
        <w:rPr>
          <w:rFonts w:ascii="Times New Roman" w:hAnsi="Times New Roman" w:cs="Times New Roman"/>
          <w:color w:val="000000" w:themeColor="text1"/>
          <w:lang w:val="uk-UA"/>
        </w:rPr>
        <w:t>у</w:t>
      </w:r>
      <w:r w:rsidRPr="008B0252">
        <w:rPr>
          <w:rFonts w:ascii="Times New Roman" w:hAnsi="Times New Roman" w:cs="Times New Roman"/>
          <w:color w:val="000000" w:themeColor="text1"/>
          <w:lang w:val="uk-UA"/>
        </w:rPr>
        <w:t xml:space="preserve">. Середній </w:t>
      </w:r>
      <w:r>
        <w:rPr>
          <w:rFonts w:ascii="Times New Roman" w:hAnsi="Times New Roman" w:cs="Times New Roman"/>
          <w:color w:val="000000" w:themeColor="text1"/>
          <w:lang w:val="uk-UA"/>
        </w:rPr>
        <w:t>період</w:t>
      </w:r>
      <w:r w:rsidRPr="008B0252">
        <w:rPr>
          <w:rFonts w:ascii="Times New Roman" w:hAnsi="Times New Roman" w:cs="Times New Roman"/>
          <w:color w:val="000000" w:themeColor="text1"/>
          <w:lang w:val="uk-UA"/>
        </w:rPr>
        <w:t xml:space="preserve"> напіввиведення воксілапревіру після введення софосбувіру, </w:t>
      </w:r>
      <w:r w:rsidR="007B16CC" w:rsidRPr="009F1038">
        <w:rPr>
          <w:rFonts w:ascii="Times New Roman" w:hAnsi="Times New Roman" w:cs="Times New Roman"/>
          <w:color w:val="000000" w:themeColor="text1"/>
          <w:lang w:val="uk-UA"/>
        </w:rPr>
        <w:t>велпатасвір</w:t>
      </w:r>
      <w:r w:rsidR="007B16CC">
        <w:rPr>
          <w:rFonts w:ascii="Times New Roman" w:hAnsi="Times New Roman" w:cs="Times New Roman"/>
          <w:color w:val="000000" w:themeColor="text1"/>
          <w:lang w:val="uk-UA"/>
        </w:rPr>
        <w:t>у</w:t>
      </w:r>
      <w:r w:rsidRPr="008B0252">
        <w:rPr>
          <w:rFonts w:ascii="Times New Roman" w:hAnsi="Times New Roman" w:cs="Times New Roman"/>
          <w:color w:val="000000" w:themeColor="text1"/>
          <w:lang w:val="uk-UA"/>
        </w:rPr>
        <w:t xml:space="preserve"> та воксілапревіру становить приблизно 33 год</w:t>
      </w:r>
      <w:r w:rsidR="00162462">
        <w:rPr>
          <w:rFonts w:ascii="Times New Roman" w:hAnsi="Times New Roman" w:cs="Times New Roman"/>
          <w:color w:val="000000" w:themeColor="text1"/>
          <w:lang w:val="uk-UA"/>
        </w:rPr>
        <w:t>ини</w:t>
      </w:r>
      <w:r w:rsidRPr="008B0252">
        <w:rPr>
          <w:rFonts w:ascii="Times New Roman" w:hAnsi="Times New Roman" w:cs="Times New Roman"/>
          <w:color w:val="000000" w:themeColor="text1"/>
          <w:lang w:val="uk-UA"/>
        </w:rPr>
        <w:t>.</w:t>
      </w:r>
    </w:p>
    <w:p w14:paraId="5CEDBA0F" w14:textId="1B7993E0" w:rsidR="00D579BF" w:rsidRDefault="00D579BF" w:rsidP="008B0252">
      <w:pPr>
        <w:tabs>
          <w:tab w:val="left" w:pos="1089"/>
        </w:tabs>
        <w:ind w:left="360"/>
        <w:rPr>
          <w:rFonts w:ascii="Times New Roman" w:hAnsi="Times New Roman" w:cs="Times New Roman"/>
          <w:color w:val="000000" w:themeColor="text1"/>
          <w:lang w:val="uk-UA"/>
        </w:rPr>
      </w:pPr>
    </w:p>
    <w:p w14:paraId="222AB55E" w14:textId="5B7CAB71" w:rsidR="00666A11" w:rsidRDefault="00666A11" w:rsidP="008B0252">
      <w:pPr>
        <w:tabs>
          <w:tab w:val="left" w:pos="1089"/>
        </w:tabs>
        <w:ind w:left="360"/>
        <w:rPr>
          <w:rFonts w:ascii="Times New Roman" w:hAnsi="Times New Roman" w:cs="Times New Roman"/>
          <w:color w:val="000000" w:themeColor="text1"/>
          <w:lang w:val="uk-UA"/>
        </w:rPr>
      </w:pPr>
    </w:p>
    <w:p w14:paraId="58C9F527" w14:textId="56CEB09C" w:rsidR="00666A11" w:rsidRDefault="00666A11" w:rsidP="008B0252">
      <w:pPr>
        <w:tabs>
          <w:tab w:val="left" w:pos="1089"/>
        </w:tabs>
        <w:ind w:left="360"/>
        <w:rPr>
          <w:rFonts w:ascii="Times New Roman" w:hAnsi="Times New Roman" w:cs="Times New Roman"/>
          <w:color w:val="000000" w:themeColor="text1"/>
          <w:lang w:val="uk-UA"/>
        </w:rPr>
      </w:pPr>
    </w:p>
    <w:p w14:paraId="525A2989" w14:textId="67F856F1" w:rsidR="00666A11" w:rsidRDefault="00666A11" w:rsidP="008B0252">
      <w:pPr>
        <w:tabs>
          <w:tab w:val="left" w:pos="1089"/>
        </w:tabs>
        <w:ind w:left="360"/>
        <w:rPr>
          <w:rFonts w:ascii="Times New Roman" w:hAnsi="Times New Roman" w:cs="Times New Roman"/>
          <w:color w:val="000000" w:themeColor="text1"/>
          <w:lang w:val="uk-UA"/>
        </w:rPr>
      </w:pPr>
    </w:p>
    <w:p w14:paraId="3D2C4427" w14:textId="663F5585" w:rsidR="00666A11" w:rsidRDefault="00666A11" w:rsidP="008B0252">
      <w:pPr>
        <w:tabs>
          <w:tab w:val="left" w:pos="1089"/>
        </w:tabs>
        <w:ind w:left="360"/>
        <w:rPr>
          <w:rFonts w:ascii="Times New Roman" w:hAnsi="Times New Roman" w:cs="Times New Roman"/>
          <w:color w:val="000000" w:themeColor="text1"/>
          <w:lang w:val="uk-UA"/>
        </w:rPr>
      </w:pPr>
    </w:p>
    <w:p w14:paraId="26C0C8DA" w14:textId="4CE61E7F" w:rsidR="00666A11" w:rsidRDefault="00666A11" w:rsidP="008B0252">
      <w:pPr>
        <w:tabs>
          <w:tab w:val="left" w:pos="1089"/>
        </w:tabs>
        <w:ind w:left="360"/>
        <w:rPr>
          <w:rFonts w:ascii="Times New Roman" w:hAnsi="Times New Roman" w:cs="Times New Roman"/>
          <w:color w:val="000000" w:themeColor="text1"/>
          <w:lang w:val="uk-UA"/>
        </w:rPr>
      </w:pPr>
    </w:p>
    <w:p w14:paraId="332CDD08" w14:textId="5B284F26" w:rsidR="00666A11" w:rsidRDefault="00666A11" w:rsidP="008B0252">
      <w:pPr>
        <w:tabs>
          <w:tab w:val="left" w:pos="1089"/>
        </w:tabs>
        <w:ind w:left="360"/>
        <w:rPr>
          <w:rFonts w:ascii="Times New Roman" w:hAnsi="Times New Roman" w:cs="Times New Roman"/>
          <w:color w:val="000000" w:themeColor="text1"/>
          <w:lang w:val="uk-UA"/>
        </w:rPr>
      </w:pPr>
    </w:p>
    <w:p w14:paraId="34715D71" w14:textId="7C1A7C75" w:rsidR="00666A11" w:rsidRDefault="00666A11" w:rsidP="008B0252">
      <w:pPr>
        <w:tabs>
          <w:tab w:val="left" w:pos="1089"/>
        </w:tabs>
        <w:ind w:left="360"/>
        <w:rPr>
          <w:rFonts w:ascii="Times New Roman" w:hAnsi="Times New Roman" w:cs="Times New Roman"/>
          <w:color w:val="000000" w:themeColor="text1"/>
          <w:lang w:val="uk-UA"/>
        </w:rPr>
      </w:pPr>
    </w:p>
    <w:p w14:paraId="1F258E7D" w14:textId="77777777" w:rsidR="00666A11" w:rsidRDefault="00666A11" w:rsidP="008B0252">
      <w:pPr>
        <w:tabs>
          <w:tab w:val="left" w:pos="1089"/>
        </w:tabs>
        <w:ind w:left="360"/>
        <w:rPr>
          <w:rFonts w:ascii="Times New Roman" w:hAnsi="Times New Roman" w:cs="Times New Roman"/>
          <w:color w:val="000000" w:themeColor="text1"/>
          <w:lang w:val="uk-UA"/>
        </w:rPr>
      </w:pPr>
    </w:p>
    <w:p w14:paraId="70ACB4BA" w14:textId="5C0F20AA" w:rsidR="00D579BF" w:rsidRDefault="00D579BF" w:rsidP="00D579BF">
      <w:pPr>
        <w:tabs>
          <w:tab w:val="left" w:pos="1089"/>
        </w:tabs>
        <w:ind w:left="360"/>
        <w:rPr>
          <w:rFonts w:ascii="Times New Roman" w:hAnsi="Times New Roman" w:cs="Times New Roman"/>
          <w:color w:val="000000" w:themeColor="text1"/>
          <w:lang w:val="uk-UA"/>
        </w:rPr>
      </w:pPr>
      <w:r w:rsidRPr="00D579BF">
        <w:rPr>
          <w:rFonts w:ascii="Times New Roman" w:hAnsi="Times New Roman" w:cs="Times New Roman"/>
          <w:b/>
          <w:color w:val="000000" w:themeColor="text1"/>
          <w:lang w:val="uk-UA"/>
        </w:rPr>
        <w:lastRenderedPageBreak/>
        <w:t>Таблиця 5.</w:t>
      </w:r>
      <w:r>
        <w:rPr>
          <w:rFonts w:ascii="Times New Roman" w:hAnsi="Times New Roman" w:cs="Times New Roman"/>
          <w:color w:val="000000" w:themeColor="text1"/>
          <w:lang w:val="uk-UA"/>
        </w:rPr>
        <w:t xml:space="preserve"> </w:t>
      </w:r>
      <w:r w:rsidRPr="001A701C">
        <w:rPr>
          <w:rFonts w:ascii="Times New Roman" w:hAnsi="Times New Roman" w:cs="Times New Roman"/>
          <w:b/>
          <w:color w:val="000000" w:themeColor="text1"/>
          <w:lang w:val="uk-UA"/>
        </w:rPr>
        <w:t>Еквівалентність дозування серед інгібіторів протонно</w:t>
      </w:r>
      <w:r w:rsidR="00870D13">
        <w:rPr>
          <w:rFonts w:ascii="Times New Roman" w:hAnsi="Times New Roman" w:cs="Times New Roman"/>
          <w:b/>
          <w:color w:val="000000" w:themeColor="text1"/>
          <w:lang w:val="uk-UA"/>
        </w:rPr>
        <w:t>ї</w:t>
      </w:r>
      <w:r w:rsidRPr="001A701C">
        <w:rPr>
          <w:rFonts w:ascii="Times New Roman" w:hAnsi="Times New Roman" w:cs="Times New Roman"/>
          <w:b/>
          <w:color w:val="000000" w:themeColor="text1"/>
          <w:lang w:val="uk-UA"/>
        </w:rPr>
        <w:t xml:space="preserve"> </w:t>
      </w:r>
      <w:r w:rsidR="00870D13">
        <w:rPr>
          <w:rFonts w:ascii="Times New Roman" w:hAnsi="Times New Roman" w:cs="Times New Roman"/>
          <w:b/>
          <w:color w:val="000000" w:themeColor="text1"/>
          <w:lang w:val="uk-UA"/>
        </w:rPr>
        <w:t>помпи</w:t>
      </w:r>
      <w:r w:rsidRPr="001A701C">
        <w:rPr>
          <w:rFonts w:ascii="Times New Roman" w:hAnsi="Times New Roman" w:cs="Times New Roman"/>
          <w:b/>
          <w:color w:val="000000" w:themeColor="text1"/>
          <w:lang w:val="uk-UA"/>
        </w:rPr>
        <w:t xml:space="preserve"> та Н2 антагоністами</w:t>
      </w:r>
    </w:p>
    <w:p w14:paraId="2C9E3B02" w14:textId="77777777" w:rsidR="00D579BF" w:rsidRDefault="00D579BF" w:rsidP="00D579BF">
      <w:pPr>
        <w:tabs>
          <w:tab w:val="left" w:pos="1089"/>
        </w:tabs>
        <w:ind w:left="360"/>
        <w:rPr>
          <w:rFonts w:ascii="Times New Roman" w:hAnsi="Times New Roman" w:cs="Times New Roman"/>
          <w:color w:val="000000" w:themeColor="text1"/>
          <w:lang w:val="uk-UA"/>
        </w:rPr>
      </w:pPr>
    </w:p>
    <w:tbl>
      <w:tblPr>
        <w:tblW w:w="97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3829"/>
        <w:gridCol w:w="3015"/>
      </w:tblGrid>
      <w:tr w:rsidR="00D579BF" w14:paraId="1AD54EF5" w14:textId="77777777" w:rsidTr="00431693">
        <w:trPr>
          <w:trHeight w:val="410"/>
        </w:trPr>
        <w:tc>
          <w:tcPr>
            <w:tcW w:w="2939" w:type="dxa"/>
            <w:shd w:val="clear" w:color="auto" w:fill="BDD6EE" w:themeFill="accent1" w:themeFillTint="66"/>
          </w:tcPr>
          <w:p w14:paraId="4D4A83E2" w14:textId="77777777" w:rsidR="00D579BF" w:rsidRPr="001A694E" w:rsidRDefault="00D579BF" w:rsidP="00431693">
            <w:pPr>
              <w:tabs>
                <w:tab w:val="left" w:pos="1089"/>
              </w:tabs>
              <w:ind w:left="360" w:firstLine="708"/>
              <w:jc w:val="center"/>
              <w:rPr>
                <w:rFonts w:ascii="Times New Roman" w:hAnsi="Times New Roman" w:cs="Times New Roman"/>
                <w:color w:val="000000" w:themeColor="text1"/>
                <w:lang w:val="uk-UA"/>
              </w:rPr>
            </w:pPr>
          </w:p>
          <w:p w14:paraId="3EB24BDE" w14:textId="77777777" w:rsidR="00D579BF" w:rsidRDefault="00D579BF" w:rsidP="00431693">
            <w:pPr>
              <w:tabs>
                <w:tab w:val="left" w:pos="1089"/>
              </w:tabs>
              <w:ind w:left="36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Група препаратів</w:t>
            </w:r>
          </w:p>
        </w:tc>
        <w:tc>
          <w:tcPr>
            <w:tcW w:w="3829" w:type="dxa"/>
            <w:shd w:val="clear" w:color="auto" w:fill="BDD6EE" w:themeFill="accent1" w:themeFillTint="66"/>
          </w:tcPr>
          <w:p w14:paraId="59156A86" w14:textId="77777777" w:rsidR="00D579BF" w:rsidRDefault="00D579BF" w:rsidP="00431693">
            <w:pPr>
              <w:jc w:val="center"/>
              <w:rPr>
                <w:rFonts w:ascii="Times New Roman" w:hAnsi="Times New Roman" w:cs="Times New Roman"/>
                <w:color w:val="000000" w:themeColor="text1"/>
                <w:lang w:val="uk-UA"/>
              </w:rPr>
            </w:pPr>
          </w:p>
          <w:p w14:paraId="25A47F95" w14:textId="77777777" w:rsidR="00D579BF" w:rsidRDefault="00D579BF" w:rsidP="00431693">
            <w:pPr>
              <w:tabs>
                <w:tab w:val="left" w:pos="1089"/>
              </w:tabs>
              <w:ind w:left="360"/>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Препарат</w:t>
            </w:r>
          </w:p>
        </w:tc>
        <w:tc>
          <w:tcPr>
            <w:tcW w:w="3015" w:type="dxa"/>
            <w:shd w:val="clear" w:color="auto" w:fill="BDD6EE" w:themeFill="accent1" w:themeFillTint="66"/>
          </w:tcPr>
          <w:p w14:paraId="32BF35FF" w14:textId="77777777" w:rsidR="00D579BF" w:rsidRDefault="00D579BF" w:rsidP="00431693">
            <w:pPr>
              <w:jc w:val="center"/>
              <w:rPr>
                <w:rFonts w:ascii="Times New Roman" w:hAnsi="Times New Roman" w:cs="Times New Roman"/>
                <w:color w:val="000000" w:themeColor="text1"/>
                <w:lang w:val="uk-UA"/>
              </w:rPr>
            </w:pPr>
          </w:p>
          <w:p w14:paraId="6C873A52" w14:textId="77777777" w:rsidR="00D579BF" w:rsidRDefault="00D579BF" w:rsidP="00431693">
            <w:pPr>
              <w:tabs>
                <w:tab w:val="left" w:pos="1089"/>
              </w:tabs>
              <w:ind w:left="36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Дозування</w:t>
            </w:r>
          </w:p>
        </w:tc>
      </w:tr>
      <w:tr w:rsidR="00D579BF" w14:paraId="13505D21" w14:textId="77777777" w:rsidTr="00431693">
        <w:trPr>
          <w:trHeight w:val="207"/>
        </w:trPr>
        <w:tc>
          <w:tcPr>
            <w:tcW w:w="2939" w:type="dxa"/>
            <w:vMerge w:val="restart"/>
            <w:shd w:val="clear" w:color="auto" w:fill="E5DFED"/>
          </w:tcPr>
          <w:p w14:paraId="0442C787" w14:textId="77777777" w:rsidR="00D579BF" w:rsidRDefault="00D579BF" w:rsidP="00431693">
            <w:pPr>
              <w:tabs>
                <w:tab w:val="left" w:pos="1089"/>
              </w:tabs>
              <w:ind w:left="360"/>
              <w:rPr>
                <w:rFonts w:ascii="Times New Roman" w:hAnsi="Times New Roman" w:cs="Times New Roman"/>
                <w:color w:val="000000" w:themeColor="text1"/>
                <w:lang w:val="uk-UA"/>
              </w:rPr>
            </w:pPr>
          </w:p>
          <w:p w14:paraId="10ED3434" w14:textId="7DE46397" w:rsidR="00D579BF" w:rsidRDefault="00D579BF" w:rsidP="00690CF4">
            <w:pPr>
              <w:tabs>
                <w:tab w:val="left" w:pos="1089"/>
              </w:tabs>
              <w:rPr>
                <w:rFonts w:ascii="Times New Roman" w:hAnsi="Times New Roman" w:cs="Times New Roman"/>
                <w:color w:val="000000" w:themeColor="text1"/>
                <w:lang w:val="uk-UA"/>
              </w:rPr>
            </w:pPr>
            <w:r w:rsidRPr="008A50B6">
              <w:rPr>
                <w:rFonts w:ascii="Times New Roman" w:hAnsi="Times New Roman" w:cs="Times New Roman"/>
                <w:color w:val="000000" w:themeColor="text1"/>
                <w:lang w:val="uk-UA"/>
              </w:rPr>
              <w:t>Інгібітори протонно</w:t>
            </w:r>
            <w:r w:rsidR="00870D13">
              <w:rPr>
                <w:rFonts w:ascii="Times New Roman" w:hAnsi="Times New Roman" w:cs="Times New Roman"/>
                <w:color w:val="000000" w:themeColor="text1"/>
                <w:lang w:val="uk-UA"/>
              </w:rPr>
              <w:t>ї</w:t>
            </w:r>
            <w:r w:rsidRPr="008A50B6">
              <w:rPr>
                <w:rFonts w:ascii="Times New Roman" w:hAnsi="Times New Roman" w:cs="Times New Roman"/>
                <w:color w:val="000000" w:themeColor="text1"/>
                <w:lang w:val="uk-UA"/>
              </w:rPr>
              <w:t xml:space="preserve"> </w:t>
            </w:r>
            <w:r w:rsidR="00870D13">
              <w:rPr>
                <w:rFonts w:ascii="Times New Roman" w:hAnsi="Times New Roman" w:cs="Times New Roman"/>
                <w:color w:val="000000" w:themeColor="text1"/>
                <w:lang w:val="uk-UA"/>
              </w:rPr>
              <w:t>помпи</w:t>
            </w:r>
            <w:r w:rsidRPr="008A50B6">
              <w:rPr>
                <w:rFonts w:ascii="Times New Roman" w:hAnsi="Times New Roman" w:cs="Times New Roman"/>
                <w:color w:val="000000" w:themeColor="text1"/>
                <w:lang w:val="uk-UA"/>
              </w:rPr>
              <w:t xml:space="preserve"> (омепразол у дозуванні,</w:t>
            </w:r>
            <w:r>
              <w:rPr>
                <w:rFonts w:ascii="Times New Roman" w:hAnsi="Times New Roman" w:cs="Times New Roman"/>
                <w:color w:val="000000" w:themeColor="text1"/>
                <w:lang w:val="uk-UA"/>
              </w:rPr>
              <w:t xml:space="preserve"> еквівалентному 20 мг один раз на день)</w:t>
            </w:r>
          </w:p>
          <w:p w14:paraId="76F85E2B" w14:textId="77777777" w:rsidR="00D579BF" w:rsidRDefault="00D579BF" w:rsidP="00431693">
            <w:pPr>
              <w:tabs>
                <w:tab w:val="left" w:pos="1089"/>
              </w:tabs>
              <w:ind w:left="360"/>
              <w:rPr>
                <w:rFonts w:ascii="Times New Roman" w:hAnsi="Times New Roman" w:cs="Times New Roman"/>
                <w:color w:val="000000" w:themeColor="text1"/>
                <w:lang w:val="uk-UA"/>
              </w:rPr>
            </w:pPr>
          </w:p>
          <w:p w14:paraId="31418910" w14:textId="77777777" w:rsidR="00D579BF" w:rsidRDefault="00D579BF" w:rsidP="00431693">
            <w:pPr>
              <w:tabs>
                <w:tab w:val="left" w:pos="1089"/>
              </w:tabs>
              <w:ind w:left="360"/>
              <w:rPr>
                <w:rFonts w:ascii="Times New Roman" w:hAnsi="Times New Roman" w:cs="Times New Roman"/>
                <w:color w:val="000000" w:themeColor="text1"/>
                <w:lang w:val="uk-UA"/>
              </w:rPr>
            </w:pPr>
          </w:p>
          <w:p w14:paraId="3A3404F4" w14:textId="77777777" w:rsidR="00D579BF" w:rsidRPr="001A694E" w:rsidRDefault="00D579BF" w:rsidP="00431693">
            <w:pPr>
              <w:tabs>
                <w:tab w:val="left" w:pos="1089"/>
              </w:tabs>
              <w:ind w:left="360"/>
              <w:rPr>
                <w:rFonts w:ascii="Times New Roman" w:hAnsi="Times New Roman" w:cs="Times New Roman"/>
                <w:color w:val="000000" w:themeColor="text1"/>
                <w:lang w:val="uk-UA"/>
              </w:rPr>
            </w:pPr>
          </w:p>
        </w:tc>
        <w:tc>
          <w:tcPr>
            <w:tcW w:w="3829" w:type="dxa"/>
            <w:vAlign w:val="bottom"/>
          </w:tcPr>
          <w:p w14:paraId="78AECBD2" w14:textId="77777777" w:rsidR="00D579BF" w:rsidRDefault="00D579BF" w:rsidP="00431693">
            <w:pPr>
              <w:tabs>
                <w:tab w:val="left" w:pos="1089"/>
              </w:tabs>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w:t>
            </w:r>
          </w:p>
          <w:p w14:paraId="64CE268E" w14:textId="77777777" w:rsidR="00D579BF" w:rsidRDefault="00D579BF" w:rsidP="00431693">
            <w:pPr>
              <w:tabs>
                <w:tab w:val="left" w:pos="1089"/>
              </w:tabs>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Омепразол</w:t>
            </w:r>
          </w:p>
          <w:p w14:paraId="53AA0BBF" w14:textId="77777777" w:rsidR="00D579BF" w:rsidRPr="001A694E" w:rsidRDefault="00D579BF" w:rsidP="00431693">
            <w:pPr>
              <w:tabs>
                <w:tab w:val="left" w:pos="1089"/>
              </w:tabs>
              <w:jc w:val="center"/>
              <w:rPr>
                <w:rFonts w:ascii="Times New Roman" w:hAnsi="Times New Roman" w:cs="Times New Roman"/>
                <w:color w:val="000000" w:themeColor="text1"/>
                <w:lang w:val="uk-UA"/>
              </w:rPr>
            </w:pPr>
          </w:p>
        </w:tc>
        <w:tc>
          <w:tcPr>
            <w:tcW w:w="3015" w:type="dxa"/>
          </w:tcPr>
          <w:p w14:paraId="3D918963" w14:textId="77777777" w:rsidR="00D579BF" w:rsidRPr="001A694E" w:rsidRDefault="00D579BF" w:rsidP="00431693">
            <w:pPr>
              <w:tabs>
                <w:tab w:val="left" w:pos="1089"/>
              </w:tabs>
              <w:ind w:left="36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 мг один раз на день</w:t>
            </w:r>
          </w:p>
        </w:tc>
      </w:tr>
      <w:tr w:rsidR="00D579BF" w14:paraId="2868C95B" w14:textId="77777777" w:rsidTr="00431693">
        <w:trPr>
          <w:trHeight w:val="322"/>
        </w:trPr>
        <w:tc>
          <w:tcPr>
            <w:tcW w:w="2939" w:type="dxa"/>
            <w:vMerge/>
            <w:shd w:val="clear" w:color="auto" w:fill="E5DFED"/>
          </w:tcPr>
          <w:p w14:paraId="0D117D61" w14:textId="77777777" w:rsidR="00D579BF" w:rsidRDefault="00D579BF" w:rsidP="00431693">
            <w:pPr>
              <w:tabs>
                <w:tab w:val="left" w:pos="1089"/>
              </w:tabs>
              <w:ind w:left="360"/>
              <w:rPr>
                <w:rFonts w:ascii="Times New Roman" w:hAnsi="Times New Roman" w:cs="Times New Roman"/>
                <w:color w:val="000000" w:themeColor="text1"/>
                <w:lang w:val="uk-UA"/>
              </w:rPr>
            </w:pPr>
          </w:p>
        </w:tc>
        <w:tc>
          <w:tcPr>
            <w:tcW w:w="3829" w:type="dxa"/>
            <w:shd w:val="clear" w:color="auto" w:fill="E5DFED"/>
            <w:vAlign w:val="bottom"/>
          </w:tcPr>
          <w:p w14:paraId="7303A32A" w14:textId="77777777" w:rsidR="00D579BF" w:rsidRDefault="00D579BF" w:rsidP="00431693">
            <w:pPr>
              <w:tabs>
                <w:tab w:val="left" w:pos="1089"/>
              </w:tabs>
              <w:ind w:left="360"/>
              <w:jc w:val="center"/>
              <w:rPr>
                <w:rFonts w:ascii="Times New Roman" w:hAnsi="Times New Roman" w:cs="Times New Roman"/>
                <w:color w:val="000000" w:themeColor="text1"/>
                <w:lang w:val="uk-UA"/>
              </w:rPr>
            </w:pPr>
          </w:p>
          <w:p w14:paraId="6D97738C" w14:textId="77777777" w:rsidR="00D579BF" w:rsidRDefault="00D579BF" w:rsidP="00431693">
            <w:pPr>
              <w:tabs>
                <w:tab w:val="left" w:pos="1089"/>
              </w:tabs>
              <w:ind w:left="360"/>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Лансопразол</w:t>
            </w:r>
          </w:p>
        </w:tc>
        <w:tc>
          <w:tcPr>
            <w:tcW w:w="3015" w:type="dxa"/>
            <w:shd w:val="clear" w:color="auto" w:fill="E5DFED"/>
          </w:tcPr>
          <w:p w14:paraId="6638B446" w14:textId="77777777" w:rsidR="00D579BF" w:rsidRDefault="00D579BF" w:rsidP="00431693">
            <w:pPr>
              <w:tabs>
                <w:tab w:val="left" w:pos="1089"/>
              </w:tabs>
              <w:ind w:left="36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30 мг один раз на день</w:t>
            </w:r>
          </w:p>
        </w:tc>
      </w:tr>
      <w:tr w:rsidR="00D579BF" w14:paraId="28D7225F" w14:textId="77777777" w:rsidTr="00431693">
        <w:trPr>
          <w:trHeight w:val="369"/>
        </w:trPr>
        <w:tc>
          <w:tcPr>
            <w:tcW w:w="2939" w:type="dxa"/>
            <w:vMerge/>
            <w:shd w:val="clear" w:color="auto" w:fill="E5DFED"/>
          </w:tcPr>
          <w:p w14:paraId="57017F6D" w14:textId="77777777" w:rsidR="00D579BF" w:rsidRDefault="00D579BF" w:rsidP="00431693">
            <w:pPr>
              <w:tabs>
                <w:tab w:val="left" w:pos="1089"/>
              </w:tabs>
              <w:ind w:left="360"/>
              <w:rPr>
                <w:rFonts w:ascii="Times New Roman" w:hAnsi="Times New Roman" w:cs="Times New Roman"/>
                <w:color w:val="000000" w:themeColor="text1"/>
                <w:lang w:val="uk-UA"/>
              </w:rPr>
            </w:pPr>
          </w:p>
        </w:tc>
        <w:tc>
          <w:tcPr>
            <w:tcW w:w="3829" w:type="dxa"/>
            <w:vAlign w:val="bottom"/>
          </w:tcPr>
          <w:p w14:paraId="6F824A7E" w14:textId="77777777" w:rsidR="00D579BF" w:rsidRDefault="00D579BF" w:rsidP="00431693">
            <w:pPr>
              <w:tabs>
                <w:tab w:val="left" w:pos="1089"/>
              </w:tabs>
              <w:ind w:left="360"/>
              <w:jc w:val="center"/>
              <w:rPr>
                <w:rFonts w:ascii="Times New Roman" w:hAnsi="Times New Roman" w:cs="Times New Roman"/>
                <w:color w:val="000000" w:themeColor="text1"/>
                <w:lang w:val="uk-UA"/>
              </w:rPr>
            </w:pPr>
          </w:p>
          <w:p w14:paraId="7470B211" w14:textId="77777777" w:rsidR="00D579BF" w:rsidRDefault="00D579BF" w:rsidP="00431693">
            <w:pPr>
              <w:tabs>
                <w:tab w:val="left" w:pos="1089"/>
              </w:tabs>
              <w:ind w:left="360"/>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Езомепразол</w:t>
            </w:r>
          </w:p>
        </w:tc>
        <w:tc>
          <w:tcPr>
            <w:tcW w:w="3015" w:type="dxa"/>
          </w:tcPr>
          <w:p w14:paraId="226C1E67" w14:textId="77777777" w:rsidR="00D579BF" w:rsidRDefault="00D579BF" w:rsidP="00431693">
            <w:pPr>
              <w:tabs>
                <w:tab w:val="left" w:pos="1089"/>
              </w:tabs>
              <w:ind w:left="36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 мг один раз на день</w:t>
            </w:r>
          </w:p>
        </w:tc>
      </w:tr>
      <w:tr w:rsidR="00D579BF" w14:paraId="6F6E3932" w14:textId="77777777" w:rsidTr="00431693">
        <w:trPr>
          <w:trHeight w:val="334"/>
        </w:trPr>
        <w:tc>
          <w:tcPr>
            <w:tcW w:w="2939" w:type="dxa"/>
            <w:vMerge/>
            <w:shd w:val="clear" w:color="auto" w:fill="E5DFED"/>
          </w:tcPr>
          <w:p w14:paraId="604E5EE4" w14:textId="77777777" w:rsidR="00D579BF" w:rsidRDefault="00D579BF" w:rsidP="00431693">
            <w:pPr>
              <w:tabs>
                <w:tab w:val="left" w:pos="1089"/>
              </w:tabs>
              <w:ind w:left="360"/>
              <w:rPr>
                <w:rFonts w:ascii="Times New Roman" w:hAnsi="Times New Roman" w:cs="Times New Roman"/>
                <w:color w:val="000000" w:themeColor="text1"/>
                <w:lang w:val="uk-UA"/>
              </w:rPr>
            </w:pPr>
          </w:p>
        </w:tc>
        <w:tc>
          <w:tcPr>
            <w:tcW w:w="3829" w:type="dxa"/>
            <w:shd w:val="clear" w:color="auto" w:fill="E5DFED"/>
            <w:vAlign w:val="bottom"/>
          </w:tcPr>
          <w:p w14:paraId="399B3C80" w14:textId="77777777" w:rsidR="00D579BF" w:rsidRDefault="00D579BF" w:rsidP="00431693">
            <w:pPr>
              <w:tabs>
                <w:tab w:val="left" w:pos="1089"/>
              </w:tabs>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w:t>
            </w:r>
          </w:p>
          <w:p w14:paraId="136CD504" w14:textId="77777777" w:rsidR="00D579BF" w:rsidRDefault="00D579BF" w:rsidP="00431693">
            <w:pPr>
              <w:tabs>
                <w:tab w:val="left" w:pos="1089"/>
              </w:tabs>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Пантопразол</w:t>
            </w:r>
          </w:p>
        </w:tc>
        <w:tc>
          <w:tcPr>
            <w:tcW w:w="3015" w:type="dxa"/>
            <w:shd w:val="clear" w:color="auto" w:fill="E5DFED"/>
          </w:tcPr>
          <w:p w14:paraId="5134BE1D" w14:textId="77777777" w:rsidR="00D579BF" w:rsidRDefault="00D579BF" w:rsidP="00431693">
            <w:pPr>
              <w:tabs>
                <w:tab w:val="left" w:pos="1089"/>
              </w:tabs>
              <w:ind w:left="36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40 мг один раз на день</w:t>
            </w:r>
          </w:p>
        </w:tc>
      </w:tr>
      <w:tr w:rsidR="00D579BF" w14:paraId="37043FF2" w14:textId="77777777" w:rsidTr="00431693">
        <w:trPr>
          <w:trHeight w:val="271"/>
        </w:trPr>
        <w:tc>
          <w:tcPr>
            <w:tcW w:w="2939" w:type="dxa"/>
            <w:vMerge/>
            <w:shd w:val="clear" w:color="auto" w:fill="E5DFED"/>
          </w:tcPr>
          <w:p w14:paraId="72952B1F" w14:textId="77777777" w:rsidR="00D579BF" w:rsidRDefault="00D579BF" w:rsidP="00431693">
            <w:pPr>
              <w:tabs>
                <w:tab w:val="left" w:pos="1089"/>
              </w:tabs>
              <w:ind w:left="360"/>
              <w:rPr>
                <w:rFonts w:ascii="Times New Roman" w:hAnsi="Times New Roman" w:cs="Times New Roman"/>
                <w:color w:val="000000" w:themeColor="text1"/>
                <w:lang w:val="uk-UA"/>
              </w:rPr>
            </w:pPr>
          </w:p>
        </w:tc>
        <w:tc>
          <w:tcPr>
            <w:tcW w:w="3829" w:type="dxa"/>
            <w:vAlign w:val="center"/>
          </w:tcPr>
          <w:p w14:paraId="5FA43D1F" w14:textId="77777777" w:rsidR="00D579BF" w:rsidRDefault="00D579BF" w:rsidP="00431693">
            <w:pPr>
              <w:tabs>
                <w:tab w:val="left" w:pos="1089"/>
              </w:tabs>
              <w:ind w:left="360"/>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w:t>
            </w:r>
          </w:p>
          <w:p w14:paraId="3AC9A7A7" w14:textId="77777777" w:rsidR="00D579BF" w:rsidRDefault="00D579BF" w:rsidP="00431693">
            <w:pPr>
              <w:tabs>
                <w:tab w:val="left" w:pos="1089"/>
              </w:tabs>
              <w:ind w:left="360"/>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Рабепразол</w:t>
            </w:r>
          </w:p>
        </w:tc>
        <w:tc>
          <w:tcPr>
            <w:tcW w:w="3015" w:type="dxa"/>
          </w:tcPr>
          <w:p w14:paraId="65317FE4" w14:textId="77777777" w:rsidR="00D579BF" w:rsidRDefault="00D579BF" w:rsidP="00431693">
            <w:pPr>
              <w:tabs>
                <w:tab w:val="left" w:pos="1089"/>
              </w:tabs>
              <w:ind w:left="360"/>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20 мг один раз на день</w:t>
            </w:r>
          </w:p>
        </w:tc>
      </w:tr>
      <w:tr w:rsidR="00D579BF" w14:paraId="3AB2A93F" w14:textId="77777777" w:rsidTr="00431693">
        <w:trPr>
          <w:trHeight w:val="357"/>
        </w:trPr>
        <w:tc>
          <w:tcPr>
            <w:tcW w:w="2939" w:type="dxa"/>
            <w:vMerge w:val="restart"/>
            <w:shd w:val="clear" w:color="auto" w:fill="E5DFED"/>
          </w:tcPr>
          <w:p w14:paraId="3915F2E4" w14:textId="77777777" w:rsidR="00D579BF" w:rsidRDefault="00D579BF" w:rsidP="00431693">
            <w:pPr>
              <w:tabs>
                <w:tab w:val="left" w:pos="1089"/>
              </w:tabs>
              <w:ind w:left="360"/>
              <w:rPr>
                <w:rFonts w:ascii="Times New Roman" w:hAnsi="Times New Roman" w:cs="Times New Roman"/>
                <w:color w:val="000000" w:themeColor="text1"/>
                <w:lang w:val="uk-UA"/>
              </w:rPr>
            </w:pPr>
          </w:p>
          <w:p w14:paraId="1A13F5B7" w14:textId="77777777" w:rsidR="00D579BF" w:rsidRDefault="00D579BF" w:rsidP="00431693">
            <w:pPr>
              <w:shd w:val="clear" w:color="auto" w:fill="E5DFED"/>
              <w:tabs>
                <w:tab w:val="left" w:pos="1089"/>
              </w:tabs>
              <w:ind w:left="360"/>
              <w:rPr>
                <w:rFonts w:ascii="Times New Roman" w:hAnsi="Times New Roman" w:cs="Times New Roman"/>
                <w:color w:val="000000" w:themeColor="text1"/>
                <w:lang w:val="uk-UA"/>
              </w:rPr>
            </w:pPr>
          </w:p>
          <w:p w14:paraId="0AC61BA4" w14:textId="77777777" w:rsidR="00D579BF" w:rsidRDefault="00D579BF" w:rsidP="00690CF4">
            <w:pPr>
              <w:shd w:val="clear" w:color="auto" w:fill="E5DFED"/>
              <w:tabs>
                <w:tab w:val="left" w:pos="1089"/>
              </w:tabs>
              <w:rPr>
                <w:rFonts w:ascii="Times New Roman" w:hAnsi="Times New Roman" w:cs="Times New Roman"/>
                <w:color w:val="000000" w:themeColor="text1"/>
                <w:lang w:val="uk-UA"/>
              </w:rPr>
            </w:pPr>
            <w:r w:rsidRPr="006E07BD">
              <w:rPr>
                <w:rFonts w:ascii="Times New Roman" w:hAnsi="Times New Roman" w:cs="Times New Roman"/>
                <w:color w:val="000000" w:themeColor="text1"/>
                <w:lang w:val="uk-UA"/>
              </w:rPr>
              <w:t>Н2</w:t>
            </w:r>
            <w:r>
              <w:rPr>
                <w:rFonts w:ascii="Times New Roman" w:hAnsi="Times New Roman" w:cs="Times New Roman"/>
                <w:color w:val="000000" w:themeColor="text1"/>
                <w:lang w:val="uk-UA"/>
              </w:rPr>
              <w:t xml:space="preserve"> </w:t>
            </w:r>
            <w:r w:rsidRPr="006E07BD">
              <w:rPr>
                <w:rFonts w:ascii="Times New Roman" w:hAnsi="Times New Roman" w:cs="Times New Roman"/>
                <w:color w:val="000000" w:themeColor="text1"/>
                <w:lang w:val="uk-UA"/>
              </w:rPr>
              <w:t xml:space="preserve">антагоністи </w:t>
            </w:r>
            <w:r>
              <w:rPr>
                <w:rFonts w:ascii="Times New Roman" w:hAnsi="Times New Roman" w:cs="Times New Roman"/>
                <w:color w:val="000000" w:themeColor="text1"/>
                <w:lang w:val="uk-UA"/>
              </w:rPr>
              <w:t>(у дозуванні, еквівалентному 20 мг фамотидина два рази на день)</w:t>
            </w:r>
          </w:p>
          <w:p w14:paraId="6D1F11DB" w14:textId="77777777" w:rsidR="00D579BF" w:rsidRDefault="00D579BF" w:rsidP="00431693">
            <w:pPr>
              <w:tabs>
                <w:tab w:val="left" w:pos="1089"/>
              </w:tabs>
              <w:ind w:left="360"/>
              <w:rPr>
                <w:rFonts w:ascii="Times New Roman" w:hAnsi="Times New Roman" w:cs="Times New Roman"/>
                <w:color w:val="000000" w:themeColor="text1"/>
                <w:lang w:val="uk-UA"/>
              </w:rPr>
            </w:pPr>
          </w:p>
        </w:tc>
        <w:tc>
          <w:tcPr>
            <w:tcW w:w="3829" w:type="dxa"/>
            <w:shd w:val="clear" w:color="auto" w:fill="E5DFED"/>
          </w:tcPr>
          <w:p w14:paraId="5BFCF000" w14:textId="77777777" w:rsidR="00D579BF" w:rsidRDefault="00D579BF" w:rsidP="00431693">
            <w:pPr>
              <w:jc w:val="center"/>
              <w:rPr>
                <w:rFonts w:ascii="Times New Roman" w:hAnsi="Times New Roman" w:cs="Times New Roman"/>
                <w:color w:val="000000" w:themeColor="text1"/>
                <w:lang w:val="uk-UA"/>
              </w:rPr>
            </w:pPr>
          </w:p>
          <w:p w14:paraId="11900A24" w14:textId="77777777" w:rsidR="00D579BF" w:rsidRDefault="00D579BF" w:rsidP="00431693">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Фамотидин</w:t>
            </w:r>
          </w:p>
        </w:tc>
        <w:tc>
          <w:tcPr>
            <w:tcW w:w="3015" w:type="dxa"/>
            <w:shd w:val="clear" w:color="auto" w:fill="E5DFED"/>
          </w:tcPr>
          <w:p w14:paraId="5DE1CE42" w14:textId="77777777" w:rsidR="00D579BF" w:rsidRDefault="00D579BF" w:rsidP="00431693">
            <w:pPr>
              <w:rPr>
                <w:rFonts w:ascii="Times New Roman" w:hAnsi="Times New Roman" w:cs="Times New Roman"/>
                <w:color w:val="000000" w:themeColor="text1"/>
                <w:lang w:val="uk-UA"/>
              </w:rPr>
            </w:pPr>
            <w:r>
              <w:rPr>
                <w:rFonts w:ascii="Times New Roman" w:hAnsi="Times New Roman" w:cs="Times New Roman"/>
                <w:color w:val="000000" w:themeColor="text1"/>
                <w:lang w:val="uk-UA"/>
              </w:rPr>
              <w:t>20 мг два рази на день</w:t>
            </w:r>
          </w:p>
        </w:tc>
      </w:tr>
      <w:tr w:rsidR="00D579BF" w14:paraId="32CF72A0" w14:textId="77777777" w:rsidTr="00431693">
        <w:trPr>
          <w:trHeight w:val="234"/>
        </w:trPr>
        <w:tc>
          <w:tcPr>
            <w:tcW w:w="2939" w:type="dxa"/>
            <w:vMerge/>
            <w:shd w:val="clear" w:color="auto" w:fill="E5DFED"/>
          </w:tcPr>
          <w:p w14:paraId="7313A59C" w14:textId="77777777" w:rsidR="00D579BF" w:rsidRDefault="00D579BF" w:rsidP="00431693">
            <w:pPr>
              <w:tabs>
                <w:tab w:val="left" w:pos="1089"/>
              </w:tabs>
              <w:ind w:left="360"/>
              <w:rPr>
                <w:rFonts w:ascii="Times New Roman" w:hAnsi="Times New Roman" w:cs="Times New Roman"/>
                <w:color w:val="000000" w:themeColor="text1"/>
                <w:lang w:val="uk-UA"/>
              </w:rPr>
            </w:pPr>
          </w:p>
        </w:tc>
        <w:tc>
          <w:tcPr>
            <w:tcW w:w="3829" w:type="dxa"/>
          </w:tcPr>
          <w:p w14:paraId="53C535B3" w14:textId="77777777" w:rsidR="00D579BF" w:rsidRDefault="00D579BF" w:rsidP="00431693">
            <w:pPr>
              <w:jc w:val="center"/>
              <w:rPr>
                <w:rFonts w:ascii="Times New Roman" w:hAnsi="Times New Roman" w:cs="Times New Roman"/>
                <w:color w:val="000000" w:themeColor="text1"/>
                <w:lang w:val="uk-UA"/>
              </w:rPr>
            </w:pPr>
          </w:p>
          <w:p w14:paraId="4FAA00BF" w14:textId="77777777" w:rsidR="00D579BF" w:rsidRDefault="00D579BF" w:rsidP="00431693">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Ранитидин</w:t>
            </w:r>
          </w:p>
        </w:tc>
        <w:tc>
          <w:tcPr>
            <w:tcW w:w="3015" w:type="dxa"/>
          </w:tcPr>
          <w:p w14:paraId="47EB8EBB" w14:textId="77777777" w:rsidR="00D579BF" w:rsidRDefault="00D579BF" w:rsidP="00431693">
            <w:pPr>
              <w:rPr>
                <w:rFonts w:ascii="Times New Roman" w:hAnsi="Times New Roman" w:cs="Times New Roman"/>
                <w:color w:val="000000" w:themeColor="text1"/>
                <w:lang w:val="uk-UA"/>
              </w:rPr>
            </w:pPr>
            <w:r>
              <w:rPr>
                <w:rFonts w:ascii="Times New Roman" w:hAnsi="Times New Roman" w:cs="Times New Roman"/>
                <w:color w:val="000000" w:themeColor="text1"/>
                <w:lang w:val="uk-UA"/>
              </w:rPr>
              <w:t>150 мг два рази на день</w:t>
            </w:r>
          </w:p>
        </w:tc>
      </w:tr>
      <w:tr w:rsidR="00D579BF" w14:paraId="33B66B3D" w14:textId="77777777" w:rsidTr="00431693">
        <w:trPr>
          <w:trHeight w:val="334"/>
        </w:trPr>
        <w:tc>
          <w:tcPr>
            <w:tcW w:w="2939" w:type="dxa"/>
            <w:vMerge/>
            <w:shd w:val="clear" w:color="auto" w:fill="E5DFED"/>
          </w:tcPr>
          <w:p w14:paraId="5B6D4408" w14:textId="77777777" w:rsidR="00D579BF" w:rsidRDefault="00D579BF" w:rsidP="00431693">
            <w:pPr>
              <w:tabs>
                <w:tab w:val="left" w:pos="1089"/>
              </w:tabs>
              <w:ind w:left="360"/>
              <w:rPr>
                <w:rFonts w:ascii="Times New Roman" w:hAnsi="Times New Roman" w:cs="Times New Roman"/>
                <w:color w:val="000000" w:themeColor="text1"/>
                <w:lang w:val="uk-UA"/>
              </w:rPr>
            </w:pPr>
          </w:p>
        </w:tc>
        <w:tc>
          <w:tcPr>
            <w:tcW w:w="3829" w:type="dxa"/>
            <w:shd w:val="clear" w:color="auto" w:fill="E5DFED"/>
          </w:tcPr>
          <w:p w14:paraId="09D7D3EE" w14:textId="77777777" w:rsidR="00D579BF" w:rsidRDefault="00D579BF" w:rsidP="00431693">
            <w:pPr>
              <w:jc w:val="center"/>
              <w:rPr>
                <w:rFonts w:ascii="Times New Roman" w:hAnsi="Times New Roman" w:cs="Times New Roman"/>
                <w:color w:val="000000" w:themeColor="text1"/>
                <w:lang w:val="uk-UA"/>
              </w:rPr>
            </w:pPr>
          </w:p>
          <w:p w14:paraId="37EA0FF4" w14:textId="77777777" w:rsidR="00D579BF" w:rsidRDefault="00D579BF" w:rsidP="00431693">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Циметидин</w:t>
            </w:r>
          </w:p>
        </w:tc>
        <w:tc>
          <w:tcPr>
            <w:tcW w:w="3015" w:type="dxa"/>
            <w:shd w:val="clear" w:color="auto" w:fill="E5DFED"/>
          </w:tcPr>
          <w:p w14:paraId="2972C9DA" w14:textId="3276423A" w:rsidR="00D579BF" w:rsidRDefault="00D579BF" w:rsidP="00431693">
            <w:pPr>
              <w:rPr>
                <w:rFonts w:ascii="Times New Roman" w:hAnsi="Times New Roman" w:cs="Times New Roman"/>
                <w:color w:val="000000" w:themeColor="text1"/>
                <w:lang w:val="uk-UA"/>
              </w:rPr>
            </w:pPr>
            <w:r>
              <w:rPr>
                <w:rFonts w:ascii="Times New Roman" w:hAnsi="Times New Roman" w:cs="Times New Roman"/>
                <w:color w:val="000000" w:themeColor="text1"/>
                <w:lang w:val="uk-UA"/>
              </w:rPr>
              <w:t>300 мг 3</w:t>
            </w:r>
            <w:r w:rsidR="00FC6D8A">
              <w:rPr>
                <w:rFonts w:ascii="Times New Roman" w:hAnsi="Times New Roman" w:cs="Times New Roman"/>
                <w:color w:val="000000" w:themeColor="text1"/>
                <w:lang w:val="uk-UA"/>
              </w:rPr>
              <w:t>–</w:t>
            </w:r>
            <w:r>
              <w:rPr>
                <w:rFonts w:ascii="Times New Roman" w:hAnsi="Times New Roman" w:cs="Times New Roman"/>
                <w:color w:val="000000" w:themeColor="text1"/>
                <w:lang w:val="uk-UA"/>
              </w:rPr>
              <w:t>4 рази на день</w:t>
            </w:r>
          </w:p>
        </w:tc>
      </w:tr>
      <w:tr w:rsidR="00D579BF" w14:paraId="0635C493" w14:textId="77777777" w:rsidTr="00431693">
        <w:trPr>
          <w:trHeight w:val="322"/>
        </w:trPr>
        <w:tc>
          <w:tcPr>
            <w:tcW w:w="2939" w:type="dxa"/>
            <w:vMerge/>
            <w:shd w:val="clear" w:color="auto" w:fill="E5DFED"/>
          </w:tcPr>
          <w:p w14:paraId="783CE217" w14:textId="77777777" w:rsidR="00D579BF" w:rsidRDefault="00D579BF" w:rsidP="00431693">
            <w:pPr>
              <w:tabs>
                <w:tab w:val="left" w:pos="1089"/>
              </w:tabs>
              <w:ind w:left="360"/>
              <w:rPr>
                <w:rFonts w:ascii="Times New Roman" w:hAnsi="Times New Roman" w:cs="Times New Roman"/>
                <w:color w:val="000000" w:themeColor="text1"/>
                <w:lang w:val="uk-UA"/>
              </w:rPr>
            </w:pPr>
          </w:p>
        </w:tc>
        <w:tc>
          <w:tcPr>
            <w:tcW w:w="3829" w:type="dxa"/>
          </w:tcPr>
          <w:p w14:paraId="52BA91E0" w14:textId="77777777" w:rsidR="00D579BF" w:rsidRDefault="00D579BF" w:rsidP="00431693">
            <w:pPr>
              <w:jc w:val="center"/>
              <w:rPr>
                <w:rFonts w:ascii="Times New Roman" w:hAnsi="Times New Roman" w:cs="Times New Roman"/>
                <w:color w:val="000000" w:themeColor="text1"/>
                <w:lang w:val="uk-UA"/>
              </w:rPr>
            </w:pPr>
          </w:p>
          <w:p w14:paraId="5A7B3296" w14:textId="77777777" w:rsidR="00D579BF" w:rsidRDefault="00D579BF" w:rsidP="00431693">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Нізатидин</w:t>
            </w:r>
          </w:p>
        </w:tc>
        <w:tc>
          <w:tcPr>
            <w:tcW w:w="3015" w:type="dxa"/>
          </w:tcPr>
          <w:p w14:paraId="43509A21" w14:textId="77777777" w:rsidR="00D579BF" w:rsidRDefault="00D579BF" w:rsidP="00431693">
            <w:pPr>
              <w:rPr>
                <w:rFonts w:ascii="Times New Roman" w:hAnsi="Times New Roman" w:cs="Times New Roman"/>
                <w:color w:val="000000" w:themeColor="text1"/>
                <w:lang w:val="uk-UA"/>
              </w:rPr>
            </w:pPr>
            <w:r>
              <w:rPr>
                <w:rFonts w:ascii="Times New Roman" w:hAnsi="Times New Roman" w:cs="Times New Roman"/>
                <w:color w:val="000000" w:themeColor="text1"/>
                <w:lang w:val="uk-UA"/>
              </w:rPr>
              <w:t>150 мг два рази на день</w:t>
            </w:r>
          </w:p>
        </w:tc>
      </w:tr>
    </w:tbl>
    <w:p w14:paraId="57C2F40C" w14:textId="77777777" w:rsidR="00D579BF" w:rsidRDefault="00D579BF" w:rsidP="00D579BF">
      <w:pPr>
        <w:tabs>
          <w:tab w:val="left" w:pos="1089"/>
        </w:tabs>
        <w:ind w:left="360"/>
        <w:rPr>
          <w:rFonts w:ascii="Times New Roman" w:hAnsi="Times New Roman" w:cs="Times New Roman"/>
          <w:color w:val="000000" w:themeColor="text1"/>
          <w:lang w:val="uk-UA"/>
        </w:rPr>
      </w:pPr>
    </w:p>
    <w:p w14:paraId="6D19567C" w14:textId="3DCD9FB3" w:rsidR="00D579BF" w:rsidRDefault="000C757C" w:rsidP="00F53078">
      <w:pPr>
        <w:tabs>
          <w:tab w:val="left" w:pos="1089"/>
        </w:tabs>
        <w:ind w:left="360"/>
        <w:jc w:val="both"/>
        <w:rPr>
          <w:rFonts w:ascii="Times New Roman" w:hAnsi="Times New Roman" w:cs="Times New Roman"/>
          <w:color w:val="000000" w:themeColor="text1"/>
          <w:lang w:val="uk-UA"/>
        </w:rPr>
      </w:pPr>
      <w:r w:rsidRPr="000C757C">
        <w:rPr>
          <w:rFonts w:ascii="Times New Roman" w:hAnsi="Times New Roman" w:cs="Times New Roman"/>
          <w:color w:val="000000" w:themeColor="text1"/>
          <w:lang w:val="uk-UA"/>
        </w:rPr>
        <w:t>Дози інгібітору протонно</w:t>
      </w:r>
      <w:r w:rsidR="00870D13">
        <w:rPr>
          <w:rFonts w:ascii="Times New Roman" w:hAnsi="Times New Roman" w:cs="Times New Roman"/>
          <w:color w:val="000000" w:themeColor="text1"/>
          <w:lang w:val="uk-UA"/>
        </w:rPr>
        <w:t>ї помпи</w:t>
      </w:r>
      <w:r w:rsidRPr="000C757C">
        <w:rPr>
          <w:rFonts w:ascii="Times New Roman" w:hAnsi="Times New Roman" w:cs="Times New Roman"/>
          <w:color w:val="000000" w:themeColor="text1"/>
          <w:lang w:val="uk-UA"/>
        </w:rPr>
        <w:t>, показані в таблиці, вважаються еквівалентними. Дози антагоніста Н2, показані в таблиці, вважаються еквівалентними.</w:t>
      </w:r>
    </w:p>
    <w:p w14:paraId="1BF21EA6" w14:textId="77777777" w:rsidR="000C757C" w:rsidRDefault="000C757C" w:rsidP="00F53078">
      <w:pPr>
        <w:tabs>
          <w:tab w:val="left" w:pos="1089"/>
        </w:tabs>
        <w:ind w:left="360"/>
        <w:jc w:val="both"/>
        <w:rPr>
          <w:rFonts w:ascii="Times New Roman" w:hAnsi="Times New Roman" w:cs="Times New Roman"/>
          <w:color w:val="000000" w:themeColor="text1"/>
          <w:lang w:val="uk-UA"/>
        </w:rPr>
      </w:pPr>
    </w:p>
    <w:p w14:paraId="1EFF2625" w14:textId="043A2752" w:rsidR="000C757C" w:rsidRPr="000C757C" w:rsidRDefault="000C757C" w:rsidP="00F53078">
      <w:pPr>
        <w:tabs>
          <w:tab w:val="left" w:pos="1089"/>
        </w:tabs>
        <w:ind w:left="360"/>
        <w:jc w:val="both"/>
        <w:rPr>
          <w:rFonts w:ascii="Times New Roman" w:hAnsi="Times New Roman" w:cs="Times New Roman"/>
          <w:color w:val="000000" w:themeColor="text1"/>
          <w:lang w:val="uk-UA"/>
        </w:rPr>
      </w:pPr>
      <w:r w:rsidRPr="000C757C">
        <w:rPr>
          <w:rFonts w:ascii="Times New Roman" w:hAnsi="Times New Roman" w:cs="Times New Roman"/>
          <w:color w:val="000000" w:themeColor="text1"/>
          <w:lang w:val="uk-UA"/>
        </w:rPr>
        <w:t>Популяційний фармакокі</w:t>
      </w:r>
      <w:r>
        <w:rPr>
          <w:rFonts w:ascii="Times New Roman" w:hAnsi="Times New Roman" w:cs="Times New Roman"/>
          <w:color w:val="000000" w:themeColor="text1"/>
          <w:lang w:val="uk-UA"/>
        </w:rPr>
        <w:t xml:space="preserve">нетичний аналіз воксілапревіру у пацієнтів </w:t>
      </w:r>
      <w:r w:rsidRPr="000C757C">
        <w:rPr>
          <w:rFonts w:ascii="Times New Roman" w:hAnsi="Times New Roman" w:cs="Times New Roman"/>
          <w:color w:val="000000" w:themeColor="text1"/>
          <w:lang w:val="uk-UA"/>
        </w:rPr>
        <w:t xml:space="preserve">з ВГС показав, що </w:t>
      </w:r>
      <w:r>
        <w:rPr>
          <w:rFonts w:ascii="Times New Roman" w:hAnsi="Times New Roman" w:cs="Times New Roman"/>
          <w:color w:val="000000" w:themeColor="text1"/>
          <w:lang w:val="uk-UA"/>
        </w:rPr>
        <w:t>у пацієнтів</w:t>
      </w:r>
      <w:r w:rsidRPr="000C757C">
        <w:rPr>
          <w:rFonts w:ascii="Times New Roman" w:hAnsi="Times New Roman" w:cs="Times New Roman"/>
          <w:color w:val="000000" w:themeColor="text1"/>
          <w:lang w:val="uk-UA"/>
        </w:rPr>
        <w:t xml:space="preserve"> з компенсованим </w:t>
      </w:r>
      <w:r>
        <w:rPr>
          <w:rFonts w:ascii="Times New Roman" w:hAnsi="Times New Roman" w:cs="Times New Roman"/>
          <w:color w:val="000000" w:themeColor="text1"/>
          <w:lang w:val="uk-UA"/>
        </w:rPr>
        <w:t xml:space="preserve">цирозом </w:t>
      </w:r>
      <w:r w:rsidRPr="000C757C">
        <w:rPr>
          <w:rFonts w:ascii="Times New Roman" w:hAnsi="Times New Roman" w:cs="Times New Roman"/>
          <w:color w:val="000000" w:themeColor="text1"/>
          <w:lang w:val="uk-UA"/>
        </w:rPr>
        <w:t>(Child</w:t>
      </w:r>
      <w:r w:rsidR="00FC6D8A">
        <w:rPr>
          <w:rFonts w:ascii="Times New Roman" w:hAnsi="Times New Roman" w:cs="Times New Roman"/>
          <w:color w:val="000000" w:themeColor="text1"/>
          <w:lang w:val="uk-UA"/>
        </w:rPr>
        <w:t>–</w:t>
      </w:r>
      <w:r w:rsidRPr="000C757C">
        <w:rPr>
          <w:rFonts w:ascii="Times New Roman" w:hAnsi="Times New Roman" w:cs="Times New Roman"/>
          <w:color w:val="000000" w:themeColor="text1"/>
          <w:lang w:val="uk-UA"/>
        </w:rPr>
        <w:t xml:space="preserve">Pugh A) </w:t>
      </w:r>
      <w:r>
        <w:rPr>
          <w:rFonts w:ascii="Times New Roman" w:hAnsi="Times New Roman" w:cs="Times New Roman"/>
          <w:color w:val="000000" w:themeColor="text1"/>
          <w:lang w:val="uk-UA"/>
        </w:rPr>
        <w:t xml:space="preserve">виявлявся </w:t>
      </w:r>
      <w:r w:rsidRPr="000C757C">
        <w:rPr>
          <w:rFonts w:ascii="Times New Roman" w:hAnsi="Times New Roman" w:cs="Times New Roman"/>
          <w:color w:val="000000" w:themeColor="text1"/>
          <w:lang w:val="uk-UA"/>
        </w:rPr>
        <w:t xml:space="preserve">на 73% більш високий рівень експозиції </w:t>
      </w:r>
      <w:r>
        <w:rPr>
          <w:rFonts w:ascii="Times New Roman" w:hAnsi="Times New Roman" w:cs="Times New Roman"/>
          <w:color w:val="000000" w:themeColor="text1"/>
          <w:lang w:val="uk-UA"/>
        </w:rPr>
        <w:t>воксілапревіру, порівняно з тими,</w:t>
      </w:r>
      <w:r w:rsidRPr="000C757C">
        <w:rPr>
          <w:rFonts w:ascii="Times New Roman" w:hAnsi="Times New Roman" w:cs="Times New Roman"/>
          <w:color w:val="000000" w:themeColor="text1"/>
          <w:lang w:val="uk-UA"/>
        </w:rPr>
        <w:t xml:space="preserve"> що не мають цирозу. Таким чином, для пацієнтів з компенсованим цирозом не потрібна корекція дози софосбувіру, </w:t>
      </w:r>
      <w:r>
        <w:rPr>
          <w:rFonts w:ascii="Times New Roman" w:hAnsi="Times New Roman" w:cs="Times New Roman"/>
          <w:color w:val="000000" w:themeColor="text1"/>
          <w:lang w:val="uk-UA"/>
        </w:rPr>
        <w:t>в</w:t>
      </w:r>
      <w:r w:rsidRPr="009F1038">
        <w:rPr>
          <w:rFonts w:ascii="Times New Roman" w:hAnsi="Times New Roman" w:cs="Times New Roman"/>
          <w:color w:val="000000" w:themeColor="text1"/>
          <w:lang w:val="uk-UA"/>
        </w:rPr>
        <w:t>елпатасвір</w:t>
      </w:r>
      <w:r>
        <w:rPr>
          <w:rFonts w:ascii="Times New Roman" w:hAnsi="Times New Roman" w:cs="Times New Roman"/>
          <w:color w:val="000000" w:themeColor="text1"/>
          <w:lang w:val="uk-UA"/>
        </w:rPr>
        <w:t>у</w:t>
      </w:r>
      <w:r w:rsidRPr="000C757C">
        <w:rPr>
          <w:rFonts w:ascii="Times New Roman" w:hAnsi="Times New Roman" w:cs="Times New Roman"/>
          <w:color w:val="000000" w:themeColor="text1"/>
          <w:lang w:val="uk-UA"/>
        </w:rPr>
        <w:t xml:space="preserve"> та воксілапревіру. Фармакокінетика </w:t>
      </w:r>
      <w:r w:rsidR="00FF5BA0">
        <w:rPr>
          <w:rFonts w:ascii="Times New Roman" w:hAnsi="Times New Roman" w:cs="Times New Roman"/>
          <w:color w:val="000000" w:themeColor="text1"/>
          <w:lang w:val="uk-UA"/>
        </w:rPr>
        <w:t>одн</w:t>
      </w:r>
      <w:r w:rsidR="00666A11">
        <w:rPr>
          <w:rFonts w:ascii="Times New Roman" w:hAnsi="Times New Roman" w:cs="Times New Roman"/>
          <w:color w:val="000000" w:themeColor="text1"/>
          <w:lang w:val="uk-UA"/>
        </w:rPr>
        <w:t>іє</w:t>
      </w:r>
      <w:r w:rsidR="00FF5BA0">
        <w:rPr>
          <w:rFonts w:ascii="Times New Roman" w:hAnsi="Times New Roman" w:cs="Times New Roman"/>
          <w:color w:val="000000" w:themeColor="text1"/>
          <w:lang w:val="uk-UA"/>
        </w:rPr>
        <w:t>ї</w:t>
      </w:r>
      <w:r w:rsidR="00FF5BA0" w:rsidRPr="000C757C">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дози воксілапревіру</w:t>
      </w:r>
      <w:r w:rsidRPr="000C757C">
        <w:rPr>
          <w:rFonts w:ascii="Times New Roman" w:hAnsi="Times New Roman" w:cs="Times New Roman"/>
          <w:color w:val="000000" w:themeColor="text1"/>
          <w:lang w:val="uk-UA"/>
        </w:rPr>
        <w:t xml:space="preserve"> також вивчалась у пацієнтів з помірними та важкими порушеннями печінки (Child</w:t>
      </w:r>
      <w:r w:rsidR="00FC6D8A">
        <w:rPr>
          <w:rFonts w:ascii="Times New Roman" w:hAnsi="Times New Roman" w:cs="Times New Roman"/>
          <w:color w:val="000000" w:themeColor="text1"/>
          <w:lang w:val="uk-UA"/>
        </w:rPr>
        <w:t>–</w:t>
      </w:r>
      <w:r w:rsidRPr="000C757C">
        <w:rPr>
          <w:rFonts w:ascii="Times New Roman" w:hAnsi="Times New Roman" w:cs="Times New Roman"/>
          <w:color w:val="000000" w:themeColor="text1"/>
          <w:lang w:val="uk-UA"/>
        </w:rPr>
        <w:t xml:space="preserve">Pugh B та C, відповідно). Відносно хворих з нормальною печінковою функцією, </w:t>
      </w:r>
      <w:r>
        <w:rPr>
          <w:rFonts w:ascii="Times New Roman" w:hAnsi="Times New Roman" w:cs="Times New Roman"/>
          <w:color w:val="000000" w:themeColor="text1"/>
          <w:lang w:val="uk-UA"/>
        </w:rPr>
        <w:t>AUC воксілапревіру була у 3</w:t>
      </w:r>
      <w:r w:rsidRPr="000C757C">
        <w:rPr>
          <w:rFonts w:ascii="Times New Roman" w:hAnsi="Times New Roman" w:cs="Times New Roman"/>
          <w:color w:val="000000" w:themeColor="text1"/>
          <w:lang w:val="uk-UA"/>
        </w:rPr>
        <w:t xml:space="preserve"> та 5 разі</w:t>
      </w:r>
      <w:r>
        <w:rPr>
          <w:rFonts w:ascii="Times New Roman" w:hAnsi="Times New Roman" w:cs="Times New Roman"/>
          <w:color w:val="000000" w:themeColor="text1"/>
          <w:lang w:val="uk-UA"/>
        </w:rPr>
        <w:t>в вище у пацієнтів з помірними та</w:t>
      </w:r>
      <w:r w:rsidRPr="000C757C">
        <w:rPr>
          <w:rFonts w:ascii="Times New Roman" w:hAnsi="Times New Roman" w:cs="Times New Roman"/>
          <w:color w:val="000000" w:themeColor="text1"/>
          <w:lang w:val="uk-UA"/>
        </w:rPr>
        <w:t xml:space="preserve"> важкими порушеннями </w:t>
      </w:r>
      <w:r w:rsidR="00666A11">
        <w:rPr>
          <w:rFonts w:ascii="Times New Roman" w:hAnsi="Times New Roman" w:cs="Times New Roman"/>
          <w:color w:val="000000" w:themeColor="text1"/>
          <w:lang w:val="uk-UA"/>
        </w:rPr>
        <w:t xml:space="preserve">функції </w:t>
      </w:r>
      <w:r w:rsidRPr="000C757C">
        <w:rPr>
          <w:rFonts w:ascii="Times New Roman" w:hAnsi="Times New Roman" w:cs="Times New Roman"/>
          <w:color w:val="000000" w:themeColor="text1"/>
          <w:lang w:val="uk-UA"/>
        </w:rPr>
        <w:t xml:space="preserve">печінки відповідно. Таким чином, комбінація софосбувіру, </w:t>
      </w:r>
      <w:r>
        <w:rPr>
          <w:rFonts w:ascii="Times New Roman" w:hAnsi="Times New Roman" w:cs="Times New Roman"/>
          <w:color w:val="000000" w:themeColor="text1"/>
          <w:lang w:val="uk-UA"/>
        </w:rPr>
        <w:t>в</w:t>
      </w:r>
      <w:r w:rsidRPr="009F1038">
        <w:rPr>
          <w:rFonts w:ascii="Times New Roman" w:hAnsi="Times New Roman" w:cs="Times New Roman"/>
          <w:color w:val="000000" w:themeColor="text1"/>
          <w:lang w:val="uk-UA"/>
        </w:rPr>
        <w:t>елпатасвір</w:t>
      </w:r>
      <w:r>
        <w:rPr>
          <w:rFonts w:ascii="Times New Roman" w:hAnsi="Times New Roman" w:cs="Times New Roman"/>
          <w:color w:val="000000" w:themeColor="text1"/>
          <w:lang w:val="uk-UA"/>
        </w:rPr>
        <w:t>у</w:t>
      </w:r>
      <w:r w:rsidRPr="000C757C">
        <w:rPr>
          <w:rFonts w:ascii="Times New Roman" w:hAnsi="Times New Roman" w:cs="Times New Roman"/>
          <w:color w:val="000000" w:themeColor="text1"/>
          <w:lang w:val="uk-UA"/>
        </w:rPr>
        <w:t xml:space="preserve"> та воксілапревіру не рекомендується у пацієнтів із помірним пор</w:t>
      </w:r>
      <w:r w:rsidR="009C4097">
        <w:rPr>
          <w:rFonts w:ascii="Times New Roman" w:hAnsi="Times New Roman" w:cs="Times New Roman"/>
          <w:color w:val="000000" w:themeColor="text1"/>
          <w:lang w:val="uk-UA"/>
        </w:rPr>
        <w:t>ушенням печінки (Child</w:t>
      </w:r>
      <w:r w:rsidR="00FC6D8A">
        <w:rPr>
          <w:rFonts w:ascii="Times New Roman" w:hAnsi="Times New Roman" w:cs="Times New Roman"/>
          <w:color w:val="000000" w:themeColor="text1"/>
          <w:lang w:val="uk-UA"/>
        </w:rPr>
        <w:t>–</w:t>
      </w:r>
      <w:r w:rsidR="009C4097">
        <w:rPr>
          <w:rFonts w:ascii="Times New Roman" w:hAnsi="Times New Roman" w:cs="Times New Roman"/>
          <w:color w:val="000000" w:themeColor="text1"/>
          <w:lang w:val="uk-UA"/>
        </w:rPr>
        <w:t>Pugh B) та</w:t>
      </w:r>
      <w:r w:rsidRPr="000C757C">
        <w:rPr>
          <w:rFonts w:ascii="Times New Roman" w:hAnsi="Times New Roman" w:cs="Times New Roman"/>
          <w:color w:val="000000" w:themeColor="text1"/>
          <w:lang w:val="uk-UA"/>
        </w:rPr>
        <w:t xml:space="preserve"> протипоказана для тих, хто має важкі порушення функції печінки (Child</w:t>
      </w:r>
      <w:r w:rsidR="00FC6D8A">
        <w:rPr>
          <w:rFonts w:ascii="Times New Roman" w:hAnsi="Times New Roman" w:cs="Times New Roman"/>
          <w:color w:val="000000" w:themeColor="text1"/>
          <w:lang w:val="uk-UA"/>
        </w:rPr>
        <w:t>–</w:t>
      </w:r>
      <w:r w:rsidRPr="000C757C">
        <w:rPr>
          <w:rFonts w:ascii="Times New Roman" w:hAnsi="Times New Roman" w:cs="Times New Roman"/>
          <w:color w:val="000000" w:themeColor="text1"/>
          <w:lang w:val="uk-UA"/>
        </w:rPr>
        <w:t>Pugh C).</w:t>
      </w:r>
    </w:p>
    <w:p w14:paraId="0F3AAB06" w14:textId="77777777" w:rsidR="009C4097" w:rsidRDefault="009C4097" w:rsidP="00F53078">
      <w:pPr>
        <w:tabs>
          <w:tab w:val="left" w:pos="1089"/>
        </w:tabs>
        <w:ind w:left="360"/>
        <w:jc w:val="both"/>
        <w:rPr>
          <w:rFonts w:ascii="Times New Roman" w:hAnsi="Times New Roman" w:cs="Times New Roman"/>
          <w:color w:val="000000" w:themeColor="text1"/>
          <w:lang w:val="uk-UA"/>
        </w:rPr>
      </w:pPr>
    </w:p>
    <w:p w14:paraId="3D672019" w14:textId="2CBEDF36" w:rsidR="000C757C" w:rsidRPr="000C757C" w:rsidRDefault="000C757C" w:rsidP="00F53078">
      <w:pPr>
        <w:tabs>
          <w:tab w:val="left" w:pos="1089"/>
        </w:tabs>
        <w:ind w:left="360"/>
        <w:jc w:val="both"/>
        <w:rPr>
          <w:rFonts w:ascii="Times New Roman" w:hAnsi="Times New Roman" w:cs="Times New Roman"/>
          <w:color w:val="000000" w:themeColor="text1"/>
          <w:lang w:val="uk-UA"/>
        </w:rPr>
      </w:pPr>
      <w:r w:rsidRPr="000C757C">
        <w:rPr>
          <w:rFonts w:ascii="Times New Roman" w:hAnsi="Times New Roman" w:cs="Times New Roman"/>
          <w:color w:val="000000" w:themeColor="text1"/>
          <w:lang w:val="uk-UA"/>
        </w:rPr>
        <w:t>Фармакокінетика воксілап</w:t>
      </w:r>
      <w:r w:rsidR="009C4097">
        <w:rPr>
          <w:rFonts w:ascii="Times New Roman" w:hAnsi="Times New Roman" w:cs="Times New Roman"/>
          <w:color w:val="000000" w:themeColor="text1"/>
          <w:lang w:val="uk-UA"/>
        </w:rPr>
        <w:t>ревіру вивчалась серед ВГС</w:t>
      </w:r>
      <w:r w:rsidR="00FC6D8A">
        <w:rPr>
          <w:rFonts w:ascii="Times New Roman" w:hAnsi="Times New Roman" w:cs="Times New Roman"/>
          <w:color w:val="000000" w:themeColor="text1"/>
          <w:lang w:val="uk-UA"/>
        </w:rPr>
        <w:t>–</w:t>
      </w:r>
      <w:r w:rsidRPr="000C757C">
        <w:rPr>
          <w:rFonts w:ascii="Times New Roman" w:hAnsi="Times New Roman" w:cs="Times New Roman"/>
          <w:color w:val="000000" w:themeColor="text1"/>
          <w:lang w:val="uk-UA"/>
        </w:rPr>
        <w:t>негативних пацієнтів з важкими порушеннями функції нирок (</w:t>
      </w:r>
      <w:r w:rsidR="00E9283D">
        <w:rPr>
          <w:rFonts w:ascii="Times New Roman" w:hAnsi="Times New Roman" w:cs="Times New Roman"/>
          <w:color w:val="000000" w:themeColor="text1"/>
          <w:lang w:val="uk-UA"/>
        </w:rPr>
        <w:t>ШКФ</w:t>
      </w:r>
      <w:r w:rsidRPr="000C757C">
        <w:rPr>
          <w:rFonts w:ascii="Times New Roman" w:hAnsi="Times New Roman" w:cs="Times New Roman"/>
          <w:color w:val="000000" w:themeColor="text1"/>
          <w:lang w:val="uk-UA"/>
        </w:rPr>
        <w:t xml:space="preserve"> &lt;30 мл / хв / 1,73 м2). Відносно </w:t>
      </w:r>
      <w:r w:rsidR="00FF5BA0">
        <w:rPr>
          <w:rFonts w:ascii="Times New Roman" w:hAnsi="Times New Roman" w:cs="Times New Roman"/>
          <w:color w:val="000000" w:themeColor="text1"/>
          <w:lang w:val="uk-UA"/>
        </w:rPr>
        <w:t>осіб</w:t>
      </w:r>
      <w:r w:rsidRPr="000C757C">
        <w:rPr>
          <w:rFonts w:ascii="Times New Roman" w:hAnsi="Times New Roman" w:cs="Times New Roman"/>
          <w:color w:val="000000" w:themeColor="text1"/>
          <w:lang w:val="uk-UA"/>
        </w:rPr>
        <w:t xml:space="preserve"> з нормальною функцією нирок, </w:t>
      </w:r>
      <w:r w:rsidR="009C4097">
        <w:rPr>
          <w:rFonts w:ascii="Times New Roman" w:hAnsi="Times New Roman" w:cs="Times New Roman"/>
          <w:color w:val="000000" w:themeColor="text1"/>
          <w:lang w:val="uk-UA"/>
        </w:rPr>
        <w:t>AUC</w:t>
      </w:r>
      <w:r w:rsidRPr="000C757C">
        <w:rPr>
          <w:rFonts w:ascii="Times New Roman" w:hAnsi="Times New Roman" w:cs="Times New Roman"/>
          <w:color w:val="000000" w:themeColor="text1"/>
          <w:lang w:val="uk-UA"/>
        </w:rPr>
        <w:t xml:space="preserve"> у пацієнтів з серйозним порушенням функції нирок був </w:t>
      </w:r>
      <w:r w:rsidR="009C4097">
        <w:rPr>
          <w:rFonts w:ascii="Times New Roman" w:hAnsi="Times New Roman" w:cs="Times New Roman"/>
          <w:color w:val="000000" w:themeColor="text1"/>
          <w:lang w:val="uk-UA"/>
        </w:rPr>
        <w:t xml:space="preserve">на 71% вищим, що не вважається клінічно </w:t>
      </w:r>
      <w:r w:rsidR="009C4097" w:rsidRPr="00FD45E2">
        <w:rPr>
          <w:rFonts w:ascii="Times New Roman" w:hAnsi="Times New Roman" w:cs="Times New Roman"/>
          <w:color w:val="000000" w:themeColor="text1"/>
          <w:lang w:val="uk-UA"/>
        </w:rPr>
        <w:t>значущ</w:t>
      </w:r>
      <w:r w:rsidRPr="00FD45E2">
        <w:rPr>
          <w:rFonts w:ascii="Times New Roman" w:hAnsi="Times New Roman" w:cs="Times New Roman"/>
          <w:color w:val="000000" w:themeColor="text1"/>
          <w:lang w:val="uk-UA"/>
        </w:rPr>
        <w:t>им.</w:t>
      </w:r>
    </w:p>
    <w:p w14:paraId="0E4B4F93" w14:textId="77777777" w:rsidR="009C4097" w:rsidRDefault="009C4097" w:rsidP="00F53078">
      <w:pPr>
        <w:tabs>
          <w:tab w:val="left" w:pos="1089"/>
        </w:tabs>
        <w:ind w:left="360"/>
        <w:jc w:val="both"/>
        <w:rPr>
          <w:rFonts w:ascii="Times New Roman" w:hAnsi="Times New Roman" w:cs="Times New Roman"/>
          <w:color w:val="000000" w:themeColor="text1"/>
          <w:lang w:val="uk-UA"/>
        </w:rPr>
      </w:pPr>
    </w:p>
    <w:p w14:paraId="384743F0" w14:textId="38BC2DDE" w:rsidR="000C757C" w:rsidRPr="000C757C" w:rsidRDefault="000C757C" w:rsidP="00F53078">
      <w:pPr>
        <w:tabs>
          <w:tab w:val="left" w:pos="1089"/>
        </w:tabs>
        <w:ind w:left="360"/>
        <w:jc w:val="both"/>
        <w:rPr>
          <w:rFonts w:ascii="Times New Roman" w:hAnsi="Times New Roman" w:cs="Times New Roman"/>
          <w:color w:val="000000" w:themeColor="text1"/>
          <w:lang w:val="uk-UA"/>
        </w:rPr>
      </w:pPr>
      <w:r w:rsidRPr="000C757C">
        <w:rPr>
          <w:rFonts w:ascii="Times New Roman" w:hAnsi="Times New Roman" w:cs="Times New Roman"/>
          <w:color w:val="000000" w:themeColor="text1"/>
          <w:lang w:val="uk-UA"/>
        </w:rPr>
        <w:t xml:space="preserve">Дані про безпеку софосбувіру, </w:t>
      </w:r>
      <w:r w:rsidR="009D47EE">
        <w:rPr>
          <w:rFonts w:ascii="Times New Roman" w:hAnsi="Times New Roman" w:cs="Times New Roman"/>
          <w:color w:val="000000" w:themeColor="text1"/>
          <w:lang w:val="uk-UA"/>
        </w:rPr>
        <w:t>в</w:t>
      </w:r>
      <w:r w:rsidR="009D47EE" w:rsidRPr="009F1038">
        <w:rPr>
          <w:rFonts w:ascii="Times New Roman" w:hAnsi="Times New Roman" w:cs="Times New Roman"/>
          <w:color w:val="000000" w:themeColor="text1"/>
          <w:lang w:val="uk-UA"/>
        </w:rPr>
        <w:t>елпатасвір</w:t>
      </w:r>
      <w:r w:rsidR="009D47EE">
        <w:rPr>
          <w:rFonts w:ascii="Times New Roman" w:hAnsi="Times New Roman" w:cs="Times New Roman"/>
          <w:color w:val="000000" w:themeColor="text1"/>
          <w:lang w:val="uk-UA"/>
        </w:rPr>
        <w:t>у</w:t>
      </w:r>
      <w:r w:rsidRPr="000C757C">
        <w:rPr>
          <w:rFonts w:ascii="Times New Roman" w:hAnsi="Times New Roman" w:cs="Times New Roman"/>
          <w:color w:val="000000" w:themeColor="text1"/>
          <w:lang w:val="uk-UA"/>
        </w:rPr>
        <w:t xml:space="preserve"> та воксілапревіру базувались на даних клінічних випробувань II і III фази. Головні болі, діарея та нудота були найчастіш</w:t>
      </w:r>
      <w:r w:rsidR="00666A11">
        <w:rPr>
          <w:rFonts w:ascii="Times New Roman" w:hAnsi="Times New Roman" w:cs="Times New Roman"/>
          <w:color w:val="000000" w:themeColor="text1"/>
          <w:lang w:val="uk-UA"/>
        </w:rPr>
        <w:t>ими</w:t>
      </w:r>
      <w:r w:rsidRPr="000C757C">
        <w:rPr>
          <w:rFonts w:ascii="Times New Roman" w:hAnsi="Times New Roman" w:cs="Times New Roman"/>
          <w:color w:val="000000" w:themeColor="text1"/>
          <w:lang w:val="uk-UA"/>
        </w:rPr>
        <w:t xml:space="preserve"> побічн</w:t>
      </w:r>
      <w:r w:rsidR="00666A11">
        <w:rPr>
          <w:rFonts w:ascii="Times New Roman" w:hAnsi="Times New Roman" w:cs="Times New Roman"/>
          <w:color w:val="000000" w:themeColor="text1"/>
          <w:lang w:val="uk-UA"/>
        </w:rPr>
        <w:t>ими</w:t>
      </w:r>
      <w:r w:rsidRPr="000C757C">
        <w:rPr>
          <w:rFonts w:ascii="Times New Roman" w:hAnsi="Times New Roman" w:cs="Times New Roman"/>
          <w:color w:val="000000" w:themeColor="text1"/>
          <w:lang w:val="uk-UA"/>
        </w:rPr>
        <w:t xml:space="preserve"> реакці</w:t>
      </w:r>
      <w:r w:rsidR="00666A11">
        <w:rPr>
          <w:rFonts w:ascii="Times New Roman" w:hAnsi="Times New Roman" w:cs="Times New Roman"/>
          <w:color w:val="000000" w:themeColor="text1"/>
          <w:lang w:val="uk-UA"/>
        </w:rPr>
        <w:t>ями</w:t>
      </w:r>
      <w:r w:rsidRPr="000C757C">
        <w:rPr>
          <w:rFonts w:ascii="Times New Roman" w:hAnsi="Times New Roman" w:cs="Times New Roman"/>
          <w:color w:val="000000" w:themeColor="text1"/>
          <w:lang w:val="uk-UA"/>
        </w:rPr>
        <w:t xml:space="preserve">. Ризик побічних </w:t>
      </w:r>
      <w:r w:rsidR="009D47EE">
        <w:rPr>
          <w:rFonts w:ascii="Times New Roman" w:hAnsi="Times New Roman" w:cs="Times New Roman"/>
          <w:color w:val="000000" w:themeColor="text1"/>
          <w:lang w:val="uk-UA"/>
        </w:rPr>
        <w:t>реакцій</w:t>
      </w:r>
      <w:r w:rsidRPr="000C757C">
        <w:rPr>
          <w:rFonts w:ascii="Times New Roman" w:hAnsi="Times New Roman" w:cs="Times New Roman"/>
          <w:color w:val="000000" w:themeColor="text1"/>
          <w:lang w:val="uk-UA"/>
        </w:rPr>
        <w:t xml:space="preserve"> </w:t>
      </w:r>
      <w:r w:rsidR="009D47EE">
        <w:rPr>
          <w:rFonts w:ascii="Times New Roman" w:hAnsi="Times New Roman" w:cs="Times New Roman"/>
          <w:color w:val="000000" w:themeColor="text1"/>
          <w:lang w:val="uk-UA"/>
        </w:rPr>
        <w:t>з</w:t>
      </w:r>
      <w:r w:rsidR="00666A11">
        <w:rPr>
          <w:rFonts w:ascii="Times New Roman" w:hAnsi="Times New Roman" w:cs="Times New Roman"/>
          <w:color w:val="000000" w:themeColor="text1"/>
          <w:lang w:val="uk-UA"/>
        </w:rPr>
        <w:t>і сторони</w:t>
      </w:r>
      <w:r w:rsidR="009D47EE">
        <w:rPr>
          <w:rFonts w:ascii="Times New Roman" w:hAnsi="Times New Roman" w:cs="Times New Roman"/>
          <w:color w:val="000000" w:themeColor="text1"/>
          <w:lang w:val="uk-UA"/>
        </w:rPr>
        <w:t xml:space="preserve"> </w:t>
      </w:r>
      <w:r w:rsidRPr="000C757C">
        <w:rPr>
          <w:rFonts w:ascii="Times New Roman" w:hAnsi="Times New Roman" w:cs="Times New Roman"/>
          <w:color w:val="000000" w:themeColor="text1"/>
          <w:lang w:val="uk-UA"/>
        </w:rPr>
        <w:t>шлунково</w:t>
      </w:r>
      <w:r w:rsidR="00666A11">
        <w:rPr>
          <w:rFonts w:ascii="Times New Roman" w:hAnsi="Times New Roman" w:cs="Times New Roman"/>
          <w:color w:val="000000" w:themeColor="text1"/>
          <w:lang w:val="uk-UA"/>
        </w:rPr>
        <w:t>-</w:t>
      </w:r>
      <w:r w:rsidRPr="000C757C">
        <w:rPr>
          <w:rFonts w:ascii="Times New Roman" w:hAnsi="Times New Roman" w:cs="Times New Roman"/>
          <w:color w:val="000000" w:themeColor="text1"/>
          <w:lang w:val="uk-UA"/>
        </w:rPr>
        <w:t xml:space="preserve">кишкового тракту є більшим, ніж </w:t>
      </w:r>
      <w:r w:rsidR="009D47EE">
        <w:rPr>
          <w:rFonts w:ascii="Times New Roman" w:hAnsi="Times New Roman" w:cs="Times New Roman"/>
          <w:color w:val="000000" w:themeColor="text1"/>
          <w:lang w:val="uk-UA"/>
        </w:rPr>
        <w:t>при комбінації</w:t>
      </w:r>
      <w:r w:rsidRPr="000C757C">
        <w:rPr>
          <w:rFonts w:ascii="Times New Roman" w:hAnsi="Times New Roman" w:cs="Times New Roman"/>
          <w:color w:val="000000" w:themeColor="text1"/>
          <w:lang w:val="uk-UA"/>
        </w:rPr>
        <w:t xml:space="preserve"> софосбувіру і </w:t>
      </w:r>
      <w:r w:rsidR="009D47EE">
        <w:rPr>
          <w:rFonts w:ascii="Times New Roman" w:hAnsi="Times New Roman" w:cs="Times New Roman"/>
          <w:color w:val="000000" w:themeColor="text1"/>
          <w:lang w:val="uk-UA"/>
        </w:rPr>
        <w:t>в</w:t>
      </w:r>
      <w:r w:rsidR="009D47EE" w:rsidRPr="009F1038">
        <w:rPr>
          <w:rFonts w:ascii="Times New Roman" w:hAnsi="Times New Roman" w:cs="Times New Roman"/>
          <w:color w:val="000000" w:themeColor="text1"/>
          <w:lang w:val="uk-UA"/>
        </w:rPr>
        <w:t>елпатасвір</w:t>
      </w:r>
      <w:r w:rsidR="009D47EE">
        <w:rPr>
          <w:rFonts w:ascii="Times New Roman" w:hAnsi="Times New Roman" w:cs="Times New Roman"/>
          <w:color w:val="000000" w:themeColor="text1"/>
          <w:lang w:val="uk-UA"/>
        </w:rPr>
        <w:t xml:space="preserve">у без </w:t>
      </w:r>
      <w:r w:rsidR="009D47EE" w:rsidRPr="000C757C">
        <w:rPr>
          <w:rFonts w:ascii="Times New Roman" w:hAnsi="Times New Roman" w:cs="Times New Roman"/>
          <w:color w:val="000000" w:themeColor="text1"/>
          <w:lang w:val="uk-UA"/>
        </w:rPr>
        <w:t>воксілапревіру</w:t>
      </w:r>
      <w:r w:rsidRPr="000C757C">
        <w:rPr>
          <w:rFonts w:ascii="Times New Roman" w:hAnsi="Times New Roman" w:cs="Times New Roman"/>
          <w:color w:val="000000" w:themeColor="text1"/>
          <w:lang w:val="uk-UA"/>
        </w:rPr>
        <w:t>.</w:t>
      </w:r>
    </w:p>
    <w:p w14:paraId="7492B466" w14:textId="77777777" w:rsidR="009D47EE" w:rsidRDefault="009D47EE" w:rsidP="00F53078">
      <w:pPr>
        <w:tabs>
          <w:tab w:val="left" w:pos="1089"/>
        </w:tabs>
        <w:ind w:left="360"/>
        <w:jc w:val="both"/>
        <w:rPr>
          <w:rFonts w:ascii="Times New Roman" w:hAnsi="Times New Roman" w:cs="Times New Roman"/>
          <w:color w:val="000000" w:themeColor="text1"/>
          <w:lang w:val="uk-UA"/>
        </w:rPr>
      </w:pPr>
    </w:p>
    <w:p w14:paraId="21061466" w14:textId="5DBAD4A6" w:rsidR="000C757C" w:rsidRPr="000C757C" w:rsidRDefault="000C757C" w:rsidP="00F53078">
      <w:pPr>
        <w:tabs>
          <w:tab w:val="left" w:pos="1089"/>
        </w:tabs>
        <w:ind w:left="360"/>
        <w:jc w:val="both"/>
        <w:rPr>
          <w:rFonts w:ascii="Times New Roman" w:hAnsi="Times New Roman" w:cs="Times New Roman"/>
          <w:color w:val="000000" w:themeColor="text1"/>
          <w:lang w:val="uk-UA"/>
        </w:rPr>
      </w:pPr>
      <w:r w:rsidRPr="000C757C">
        <w:rPr>
          <w:rFonts w:ascii="Times New Roman" w:hAnsi="Times New Roman" w:cs="Times New Roman"/>
          <w:color w:val="000000" w:themeColor="text1"/>
          <w:lang w:val="uk-UA"/>
        </w:rPr>
        <w:lastRenderedPageBreak/>
        <w:t xml:space="preserve">Оскільки </w:t>
      </w:r>
      <w:r w:rsidR="00DF722B">
        <w:rPr>
          <w:rFonts w:ascii="Times New Roman" w:hAnsi="Times New Roman" w:cs="Times New Roman"/>
          <w:color w:val="000000" w:themeColor="text1"/>
          <w:lang w:val="uk-UA"/>
        </w:rPr>
        <w:t>в</w:t>
      </w:r>
      <w:r w:rsidR="00DF722B" w:rsidRPr="009F1038">
        <w:rPr>
          <w:rFonts w:ascii="Times New Roman" w:hAnsi="Times New Roman" w:cs="Times New Roman"/>
          <w:color w:val="000000" w:themeColor="text1"/>
          <w:lang w:val="uk-UA"/>
        </w:rPr>
        <w:t>елпатасвір</w:t>
      </w:r>
      <w:r w:rsidR="00DF722B">
        <w:rPr>
          <w:rFonts w:ascii="Times New Roman" w:hAnsi="Times New Roman" w:cs="Times New Roman"/>
          <w:color w:val="000000" w:themeColor="text1"/>
          <w:lang w:val="uk-UA"/>
        </w:rPr>
        <w:t xml:space="preserve"> і воксилапревір є </w:t>
      </w:r>
      <w:r w:rsidRPr="000C757C">
        <w:rPr>
          <w:rFonts w:ascii="Times New Roman" w:hAnsi="Times New Roman" w:cs="Times New Roman"/>
          <w:color w:val="000000" w:themeColor="text1"/>
          <w:lang w:val="uk-UA"/>
        </w:rPr>
        <w:t>інгібіторами P</w:t>
      </w:r>
      <w:r w:rsidR="00FC6D8A">
        <w:rPr>
          <w:rFonts w:ascii="Times New Roman" w:hAnsi="Times New Roman" w:cs="Times New Roman"/>
          <w:color w:val="000000" w:themeColor="text1"/>
          <w:lang w:val="uk-UA"/>
        </w:rPr>
        <w:t>–</w:t>
      </w:r>
      <w:r w:rsidRPr="000C757C">
        <w:rPr>
          <w:rFonts w:ascii="Times New Roman" w:hAnsi="Times New Roman" w:cs="Times New Roman"/>
          <w:color w:val="000000" w:themeColor="text1"/>
          <w:lang w:val="uk-UA"/>
        </w:rPr>
        <w:t xml:space="preserve">gp, BCRP, OATP1B1 та OATP1B3, одночасне введення софосбувіру, </w:t>
      </w:r>
      <w:r w:rsidR="00DF722B">
        <w:rPr>
          <w:rFonts w:ascii="Times New Roman" w:hAnsi="Times New Roman" w:cs="Times New Roman"/>
          <w:color w:val="000000" w:themeColor="text1"/>
          <w:lang w:val="uk-UA"/>
        </w:rPr>
        <w:t>в</w:t>
      </w:r>
      <w:r w:rsidR="00DF722B" w:rsidRPr="009F1038">
        <w:rPr>
          <w:rFonts w:ascii="Times New Roman" w:hAnsi="Times New Roman" w:cs="Times New Roman"/>
          <w:color w:val="000000" w:themeColor="text1"/>
          <w:lang w:val="uk-UA"/>
        </w:rPr>
        <w:t>елпатасвір</w:t>
      </w:r>
      <w:r w:rsidR="00DF722B">
        <w:rPr>
          <w:rFonts w:ascii="Times New Roman" w:hAnsi="Times New Roman" w:cs="Times New Roman"/>
          <w:color w:val="000000" w:themeColor="text1"/>
          <w:lang w:val="uk-UA"/>
        </w:rPr>
        <w:t>у</w:t>
      </w:r>
      <w:r w:rsidRPr="000C757C">
        <w:rPr>
          <w:rFonts w:ascii="Times New Roman" w:hAnsi="Times New Roman" w:cs="Times New Roman"/>
          <w:color w:val="000000" w:themeColor="text1"/>
          <w:lang w:val="uk-UA"/>
        </w:rPr>
        <w:t xml:space="preserve"> та воксілапревіру з лікарськими препаратами, які є субстратами цих транспортерів, може збільшити експозицію </w:t>
      </w:r>
      <w:r w:rsidR="00DF722B">
        <w:rPr>
          <w:rFonts w:ascii="Times New Roman" w:hAnsi="Times New Roman" w:cs="Times New Roman"/>
          <w:color w:val="000000" w:themeColor="text1"/>
          <w:lang w:val="uk-UA"/>
        </w:rPr>
        <w:t xml:space="preserve">додаткових </w:t>
      </w:r>
      <w:r w:rsidRPr="000C757C">
        <w:rPr>
          <w:rFonts w:ascii="Times New Roman" w:hAnsi="Times New Roman" w:cs="Times New Roman"/>
          <w:color w:val="000000" w:themeColor="text1"/>
          <w:lang w:val="uk-UA"/>
        </w:rPr>
        <w:t>препаратів, що застосовуються. Це означає, що ті</w:t>
      </w:r>
      <w:r w:rsidR="00DF722B">
        <w:rPr>
          <w:rFonts w:ascii="Times New Roman" w:hAnsi="Times New Roman" w:cs="Times New Roman"/>
          <w:color w:val="000000" w:themeColor="text1"/>
          <w:lang w:val="uk-UA"/>
        </w:rPr>
        <w:t xml:space="preserve"> </w:t>
      </w:r>
      <w:r w:rsidR="00DF722B" w:rsidRPr="000C757C">
        <w:rPr>
          <w:rFonts w:ascii="Times New Roman" w:hAnsi="Times New Roman" w:cs="Times New Roman"/>
          <w:color w:val="000000" w:themeColor="text1"/>
          <w:lang w:val="uk-UA"/>
        </w:rPr>
        <w:t>препарат</w:t>
      </w:r>
      <w:r w:rsidR="00DF722B">
        <w:rPr>
          <w:rFonts w:ascii="Times New Roman" w:hAnsi="Times New Roman" w:cs="Times New Roman"/>
          <w:color w:val="000000" w:themeColor="text1"/>
          <w:lang w:val="uk-UA"/>
        </w:rPr>
        <w:t>и</w:t>
      </w:r>
      <w:r w:rsidRPr="000C757C">
        <w:rPr>
          <w:rFonts w:ascii="Times New Roman" w:hAnsi="Times New Roman" w:cs="Times New Roman"/>
          <w:color w:val="000000" w:themeColor="text1"/>
          <w:lang w:val="uk-UA"/>
        </w:rPr>
        <w:t xml:space="preserve">, для яких </w:t>
      </w:r>
      <w:r w:rsidR="00DF722B">
        <w:rPr>
          <w:rFonts w:ascii="Times New Roman" w:hAnsi="Times New Roman" w:cs="Times New Roman"/>
          <w:color w:val="000000" w:themeColor="text1"/>
          <w:lang w:val="uk-UA"/>
        </w:rPr>
        <w:t xml:space="preserve">їх </w:t>
      </w:r>
      <w:r w:rsidRPr="000C757C">
        <w:rPr>
          <w:rFonts w:ascii="Times New Roman" w:hAnsi="Times New Roman" w:cs="Times New Roman"/>
          <w:color w:val="000000" w:themeColor="text1"/>
          <w:lang w:val="uk-UA"/>
        </w:rPr>
        <w:t xml:space="preserve">підвищені рівні </w:t>
      </w:r>
      <w:r w:rsidR="00DF722B">
        <w:rPr>
          <w:rFonts w:ascii="Times New Roman" w:hAnsi="Times New Roman" w:cs="Times New Roman"/>
          <w:color w:val="000000" w:themeColor="text1"/>
          <w:lang w:val="uk-UA"/>
        </w:rPr>
        <w:t>у плазмі</w:t>
      </w:r>
      <w:r w:rsidRPr="000C757C">
        <w:rPr>
          <w:rFonts w:ascii="Times New Roman" w:hAnsi="Times New Roman" w:cs="Times New Roman"/>
          <w:color w:val="000000" w:themeColor="text1"/>
          <w:lang w:val="uk-UA"/>
        </w:rPr>
        <w:t xml:space="preserve"> пов'язані з </w:t>
      </w:r>
      <w:r w:rsidR="00DF722B">
        <w:rPr>
          <w:rFonts w:ascii="Times New Roman" w:hAnsi="Times New Roman" w:cs="Times New Roman"/>
          <w:color w:val="000000" w:themeColor="text1"/>
          <w:lang w:val="uk-UA"/>
        </w:rPr>
        <w:t>побічними реакціями</w:t>
      </w:r>
      <w:r w:rsidRPr="000C757C">
        <w:rPr>
          <w:rFonts w:ascii="Times New Roman" w:hAnsi="Times New Roman" w:cs="Times New Roman"/>
          <w:color w:val="000000" w:themeColor="text1"/>
          <w:lang w:val="uk-UA"/>
        </w:rPr>
        <w:t>, є протипоказаними, а інші можуть вимагати корекції до</w:t>
      </w:r>
      <w:r w:rsidR="00DF722B">
        <w:rPr>
          <w:rFonts w:ascii="Times New Roman" w:hAnsi="Times New Roman" w:cs="Times New Roman"/>
          <w:color w:val="000000" w:themeColor="text1"/>
          <w:lang w:val="uk-UA"/>
        </w:rPr>
        <w:t>зи або додаткового контролю. Роз</w:t>
      </w:r>
      <w:r w:rsidRPr="000C757C">
        <w:rPr>
          <w:rFonts w:ascii="Times New Roman" w:hAnsi="Times New Roman" w:cs="Times New Roman"/>
          <w:color w:val="000000" w:themeColor="text1"/>
          <w:lang w:val="uk-UA"/>
        </w:rPr>
        <w:t>увастатин протипоказаний через 19</w:t>
      </w:r>
      <w:r w:rsidR="00FC6D8A">
        <w:rPr>
          <w:rFonts w:ascii="Times New Roman" w:hAnsi="Times New Roman" w:cs="Times New Roman"/>
          <w:color w:val="000000" w:themeColor="text1"/>
          <w:lang w:val="uk-UA"/>
        </w:rPr>
        <w:t>–</w:t>
      </w:r>
      <w:r w:rsidRPr="000C757C">
        <w:rPr>
          <w:rFonts w:ascii="Times New Roman" w:hAnsi="Times New Roman" w:cs="Times New Roman"/>
          <w:color w:val="000000" w:themeColor="text1"/>
          <w:lang w:val="uk-UA"/>
        </w:rPr>
        <w:t xml:space="preserve">кратне збільшення </w:t>
      </w:r>
      <w:r w:rsidR="00DF722B" w:rsidRPr="008A50B6">
        <w:rPr>
          <w:rFonts w:ascii="Times New Roman" w:hAnsi="Times New Roman" w:cs="Times New Roman"/>
          <w:color w:val="000000" w:themeColor="text1"/>
          <w:lang w:val="uk-UA"/>
        </w:rPr>
        <w:t>AUC</w:t>
      </w:r>
      <w:r w:rsidRPr="008A50B6">
        <w:rPr>
          <w:rFonts w:ascii="Times New Roman" w:hAnsi="Times New Roman" w:cs="Times New Roman"/>
          <w:color w:val="000000" w:themeColor="text1"/>
          <w:lang w:val="uk-UA"/>
        </w:rPr>
        <w:t xml:space="preserve"> статину в плазмі. Оскільки цей ефект, </w:t>
      </w:r>
      <w:r w:rsidR="00666A11">
        <w:rPr>
          <w:rFonts w:ascii="Times New Roman" w:hAnsi="Times New Roman" w:cs="Times New Roman"/>
          <w:color w:val="000000" w:themeColor="text1"/>
          <w:lang w:val="uk-UA"/>
        </w:rPr>
        <w:t>й</w:t>
      </w:r>
      <w:r w:rsidRPr="008A50B6">
        <w:rPr>
          <w:rFonts w:ascii="Times New Roman" w:hAnsi="Times New Roman" w:cs="Times New Roman"/>
          <w:color w:val="000000" w:themeColor="text1"/>
          <w:lang w:val="uk-UA"/>
        </w:rPr>
        <w:t>мовірно, більшою мірою пов'язаний з транспортером BCRP, також не рекомендується використовувати інші препарати, які є субстратом BCRP, включаючи метотрексат, мітоксантрон, іматиніб, іри</w:t>
      </w:r>
      <w:r w:rsidR="00473B1F" w:rsidRPr="008A50B6">
        <w:rPr>
          <w:rFonts w:ascii="Times New Roman" w:hAnsi="Times New Roman" w:cs="Times New Roman"/>
          <w:color w:val="000000" w:themeColor="text1"/>
          <w:lang w:val="uk-UA"/>
        </w:rPr>
        <w:t>нотекан, лапатиніб, сульфасалазі</w:t>
      </w:r>
      <w:r w:rsidRPr="008A50B6">
        <w:rPr>
          <w:rFonts w:ascii="Times New Roman" w:hAnsi="Times New Roman" w:cs="Times New Roman"/>
          <w:color w:val="000000" w:themeColor="text1"/>
          <w:lang w:val="uk-UA"/>
        </w:rPr>
        <w:t>н</w:t>
      </w:r>
      <w:r w:rsidRPr="000C757C">
        <w:rPr>
          <w:rFonts w:ascii="Times New Roman" w:hAnsi="Times New Roman" w:cs="Times New Roman"/>
          <w:color w:val="000000" w:themeColor="text1"/>
          <w:lang w:val="uk-UA"/>
        </w:rPr>
        <w:t xml:space="preserve"> і топотекан. Дабігатран протипоказаний через майже 3</w:t>
      </w:r>
      <w:r w:rsidR="00FC6D8A">
        <w:rPr>
          <w:rFonts w:ascii="Times New Roman" w:hAnsi="Times New Roman" w:cs="Times New Roman"/>
          <w:color w:val="000000" w:themeColor="text1"/>
          <w:lang w:val="uk-UA"/>
        </w:rPr>
        <w:t>–</w:t>
      </w:r>
      <w:r w:rsidRPr="000C757C">
        <w:rPr>
          <w:rFonts w:ascii="Times New Roman" w:hAnsi="Times New Roman" w:cs="Times New Roman"/>
          <w:color w:val="000000" w:themeColor="text1"/>
          <w:lang w:val="uk-UA"/>
        </w:rPr>
        <w:t>кратне збільшення AUC. Це зумовлене і</w:t>
      </w:r>
      <w:r w:rsidR="00C613B8">
        <w:rPr>
          <w:rFonts w:ascii="Times New Roman" w:hAnsi="Times New Roman" w:cs="Times New Roman"/>
          <w:color w:val="000000" w:themeColor="text1"/>
          <w:lang w:val="uk-UA"/>
        </w:rPr>
        <w:t xml:space="preserve">нгібуванням </w:t>
      </w:r>
      <w:r w:rsidR="004D2A4F">
        <w:rPr>
          <w:rFonts w:ascii="Times New Roman" w:hAnsi="Times New Roman" w:cs="Times New Roman"/>
          <w:color w:val="000000" w:themeColor="text1"/>
          <w:lang w:val="uk-UA"/>
        </w:rPr>
        <w:t xml:space="preserve">P-gp </w:t>
      </w:r>
      <w:r w:rsidR="00C613B8">
        <w:rPr>
          <w:rFonts w:ascii="Times New Roman" w:hAnsi="Times New Roman" w:cs="Times New Roman"/>
          <w:color w:val="000000" w:themeColor="text1"/>
          <w:lang w:val="uk-UA"/>
        </w:rPr>
        <w:t xml:space="preserve">як </w:t>
      </w:r>
      <w:r w:rsidR="002C331D">
        <w:rPr>
          <w:rFonts w:ascii="Times New Roman" w:hAnsi="Times New Roman" w:cs="Times New Roman"/>
          <w:color w:val="000000" w:themeColor="text1"/>
          <w:lang w:val="uk-UA"/>
        </w:rPr>
        <w:t>в</w:t>
      </w:r>
      <w:r w:rsidR="002C331D" w:rsidRPr="009F1038">
        <w:rPr>
          <w:rFonts w:ascii="Times New Roman" w:hAnsi="Times New Roman" w:cs="Times New Roman"/>
          <w:color w:val="000000" w:themeColor="text1"/>
          <w:lang w:val="uk-UA"/>
        </w:rPr>
        <w:t>елпатасвір</w:t>
      </w:r>
      <w:r w:rsidR="002C331D">
        <w:rPr>
          <w:rFonts w:ascii="Times New Roman" w:hAnsi="Times New Roman" w:cs="Times New Roman"/>
          <w:color w:val="000000" w:themeColor="text1"/>
          <w:lang w:val="uk-UA"/>
        </w:rPr>
        <w:t>ом, так і воксілапревіром. Для інших</w:t>
      </w:r>
      <w:r w:rsidRPr="000C757C">
        <w:rPr>
          <w:rFonts w:ascii="Times New Roman" w:hAnsi="Times New Roman" w:cs="Times New Roman"/>
          <w:color w:val="000000" w:themeColor="text1"/>
          <w:lang w:val="uk-UA"/>
        </w:rPr>
        <w:t xml:space="preserve"> </w:t>
      </w:r>
      <w:r w:rsidR="002C331D">
        <w:rPr>
          <w:rFonts w:ascii="Times New Roman" w:hAnsi="Times New Roman" w:cs="Times New Roman"/>
          <w:color w:val="000000" w:themeColor="text1"/>
          <w:lang w:val="uk-UA"/>
        </w:rPr>
        <w:t>субстратів</w:t>
      </w:r>
      <w:r w:rsidRPr="000C757C">
        <w:rPr>
          <w:rFonts w:ascii="Times New Roman" w:hAnsi="Times New Roman" w:cs="Times New Roman"/>
          <w:color w:val="000000" w:themeColor="text1"/>
          <w:lang w:val="uk-UA"/>
        </w:rPr>
        <w:t xml:space="preserve"> P</w:t>
      </w:r>
      <w:r w:rsidR="00FC6D8A">
        <w:rPr>
          <w:rFonts w:ascii="Times New Roman" w:hAnsi="Times New Roman" w:cs="Times New Roman"/>
          <w:color w:val="000000" w:themeColor="text1"/>
          <w:lang w:val="uk-UA"/>
        </w:rPr>
        <w:t>–</w:t>
      </w:r>
      <w:r w:rsidRPr="000C757C">
        <w:rPr>
          <w:rFonts w:ascii="Times New Roman" w:hAnsi="Times New Roman" w:cs="Times New Roman"/>
          <w:color w:val="000000" w:themeColor="text1"/>
          <w:lang w:val="uk-UA"/>
        </w:rPr>
        <w:t>gp, можливо, доведеться регулювати до</w:t>
      </w:r>
      <w:r w:rsidR="002C331D">
        <w:rPr>
          <w:rFonts w:ascii="Times New Roman" w:hAnsi="Times New Roman" w:cs="Times New Roman"/>
          <w:color w:val="000000" w:themeColor="text1"/>
          <w:lang w:val="uk-UA"/>
        </w:rPr>
        <w:t xml:space="preserve">зу або проводити моніторинг збільшення </w:t>
      </w:r>
      <w:r w:rsidR="002C331D">
        <w:rPr>
          <w:rFonts w:ascii="Times New Roman" w:hAnsi="Times New Roman" w:cs="Times New Roman"/>
          <w:color w:val="000000" w:themeColor="text1"/>
          <w:lang w:val="en-US"/>
        </w:rPr>
        <w:t>AUC</w:t>
      </w:r>
      <w:r w:rsidRPr="000C757C">
        <w:rPr>
          <w:rFonts w:ascii="Times New Roman" w:hAnsi="Times New Roman" w:cs="Times New Roman"/>
          <w:color w:val="000000" w:themeColor="text1"/>
          <w:lang w:val="uk-UA"/>
        </w:rPr>
        <w:t>, включаючи дигоксин, тикаг</w:t>
      </w:r>
      <w:r w:rsidR="002C331D">
        <w:rPr>
          <w:rFonts w:ascii="Times New Roman" w:hAnsi="Times New Roman" w:cs="Times New Roman"/>
          <w:color w:val="000000" w:themeColor="text1"/>
          <w:lang w:val="uk-UA"/>
        </w:rPr>
        <w:t>релор, карведілол, ділтіазем та аліскі</w:t>
      </w:r>
      <w:r w:rsidRPr="000C757C">
        <w:rPr>
          <w:rFonts w:ascii="Times New Roman" w:hAnsi="Times New Roman" w:cs="Times New Roman"/>
          <w:color w:val="000000" w:themeColor="text1"/>
          <w:lang w:val="uk-UA"/>
        </w:rPr>
        <w:t xml:space="preserve">рен. Подібна обережність необхідна при застосуванні інгібіторів OATP1B, таких як циклоспорин, оскільки </w:t>
      </w:r>
      <w:r w:rsidR="002C331D">
        <w:rPr>
          <w:rFonts w:ascii="Times New Roman" w:hAnsi="Times New Roman" w:cs="Times New Roman"/>
          <w:color w:val="000000" w:themeColor="text1"/>
          <w:lang w:val="en-US"/>
        </w:rPr>
        <w:t>AUC</w:t>
      </w:r>
      <w:r w:rsidR="002C331D" w:rsidRPr="000C757C">
        <w:rPr>
          <w:rFonts w:ascii="Times New Roman" w:hAnsi="Times New Roman" w:cs="Times New Roman"/>
          <w:color w:val="000000" w:themeColor="text1"/>
          <w:lang w:val="uk-UA"/>
        </w:rPr>
        <w:t xml:space="preserve"> </w:t>
      </w:r>
      <w:r w:rsidRPr="000C757C">
        <w:rPr>
          <w:rFonts w:ascii="Times New Roman" w:hAnsi="Times New Roman" w:cs="Times New Roman"/>
          <w:color w:val="000000" w:themeColor="text1"/>
          <w:lang w:val="uk-UA"/>
        </w:rPr>
        <w:t xml:space="preserve">воксілапревіру </w:t>
      </w:r>
      <w:r w:rsidR="002C331D">
        <w:rPr>
          <w:rFonts w:ascii="Times New Roman" w:hAnsi="Times New Roman" w:cs="Times New Roman"/>
          <w:color w:val="000000" w:themeColor="text1"/>
          <w:lang w:val="uk-UA"/>
        </w:rPr>
        <w:t xml:space="preserve">в плазмі збільшується в 19 разів </w:t>
      </w:r>
      <w:r w:rsidRPr="000C757C">
        <w:rPr>
          <w:rFonts w:ascii="Times New Roman" w:hAnsi="Times New Roman" w:cs="Times New Roman"/>
          <w:color w:val="000000" w:themeColor="text1"/>
          <w:lang w:val="uk-UA"/>
        </w:rPr>
        <w:t>з субстратами OATP1B, такими як едоксабан, оскільки очікується, що інгібіція воксілапревір</w:t>
      </w:r>
      <w:r w:rsidR="002C331D">
        <w:rPr>
          <w:rFonts w:ascii="Times New Roman" w:hAnsi="Times New Roman" w:cs="Times New Roman"/>
          <w:color w:val="000000" w:themeColor="text1"/>
          <w:lang w:val="uk-UA"/>
        </w:rPr>
        <w:t>у збільшує експозицію інгібіторів</w:t>
      </w:r>
      <w:r w:rsidRPr="000C757C">
        <w:rPr>
          <w:rFonts w:ascii="Times New Roman" w:hAnsi="Times New Roman" w:cs="Times New Roman"/>
          <w:color w:val="000000" w:themeColor="text1"/>
          <w:lang w:val="uk-UA"/>
        </w:rPr>
        <w:t xml:space="preserve"> фактора Ха. Жодна </w:t>
      </w:r>
      <w:r w:rsidR="00187CE2">
        <w:rPr>
          <w:rFonts w:ascii="Times New Roman" w:hAnsi="Times New Roman" w:cs="Times New Roman"/>
          <w:color w:val="000000" w:themeColor="text1"/>
          <w:lang w:val="uk-UA"/>
        </w:rPr>
        <w:t>і</w:t>
      </w:r>
      <w:r w:rsidRPr="000C757C">
        <w:rPr>
          <w:rFonts w:ascii="Times New Roman" w:hAnsi="Times New Roman" w:cs="Times New Roman"/>
          <w:color w:val="000000" w:themeColor="text1"/>
          <w:lang w:val="uk-UA"/>
        </w:rPr>
        <w:t xml:space="preserve">з цих комбінацій </w:t>
      </w:r>
      <w:r w:rsidR="00187CE2">
        <w:rPr>
          <w:rFonts w:ascii="Times New Roman" w:hAnsi="Times New Roman" w:cs="Times New Roman"/>
          <w:color w:val="000000" w:themeColor="text1"/>
          <w:lang w:val="uk-UA"/>
        </w:rPr>
        <w:t xml:space="preserve">ПППД із вищенаведеними препаратами </w:t>
      </w:r>
      <w:r w:rsidRPr="000C757C">
        <w:rPr>
          <w:rFonts w:ascii="Times New Roman" w:hAnsi="Times New Roman" w:cs="Times New Roman"/>
          <w:color w:val="000000" w:themeColor="text1"/>
          <w:lang w:val="uk-UA"/>
        </w:rPr>
        <w:t>не рекомендована.</w:t>
      </w:r>
    </w:p>
    <w:p w14:paraId="3704167A" w14:textId="77777777" w:rsidR="002C331D" w:rsidRDefault="002C331D" w:rsidP="00F53078">
      <w:pPr>
        <w:tabs>
          <w:tab w:val="left" w:pos="1089"/>
        </w:tabs>
        <w:ind w:left="360"/>
        <w:jc w:val="both"/>
        <w:rPr>
          <w:rFonts w:ascii="Times New Roman" w:hAnsi="Times New Roman" w:cs="Times New Roman"/>
          <w:color w:val="000000" w:themeColor="text1"/>
          <w:lang w:val="uk-UA"/>
        </w:rPr>
      </w:pPr>
    </w:p>
    <w:p w14:paraId="328E7609" w14:textId="449D2A2B" w:rsidR="000C757C" w:rsidRDefault="000C757C" w:rsidP="00F53078">
      <w:pPr>
        <w:tabs>
          <w:tab w:val="left" w:pos="1089"/>
        </w:tabs>
        <w:ind w:left="360"/>
        <w:jc w:val="both"/>
        <w:rPr>
          <w:rFonts w:ascii="Times New Roman" w:hAnsi="Times New Roman" w:cs="Times New Roman"/>
          <w:color w:val="000000" w:themeColor="text1"/>
          <w:lang w:val="uk-UA"/>
        </w:rPr>
      </w:pPr>
      <w:r w:rsidRPr="000C757C">
        <w:rPr>
          <w:rFonts w:ascii="Times New Roman" w:hAnsi="Times New Roman" w:cs="Times New Roman"/>
          <w:color w:val="000000" w:themeColor="text1"/>
          <w:lang w:val="uk-UA"/>
        </w:rPr>
        <w:t>Одночасне застосування</w:t>
      </w:r>
      <w:r w:rsidR="009D47EE">
        <w:rPr>
          <w:rFonts w:ascii="Times New Roman" w:hAnsi="Times New Roman" w:cs="Times New Roman"/>
          <w:color w:val="000000" w:themeColor="text1"/>
          <w:lang w:val="uk-UA"/>
        </w:rPr>
        <w:t xml:space="preserve"> </w:t>
      </w:r>
      <w:r w:rsidR="002C331D">
        <w:rPr>
          <w:rFonts w:ascii="Times New Roman" w:hAnsi="Times New Roman" w:cs="Times New Roman"/>
          <w:color w:val="000000" w:themeColor="text1"/>
          <w:lang w:val="uk-UA"/>
        </w:rPr>
        <w:t xml:space="preserve">з препаратами, які є </w:t>
      </w:r>
      <w:r w:rsidR="009D47EE">
        <w:rPr>
          <w:rFonts w:ascii="Times New Roman" w:hAnsi="Times New Roman" w:cs="Times New Roman"/>
          <w:color w:val="000000" w:themeColor="text1"/>
          <w:lang w:val="uk-UA"/>
        </w:rPr>
        <w:t xml:space="preserve">сильними </w:t>
      </w:r>
      <w:r w:rsidR="004D2A4F">
        <w:rPr>
          <w:rFonts w:ascii="Times New Roman" w:hAnsi="Times New Roman" w:cs="Times New Roman"/>
          <w:color w:val="000000" w:themeColor="text1"/>
          <w:lang w:val="uk-UA"/>
        </w:rPr>
        <w:t xml:space="preserve">P-gp </w:t>
      </w:r>
      <w:r w:rsidR="009D47EE">
        <w:rPr>
          <w:rFonts w:ascii="Times New Roman" w:hAnsi="Times New Roman" w:cs="Times New Roman"/>
          <w:color w:val="000000" w:themeColor="text1"/>
          <w:lang w:val="uk-UA"/>
        </w:rPr>
        <w:t>та/</w:t>
      </w:r>
      <w:r w:rsidRPr="000C757C">
        <w:rPr>
          <w:rFonts w:ascii="Times New Roman" w:hAnsi="Times New Roman" w:cs="Times New Roman"/>
          <w:color w:val="000000" w:themeColor="text1"/>
          <w:lang w:val="uk-UA"/>
        </w:rPr>
        <w:t>або сильними індукторами CYP, такими як рифампіцин, рифабутин, іваролі, карбамазепін, фенобарбітал або фенітоїн, протипоказані через зменшення експози</w:t>
      </w:r>
      <w:r w:rsidR="009D47EE">
        <w:rPr>
          <w:rFonts w:ascii="Times New Roman" w:hAnsi="Times New Roman" w:cs="Times New Roman"/>
          <w:color w:val="000000" w:themeColor="text1"/>
          <w:lang w:val="uk-UA"/>
        </w:rPr>
        <w:t xml:space="preserve">ції софосбувіру, </w:t>
      </w:r>
      <w:r w:rsidR="002C331D">
        <w:rPr>
          <w:rFonts w:ascii="Times New Roman" w:hAnsi="Times New Roman" w:cs="Times New Roman"/>
          <w:color w:val="000000" w:themeColor="text1"/>
          <w:lang w:val="uk-UA"/>
        </w:rPr>
        <w:t>в</w:t>
      </w:r>
      <w:r w:rsidR="002C331D" w:rsidRPr="009F1038">
        <w:rPr>
          <w:rFonts w:ascii="Times New Roman" w:hAnsi="Times New Roman" w:cs="Times New Roman"/>
          <w:color w:val="000000" w:themeColor="text1"/>
          <w:lang w:val="uk-UA"/>
        </w:rPr>
        <w:t>елпатасвір</w:t>
      </w:r>
      <w:r w:rsidR="002C331D">
        <w:rPr>
          <w:rFonts w:ascii="Times New Roman" w:hAnsi="Times New Roman" w:cs="Times New Roman"/>
          <w:color w:val="000000" w:themeColor="text1"/>
          <w:lang w:val="uk-UA"/>
        </w:rPr>
        <w:t>у</w:t>
      </w:r>
      <w:r w:rsidR="009D47EE">
        <w:rPr>
          <w:rFonts w:ascii="Times New Roman" w:hAnsi="Times New Roman" w:cs="Times New Roman"/>
          <w:color w:val="000000" w:themeColor="text1"/>
          <w:lang w:val="uk-UA"/>
        </w:rPr>
        <w:t xml:space="preserve"> та/</w:t>
      </w:r>
      <w:r w:rsidR="002C331D">
        <w:rPr>
          <w:rFonts w:ascii="Times New Roman" w:hAnsi="Times New Roman" w:cs="Times New Roman"/>
          <w:color w:val="000000" w:themeColor="text1"/>
          <w:lang w:val="uk-UA"/>
        </w:rPr>
        <w:t>або воксілапревіру з потенційною втратою</w:t>
      </w:r>
      <w:r w:rsidRPr="000C757C">
        <w:rPr>
          <w:rFonts w:ascii="Times New Roman" w:hAnsi="Times New Roman" w:cs="Times New Roman"/>
          <w:color w:val="000000" w:themeColor="text1"/>
          <w:lang w:val="uk-UA"/>
        </w:rPr>
        <w:t xml:space="preserve"> ефективності. Однак </w:t>
      </w:r>
      <w:r w:rsidR="002C331D">
        <w:rPr>
          <w:rFonts w:ascii="Times New Roman" w:hAnsi="Times New Roman" w:cs="Times New Roman"/>
          <w:color w:val="000000" w:themeColor="text1"/>
          <w:lang w:val="uk-UA"/>
        </w:rPr>
        <w:t>і помірні інгібітор</w:t>
      </w:r>
      <w:r w:rsidRPr="000C757C">
        <w:rPr>
          <w:rFonts w:ascii="Times New Roman" w:hAnsi="Times New Roman" w:cs="Times New Roman"/>
          <w:color w:val="000000" w:themeColor="text1"/>
          <w:lang w:val="uk-UA"/>
        </w:rPr>
        <w:t xml:space="preserve">и </w:t>
      </w:r>
      <w:r w:rsidR="004D2A4F">
        <w:rPr>
          <w:rFonts w:ascii="Times New Roman" w:hAnsi="Times New Roman" w:cs="Times New Roman"/>
          <w:color w:val="000000" w:themeColor="text1"/>
          <w:lang w:val="uk-UA"/>
        </w:rPr>
        <w:t xml:space="preserve">P-gp </w:t>
      </w:r>
      <w:r w:rsidRPr="000C757C">
        <w:rPr>
          <w:rFonts w:ascii="Times New Roman" w:hAnsi="Times New Roman" w:cs="Times New Roman"/>
          <w:color w:val="000000" w:themeColor="text1"/>
          <w:lang w:val="uk-UA"/>
        </w:rPr>
        <w:t>або CYP (такі як модафініл, ефа</w:t>
      </w:r>
      <w:r w:rsidR="002C331D">
        <w:rPr>
          <w:rFonts w:ascii="Times New Roman" w:hAnsi="Times New Roman" w:cs="Times New Roman"/>
          <w:color w:val="000000" w:themeColor="text1"/>
          <w:lang w:val="uk-UA"/>
        </w:rPr>
        <w:t>віренц, окскарбазепін та ін.), я</w:t>
      </w:r>
      <w:r w:rsidRPr="000C757C">
        <w:rPr>
          <w:rFonts w:ascii="Times New Roman" w:hAnsi="Times New Roman" w:cs="Times New Roman"/>
          <w:color w:val="000000" w:themeColor="text1"/>
          <w:lang w:val="uk-UA"/>
        </w:rPr>
        <w:t>кі тако</w:t>
      </w:r>
      <w:r w:rsidR="002C331D">
        <w:rPr>
          <w:rFonts w:ascii="Times New Roman" w:hAnsi="Times New Roman" w:cs="Times New Roman"/>
          <w:color w:val="000000" w:themeColor="text1"/>
          <w:lang w:val="uk-UA"/>
        </w:rPr>
        <w:t xml:space="preserve">ж можуть зменшити вплив цієї </w:t>
      </w:r>
      <w:r w:rsidR="00FF5BA0">
        <w:rPr>
          <w:rFonts w:ascii="Times New Roman" w:hAnsi="Times New Roman" w:cs="Times New Roman"/>
          <w:color w:val="000000" w:themeColor="text1"/>
          <w:lang w:val="uk-UA"/>
        </w:rPr>
        <w:t xml:space="preserve">комбінації </w:t>
      </w:r>
      <w:r w:rsidR="002C331D">
        <w:rPr>
          <w:rFonts w:ascii="Times New Roman" w:hAnsi="Times New Roman" w:cs="Times New Roman"/>
          <w:color w:val="000000" w:themeColor="text1"/>
          <w:lang w:val="uk-UA"/>
        </w:rPr>
        <w:t>ПППД,  наразі не є рекомендованими</w:t>
      </w:r>
      <w:r w:rsidRPr="000C757C">
        <w:rPr>
          <w:rFonts w:ascii="Times New Roman" w:hAnsi="Times New Roman" w:cs="Times New Roman"/>
          <w:color w:val="000000" w:themeColor="text1"/>
          <w:lang w:val="uk-UA"/>
        </w:rPr>
        <w:t>.</w:t>
      </w:r>
    </w:p>
    <w:p w14:paraId="4DCBF527" w14:textId="77777777" w:rsidR="00D323D5" w:rsidRDefault="00D323D5" w:rsidP="00F53078">
      <w:pPr>
        <w:tabs>
          <w:tab w:val="left" w:pos="1089"/>
        </w:tabs>
        <w:ind w:left="360"/>
        <w:jc w:val="both"/>
        <w:rPr>
          <w:rFonts w:ascii="Times New Roman" w:hAnsi="Times New Roman" w:cs="Times New Roman"/>
          <w:color w:val="000000" w:themeColor="text1"/>
          <w:lang w:val="uk-UA"/>
        </w:rPr>
      </w:pPr>
    </w:p>
    <w:p w14:paraId="5FA33C92" w14:textId="0612FD43" w:rsidR="00D323D5" w:rsidRPr="00D323D5" w:rsidRDefault="00D323D5" w:rsidP="00F53078">
      <w:pPr>
        <w:tabs>
          <w:tab w:val="left" w:pos="1089"/>
        </w:tabs>
        <w:ind w:left="360"/>
        <w:jc w:val="both"/>
        <w:rPr>
          <w:rFonts w:ascii="Times New Roman" w:hAnsi="Times New Roman" w:cs="Times New Roman"/>
          <w:color w:val="000000" w:themeColor="text1"/>
          <w:lang w:val="uk-UA"/>
        </w:rPr>
      </w:pPr>
      <w:r w:rsidRPr="00D323D5">
        <w:rPr>
          <w:rFonts w:ascii="Times New Roman" w:hAnsi="Times New Roman" w:cs="Times New Roman"/>
          <w:color w:val="000000" w:themeColor="text1"/>
          <w:lang w:val="uk-UA"/>
        </w:rPr>
        <w:t xml:space="preserve">Для жінок </w:t>
      </w:r>
      <w:r w:rsidR="00187CE2">
        <w:rPr>
          <w:rFonts w:ascii="Times New Roman" w:hAnsi="Times New Roman" w:cs="Times New Roman"/>
          <w:color w:val="000000" w:themeColor="text1"/>
          <w:lang w:val="uk-UA"/>
        </w:rPr>
        <w:t>репродуктивного</w:t>
      </w:r>
      <w:r w:rsidRPr="00D323D5">
        <w:rPr>
          <w:rFonts w:ascii="Times New Roman" w:hAnsi="Times New Roman" w:cs="Times New Roman"/>
          <w:color w:val="000000" w:themeColor="text1"/>
          <w:lang w:val="uk-UA"/>
        </w:rPr>
        <w:t xml:space="preserve"> віку </w:t>
      </w:r>
      <w:r w:rsidR="00FF5BA0">
        <w:rPr>
          <w:rFonts w:ascii="Times New Roman" w:hAnsi="Times New Roman" w:cs="Times New Roman"/>
          <w:color w:val="000000" w:themeColor="text1"/>
          <w:lang w:val="uk-UA"/>
        </w:rPr>
        <w:t>одночасне</w:t>
      </w:r>
      <w:r w:rsidR="00FF5BA0" w:rsidRPr="00D323D5">
        <w:rPr>
          <w:rFonts w:ascii="Times New Roman" w:hAnsi="Times New Roman" w:cs="Times New Roman"/>
          <w:color w:val="000000" w:themeColor="text1"/>
          <w:lang w:val="uk-UA"/>
        </w:rPr>
        <w:t xml:space="preserve"> </w:t>
      </w:r>
      <w:r w:rsidRPr="00D323D5">
        <w:rPr>
          <w:rFonts w:ascii="Times New Roman" w:hAnsi="Times New Roman" w:cs="Times New Roman"/>
          <w:color w:val="000000" w:themeColor="text1"/>
          <w:lang w:val="uk-UA"/>
        </w:rPr>
        <w:t xml:space="preserve">застосування контрацептивів, що містять етинілестрадіол, протипоказане через ризик підвищення </w:t>
      </w:r>
      <w:r>
        <w:rPr>
          <w:rFonts w:ascii="Times New Roman" w:hAnsi="Times New Roman" w:cs="Times New Roman"/>
          <w:color w:val="000000" w:themeColor="text1"/>
          <w:lang w:val="en-US"/>
        </w:rPr>
        <w:t>AUC</w:t>
      </w:r>
      <w:r w:rsidRPr="00D323D5">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К</w:t>
      </w:r>
      <w:r w:rsidRPr="00D323D5">
        <w:rPr>
          <w:rFonts w:ascii="Times New Roman" w:hAnsi="Times New Roman" w:cs="Times New Roman"/>
          <w:color w:val="000000" w:themeColor="text1"/>
          <w:lang w:val="uk-UA"/>
        </w:rPr>
        <w:t xml:space="preserve">онтрацепція </w:t>
      </w:r>
      <w:r>
        <w:rPr>
          <w:rFonts w:ascii="Times New Roman" w:hAnsi="Times New Roman" w:cs="Times New Roman"/>
          <w:color w:val="000000" w:themeColor="text1"/>
          <w:lang w:val="uk-UA"/>
        </w:rPr>
        <w:t xml:space="preserve">з </w:t>
      </w:r>
      <w:r w:rsidR="00FA47A1">
        <w:rPr>
          <w:rFonts w:ascii="Times New Roman" w:hAnsi="Times New Roman" w:cs="Times New Roman"/>
          <w:color w:val="000000" w:themeColor="text1"/>
          <w:lang w:val="uk-UA"/>
        </w:rPr>
        <w:t xml:space="preserve">препаратами, які містять </w:t>
      </w:r>
      <w:r>
        <w:rPr>
          <w:rFonts w:ascii="Times New Roman" w:hAnsi="Times New Roman" w:cs="Times New Roman"/>
          <w:color w:val="000000" w:themeColor="text1"/>
          <w:lang w:val="uk-UA"/>
        </w:rPr>
        <w:t>прогестоген</w:t>
      </w:r>
      <w:r w:rsidR="00FA47A1">
        <w:rPr>
          <w:rFonts w:ascii="Times New Roman" w:hAnsi="Times New Roman" w:cs="Times New Roman"/>
          <w:color w:val="000000" w:themeColor="text1"/>
          <w:lang w:val="uk-UA"/>
        </w:rPr>
        <w:t xml:space="preserve"> є допустимою</w:t>
      </w:r>
      <w:r w:rsidRPr="00D323D5">
        <w:rPr>
          <w:rFonts w:ascii="Times New Roman" w:hAnsi="Times New Roman" w:cs="Times New Roman"/>
          <w:color w:val="000000" w:themeColor="text1"/>
          <w:lang w:val="uk-UA"/>
        </w:rPr>
        <w:t>.</w:t>
      </w:r>
    </w:p>
    <w:p w14:paraId="167E2407" w14:textId="77777777" w:rsidR="00FA47A1" w:rsidRDefault="00FA47A1" w:rsidP="00F53078">
      <w:pPr>
        <w:tabs>
          <w:tab w:val="left" w:pos="1089"/>
        </w:tabs>
        <w:ind w:left="360"/>
        <w:jc w:val="both"/>
        <w:rPr>
          <w:rFonts w:ascii="Times New Roman" w:hAnsi="Times New Roman" w:cs="Times New Roman"/>
          <w:color w:val="000000" w:themeColor="text1"/>
          <w:lang w:val="uk-UA"/>
        </w:rPr>
      </w:pPr>
    </w:p>
    <w:p w14:paraId="7D3193A8" w14:textId="55F8230E" w:rsidR="00D323D5" w:rsidRPr="00D323D5" w:rsidRDefault="00D323D5" w:rsidP="00F53078">
      <w:pPr>
        <w:tabs>
          <w:tab w:val="left" w:pos="1089"/>
        </w:tabs>
        <w:ind w:left="360"/>
        <w:jc w:val="both"/>
        <w:rPr>
          <w:rFonts w:ascii="Times New Roman" w:hAnsi="Times New Roman" w:cs="Times New Roman"/>
          <w:color w:val="000000" w:themeColor="text1"/>
          <w:lang w:val="uk-UA"/>
        </w:rPr>
      </w:pPr>
      <w:r w:rsidRPr="00D323D5">
        <w:rPr>
          <w:rFonts w:ascii="Times New Roman" w:hAnsi="Times New Roman" w:cs="Times New Roman"/>
          <w:color w:val="000000" w:themeColor="text1"/>
          <w:lang w:val="uk-UA"/>
        </w:rPr>
        <w:t xml:space="preserve">Розчинність </w:t>
      </w:r>
      <w:r w:rsidR="00FA47A1">
        <w:rPr>
          <w:rFonts w:ascii="Times New Roman" w:hAnsi="Times New Roman" w:cs="Times New Roman"/>
          <w:color w:val="000000" w:themeColor="text1"/>
          <w:lang w:val="uk-UA"/>
        </w:rPr>
        <w:t>в</w:t>
      </w:r>
      <w:r w:rsidR="00FA47A1" w:rsidRPr="009F1038">
        <w:rPr>
          <w:rFonts w:ascii="Times New Roman" w:hAnsi="Times New Roman" w:cs="Times New Roman"/>
          <w:color w:val="000000" w:themeColor="text1"/>
          <w:lang w:val="uk-UA"/>
        </w:rPr>
        <w:t>елпатасвір</w:t>
      </w:r>
      <w:r w:rsidR="00FA47A1">
        <w:rPr>
          <w:rFonts w:ascii="Times New Roman" w:hAnsi="Times New Roman" w:cs="Times New Roman"/>
          <w:color w:val="000000" w:themeColor="text1"/>
          <w:lang w:val="uk-UA"/>
        </w:rPr>
        <w:t>у</w:t>
      </w:r>
      <w:r w:rsidRPr="00D323D5">
        <w:rPr>
          <w:rFonts w:ascii="Times New Roman" w:hAnsi="Times New Roman" w:cs="Times New Roman"/>
          <w:color w:val="000000" w:themeColor="text1"/>
          <w:lang w:val="uk-UA"/>
        </w:rPr>
        <w:t xml:space="preserve"> зменшується при збільшен</w:t>
      </w:r>
      <w:r w:rsidR="00FA47A1">
        <w:rPr>
          <w:rFonts w:ascii="Times New Roman" w:hAnsi="Times New Roman" w:cs="Times New Roman"/>
          <w:color w:val="000000" w:themeColor="text1"/>
          <w:lang w:val="uk-UA"/>
        </w:rPr>
        <w:t>ні рН. Тому важливо ознайомитися з рекомендаціями</w:t>
      </w:r>
      <w:r w:rsidRPr="00D323D5">
        <w:rPr>
          <w:rFonts w:ascii="Times New Roman" w:hAnsi="Times New Roman" w:cs="Times New Roman"/>
          <w:color w:val="000000" w:themeColor="text1"/>
          <w:lang w:val="uk-UA"/>
        </w:rPr>
        <w:t xml:space="preserve"> щодо спільного введення антацидів, антагоністів H2</w:t>
      </w:r>
      <w:r w:rsidR="00FC6D8A">
        <w:rPr>
          <w:rFonts w:ascii="Times New Roman" w:hAnsi="Times New Roman" w:cs="Times New Roman"/>
          <w:color w:val="000000" w:themeColor="text1"/>
          <w:lang w:val="uk-UA"/>
        </w:rPr>
        <w:t>–</w:t>
      </w:r>
      <w:r w:rsidRPr="00D323D5">
        <w:rPr>
          <w:rFonts w:ascii="Times New Roman" w:hAnsi="Times New Roman" w:cs="Times New Roman"/>
          <w:color w:val="000000" w:themeColor="text1"/>
          <w:lang w:val="uk-UA"/>
        </w:rPr>
        <w:t>рецепторі</w:t>
      </w:r>
      <w:r w:rsidR="00FA47A1">
        <w:rPr>
          <w:rFonts w:ascii="Times New Roman" w:hAnsi="Times New Roman" w:cs="Times New Roman"/>
          <w:color w:val="000000" w:themeColor="text1"/>
          <w:lang w:val="uk-UA"/>
        </w:rPr>
        <w:t>в та інгібіторів протонно</w:t>
      </w:r>
      <w:r w:rsidR="00870D13">
        <w:rPr>
          <w:rFonts w:ascii="Times New Roman" w:hAnsi="Times New Roman" w:cs="Times New Roman"/>
          <w:color w:val="000000" w:themeColor="text1"/>
          <w:lang w:val="uk-UA"/>
        </w:rPr>
        <w:t>ї помпи</w:t>
      </w:r>
      <w:r w:rsidRPr="00D323D5">
        <w:rPr>
          <w:rFonts w:ascii="Times New Roman" w:hAnsi="Times New Roman" w:cs="Times New Roman"/>
          <w:color w:val="000000" w:themeColor="text1"/>
          <w:lang w:val="uk-UA"/>
        </w:rPr>
        <w:t xml:space="preserve">. </w:t>
      </w:r>
      <w:r w:rsidRPr="007C2563">
        <w:rPr>
          <w:rFonts w:ascii="Times New Roman" w:hAnsi="Times New Roman" w:cs="Times New Roman"/>
          <w:color w:val="000000" w:themeColor="text1"/>
          <w:lang w:val="uk-UA"/>
        </w:rPr>
        <w:t xml:space="preserve">Інгібітори </w:t>
      </w:r>
      <w:r w:rsidR="00FA47A1" w:rsidRPr="007C2563">
        <w:rPr>
          <w:rFonts w:ascii="Times New Roman" w:hAnsi="Times New Roman" w:cs="Times New Roman"/>
          <w:color w:val="000000" w:themeColor="text1"/>
          <w:lang w:val="uk-UA"/>
        </w:rPr>
        <w:t>протонн</w:t>
      </w:r>
      <w:r w:rsidR="00870D13" w:rsidRPr="007C2563">
        <w:rPr>
          <w:rFonts w:ascii="Times New Roman" w:hAnsi="Times New Roman" w:cs="Times New Roman"/>
          <w:color w:val="000000" w:themeColor="text1"/>
          <w:lang w:val="uk-UA"/>
        </w:rPr>
        <w:t>ої помпи</w:t>
      </w:r>
      <w:r w:rsidR="00FA47A1" w:rsidRPr="007C2563">
        <w:rPr>
          <w:rFonts w:ascii="Times New Roman" w:hAnsi="Times New Roman" w:cs="Times New Roman"/>
          <w:color w:val="000000" w:themeColor="text1"/>
          <w:lang w:val="uk-UA"/>
        </w:rPr>
        <w:t xml:space="preserve"> </w:t>
      </w:r>
      <w:r w:rsidRPr="007C2563">
        <w:rPr>
          <w:rFonts w:ascii="Times New Roman" w:hAnsi="Times New Roman" w:cs="Times New Roman"/>
          <w:color w:val="000000" w:themeColor="text1"/>
          <w:lang w:val="uk-UA"/>
        </w:rPr>
        <w:t>можут</w:t>
      </w:r>
      <w:r w:rsidR="00FA47A1" w:rsidRPr="007C2563">
        <w:rPr>
          <w:rFonts w:ascii="Times New Roman" w:hAnsi="Times New Roman" w:cs="Times New Roman"/>
          <w:color w:val="000000" w:themeColor="text1"/>
          <w:lang w:val="uk-UA"/>
        </w:rPr>
        <w:t>ь бути введені з софосбувіром/</w:t>
      </w:r>
      <w:r w:rsidRPr="007C2563">
        <w:rPr>
          <w:rFonts w:ascii="Times New Roman" w:hAnsi="Times New Roman" w:cs="Times New Roman"/>
          <w:color w:val="000000" w:themeColor="text1"/>
          <w:lang w:val="uk-UA"/>
        </w:rPr>
        <w:t>в</w:t>
      </w:r>
      <w:r w:rsidR="00FF5BA0" w:rsidRPr="007C2563">
        <w:rPr>
          <w:rFonts w:ascii="Times New Roman" w:hAnsi="Times New Roman" w:cs="Times New Roman"/>
          <w:color w:val="000000" w:themeColor="text1"/>
          <w:lang w:val="uk-UA"/>
        </w:rPr>
        <w:t>елпа</w:t>
      </w:r>
      <w:r w:rsidRPr="007C2563">
        <w:rPr>
          <w:rFonts w:ascii="Times New Roman" w:hAnsi="Times New Roman" w:cs="Times New Roman"/>
          <w:color w:val="000000" w:themeColor="text1"/>
          <w:lang w:val="uk-UA"/>
        </w:rPr>
        <w:t>тасвір</w:t>
      </w:r>
      <w:r w:rsidR="00FA47A1" w:rsidRPr="007C2563">
        <w:rPr>
          <w:rFonts w:ascii="Times New Roman" w:hAnsi="Times New Roman" w:cs="Times New Roman"/>
          <w:color w:val="000000" w:themeColor="text1"/>
          <w:lang w:val="uk-UA"/>
        </w:rPr>
        <w:t>ом/</w:t>
      </w:r>
      <w:r w:rsidRPr="007C2563">
        <w:rPr>
          <w:rFonts w:ascii="Times New Roman" w:hAnsi="Times New Roman" w:cs="Times New Roman"/>
          <w:color w:val="000000" w:themeColor="text1"/>
          <w:lang w:val="uk-UA"/>
        </w:rPr>
        <w:t>воксілапревір</w:t>
      </w:r>
      <w:r w:rsidR="00FA47A1" w:rsidRPr="007C2563">
        <w:rPr>
          <w:rFonts w:ascii="Times New Roman" w:hAnsi="Times New Roman" w:cs="Times New Roman"/>
          <w:color w:val="000000" w:themeColor="text1"/>
          <w:lang w:val="uk-UA"/>
        </w:rPr>
        <w:t>ом у дозуванні, що</w:t>
      </w:r>
      <w:r w:rsidRPr="007C2563">
        <w:rPr>
          <w:rFonts w:ascii="Times New Roman" w:hAnsi="Times New Roman" w:cs="Times New Roman"/>
          <w:color w:val="000000" w:themeColor="text1"/>
          <w:lang w:val="uk-UA"/>
        </w:rPr>
        <w:t xml:space="preserve"> н</w:t>
      </w:r>
      <w:r w:rsidR="00FA47A1" w:rsidRPr="007C2563">
        <w:rPr>
          <w:rFonts w:ascii="Times New Roman" w:hAnsi="Times New Roman" w:cs="Times New Roman"/>
          <w:color w:val="000000" w:themeColor="text1"/>
          <w:lang w:val="uk-UA"/>
        </w:rPr>
        <w:t>е перевищує доз</w:t>
      </w:r>
      <w:r w:rsidR="00FF5BA0" w:rsidRPr="007C2563">
        <w:rPr>
          <w:rFonts w:ascii="Times New Roman" w:hAnsi="Times New Roman" w:cs="Times New Roman"/>
          <w:color w:val="000000" w:themeColor="text1"/>
          <w:lang w:val="uk-UA"/>
        </w:rPr>
        <w:t>и</w:t>
      </w:r>
      <w:r w:rsidRPr="007C2563">
        <w:rPr>
          <w:rFonts w:ascii="Times New Roman" w:hAnsi="Times New Roman" w:cs="Times New Roman"/>
          <w:color w:val="000000" w:themeColor="text1"/>
          <w:lang w:val="uk-UA"/>
        </w:rPr>
        <w:t xml:space="preserve"> </w:t>
      </w:r>
      <w:r w:rsidR="00FA47A1" w:rsidRPr="007C2563">
        <w:rPr>
          <w:rFonts w:ascii="Times New Roman" w:hAnsi="Times New Roman" w:cs="Times New Roman"/>
          <w:color w:val="000000" w:themeColor="text1"/>
          <w:lang w:val="uk-UA"/>
        </w:rPr>
        <w:t xml:space="preserve">у </w:t>
      </w:r>
      <w:r w:rsidRPr="007C2563">
        <w:rPr>
          <w:rFonts w:ascii="Times New Roman" w:hAnsi="Times New Roman" w:cs="Times New Roman"/>
          <w:color w:val="000000" w:themeColor="text1"/>
          <w:lang w:val="uk-UA"/>
        </w:rPr>
        <w:t xml:space="preserve">порівнянні з омепразолом 20 мг (табл. 5). </w:t>
      </w:r>
      <w:r w:rsidR="00187CE2" w:rsidRPr="007C2563">
        <w:rPr>
          <w:rFonts w:ascii="Times New Roman" w:hAnsi="Times New Roman" w:cs="Times New Roman"/>
          <w:color w:val="000000" w:themeColor="text1"/>
          <w:lang w:val="uk-UA"/>
        </w:rPr>
        <w:t>С</w:t>
      </w:r>
      <w:r w:rsidR="00FA47A1" w:rsidRPr="007C2563">
        <w:rPr>
          <w:rFonts w:ascii="Times New Roman" w:hAnsi="Times New Roman" w:cs="Times New Roman"/>
          <w:color w:val="000000" w:themeColor="text1"/>
          <w:lang w:val="uk-UA"/>
        </w:rPr>
        <w:t>офосбувір/</w:t>
      </w:r>
      <w:r w:rsidR="00FF5BA0" w:rsidRPr="007C2563">
        <w:rPr>
          <w:rFonts w:ascii="Times New Roman" w:hAnsi="Times New Roman" w:cs="Times New Roman"/>
          <w:color w:val="000000" w:themeColor="text1"/>
          <w:lang w:val="uk-UA"/>
        </w:rPr>
        <w:t>велпатасвір</w:t>
      </w:r>
      <w:r w:rsidR="00FA47A1" w:rsidRPr="007C2563">
        <w:rPr>
          <w:rFonts w:ascii="Times New Roman" w:hAnsi="Times New Roman" w:cs="Times New Roman"/>
          <w:color w:val="000000" w:themeColor="text1"/>
          <w:lang w:val="uk-UA"/>
        </w:rPr>
        <w:t xml:space="preserve">/воксілапревір </w:t>
      </w:r>
      <w:r w:rsidRPr="007C2563">
        <w:rPr>
          <w:rFonts w:ascii="Times New Roman" w:hAnsi="Times New Roman" w:cs="Times New Roman"/>
          <w:color w:val="000000" w:themeColor="text1"/>
          <w:lang w:val="uk-UA"/>
        </w:rPr>
        <w:t xml:space="preserve">слід приймати разом з їжею </w:t>
      </w:r>
      <w:r w:rsidR="00FA47A1" w:rsidRPr="007C2563">
        <w:rPr>
          <w:rFonts w:ascii="Times New Roman" w:hAnsi="Times New Roman" w:cs="Times New Roman"/>
          <w:color w:val="000000" w:themeColor="text1"/>
          <w:lang w:val="uk-UA"/>
        </w:rPr>
        <w:t xml:space="preserve">і, якщо це можливо, </w:t>
      </w:r>
      <w:r w:rsidRPr="007C2563">
        <w:rPr>
          <w:rFonts w:ascii="Times New Roman" w:hAnsi="Times New Roman" w:cs="Times New Roman"/>
          <w:color w:val="000000" w:themeColor="text1"/>
          <w:lang w:val="uk-UA"/>
        </w:rPr>
        <w:t>за</w:t>
      </w:r>
      <w:r w:rsidRPr="00D323D5">
        <w:rPr>
          <w:rFonts w:ascii="Times New Roman" w:hAnsi="Times New Roman" w:cs="Times New Roman"/>
          <w:color w:val="000000" w:themeColor="text1"/>
          <w:lang w:val="uk-UA"/>
        </w:rPr>
        <w:t xml:space="preserve"> 4 години</w:t>
      </w:r>
      <w:r w:rsidR="00FA47A1">
        <w:rPr>
          <w:rFonts w:ascii="Times New Roman" w:hAnsi="Times New Roman" w:cs="Times New Roman"/>
          <w:color w:val="000000" w:themeColor="text1"/>
          <w:lang w:val="uk-UA"/>
        </w:rPr>
        <w:t xml:space="preserve"> до </w:t>
      </w:r>
      <w:r w:rsidR="00FF5BA0">
        <w:rPr>
          <w:rFonts w:ascii="Times New Roman" w:hAnsi="Times New Roman" w:cs="Times New Roman"/>
          <w:color w:val="000000" w:themeColor="text1"/>
          <w:lang w:val="uk-UA"/>
        </w:rPr>
        <w:t xml:space="preserve">прийому </w:t>
      </w:r>
      <w:r w:rsidR="00FA47A1">
        <w:rPr>
          <w:rFonts w:ascii="Times New Roman" w:hAnsi="Times New Roman" w:cs="Times New Roman"/>
          <w:color w:val="000000" w:themeColor="text1"/>
          <w:lang w:val="uk-UA"/>
        </w:rPr>
        <w:t>інгібітор</w:t>
      </w:r>
      <w:r w:rsidR="00FF5BA0">
        <w:rPr>
          <w:rFonts w:ascii="Times New Roman" w:hAnsi="Times New Roman" w:cs="Times New Roman"/>
          <w:color w:val="000000" w:themeColor="text1"/>
          <w:lang w:val="uk-UA"/>
        </w:rPr>
        <w:t>а</w:t>
      </w:r>
      <w:r w:rsidR="00FA47A1">
        <w:rPr>
          <w:rFonts w:ascii="Times New Roman" w:hAnsi="Times New Roman" w:cs="Times New Roman"/>
          <w:color w:val="000000" w:themeColor="text1"/>
          <w:lang w:val="uk-UA"/>
        </w:rPr>
        <w:t xml:space="preserve"> протонно</w:t>
      </w:r>
      <w:r w:rsidR="00870D13">
        <w:rPr>
          <w:rFonts w:ascii="Times New Roman" w:hAnsi="Times New Roman" w:cs="Times New Roman"/>
          <w:color w:val="000000" w:themeColor="text1"/>
          <w:lang w:val="uk-UA"/>
        </w:rPr>
        <w:t>ї</w:t>
      </w:r>
      <w:r w:rsidR="00FA47A1">
        <w:rPr>
          <w:rFonts w:ascii="Times New Roman" w:hAnsi="Times New Roman" w:cs="Times New Roman"/>
          <w:color w:val="000000" w:themeColor="text1"/>
          <w:lang w:val="uk-UA"/>
        </w:rPr>
        <w:t xml:space="preserve"> </w:t>
      </w:r>
      <w:r w:rsidR="00870D13">
        <w:rPr>
          <w:rFonts w:ascii="Times New Roman" w:hAnsi="Times New Roman" w:cs="Times New Roman"/>
          <w:color w:val="000000" w:themeColor="text1"/>
          <w:lang w:val="uk-UA"/>
        </w:rPr>
        <w:t>помпи</w:t>
      </w:r>
      <w:r w:rsidRPr="00D323D5">
        <w:rPr>
          <w:rFonts w:ascii="Times New Roman" w:hAnsi="Times New Roman" w:cs="Times New Roman"/>
          <w:color w:val="000000" w:themeColor="text1"/>
          <w:lang w:val="uk-UA"/>
        </w:rPr>
        <w:t>.</w:t>
      </w:r>
    </w:p>
    <w:p w14:paraId="5448AA04" w14:textId="77777777" w:rsidR="00FA47A1" w:rsidRDefault="00FA47A1" w:rsidP="00F53078">
      <w:pPr>
        <w:tabs>
          <w:tab w:val="left" w:pos="1089"/>
        </w:tabs>
        <w:ind w:left="360"/>
        <w:jc w:val="both"/>
        <w:rPr>
          <w:rFonts w:ascii="Times New Roman" w:hAnsi="Times New Roman" w:cs="Times New Roman"/>
          <w:color w:val="000000" w:themeColor="text1"/>
          <w:lang w:val="uk-UA"/>
        </w:rPr>
      </w:pPr>
    </w:p>
    <w:p w14:paraId="2488C405" w14:textId="1EE73AE4" w:rsidR="00D323D5" w:rsidRDefault="00FA47A1" w:rsidP="00F53078">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У пацієнтів з коінфекцією ВІЛ</w:t>
      </w:r>
      <w:r w:rsidR="00187CE2">
        <w:rPr>
          <w:rFonts w:ascii="Times New Roman" w:hAnsi="Times New Roman" w:cs="Times New Roman"/>
          <w:color w:val="000000" w:themeColor="text1"/>
          <w:lang w:val="uk-UA"/>
        </w:rPr>
        <w:t>/</w:t>
      </w:r>
      <w:r>
        <w:rPr>
          <w:rFonts w:ascii="Times New Roman" w:hAnsi="Times New Roman" w:cs="Times New Roman"/>
          <w:color w:val="000000" w:themeColor="text1"/>
          <w:lang w:val="uk-UA"/>
        </w:rPr>
        <w:t>ВГС</w:t>
      </w:r>
      <w:r w:rsidR="00D323D5" w:rsidRPr="00D323D5">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софосбувір/</w:t>
      </w:r>
      <w:r w:rsidR="00FF5BA0" w:rsidRPr="00D323D5">
        <w:rPr>
          <w:rFonts w:ascii="Times New Roman" w:hAnsi="Times New Roman" w:cs="Times New Roman"/>
          <w:color w:val="000000" w:themeColor="text1"/>
          <w:lang w:val="uk-UA"/>
        </w:rPr>
        <w:t>в</w:t>
      </w:r>
      <w:r w:rsidR="00FF5BA0">
        <w:rPr>
          <w:rFonts w:ascii="Times New Roman" w:hAnsi="Times New Roman" w:cs="Times New Roman"/>
          <w:color w:val="000000" w:themeColor="text1"/>
          <w:lang w:val="uk-UA"/>
        </w:rPr>
        <w:t>елпа</w:t>
      </w:r>
      <w:r w:rsidR="00FF5BA0" w:rsidRPr="00D323D5">
        <w:rPr>
          <w:rFonts w:ascii="Times New Roman" w:hAnsi="Times New Roman" w:cs="Times New Roman"/>
          <w:color w:val="000000" w:themeColor="text1"/>
          <w:lang w:val="uk-UA"/>
        </w:rPr>
        <w:t>тасвір</w:t>
      </w:r>
      <w:r>
        <w:rPr>
          <w:rFonts w:ascii="Times New Roman" w:hAnsi="Times New Roman" w:cs="Times New Roman"/>
          <w:color w:val="000000" w:themeColor="text1"/>
          <w:lang w:val="uk-UA"/>
        </w:rPr>
        <w:t>/</w:t>
      </w:r>
      <w:r w:rsidRPr="00D323D5">
        <w:rPr>
          <w:rFonts w:ascii="Times New Roman" w:hAnsi="Times New Roman" w:cs="Times New Roman"/>
          <w:color w:val="000000" w:themeColor="text1"/>
          <w:lang w:val="uk-UA"/>
        </w:rPr>
        <w:t>воксілапревір</w:t>
      </w:r>
      <w:r>
        <w:rPr>
          <w:rFonts w:ascii="Times New Roman" w:hAnsi="Times New Roman" w:cs="Times New Roman"/>
          <w:color w:val="000000" w:themeColor="text1"/>
          <w:lang w:val="uk-UA"/>
        </w:rPr>
        <w:t xml:space="preserve"> </w:t>
      </w:r>
      <w:r w:rsidR="00D323D5" w:rsidRPr="00D323D5">
        <w:rPr>
          <w:rFonts w:ascii="Times New Roman" w:hAnsi="Times New Roman" w:cs="Times New Roman"/>
          <w:color w:val="000000" w:themeColor="text1"/>
          <w:lang w:val="uk-UA"/>
        </w:rPr>
        <w:t xml:space="preserve">не рекомендується застосовувати </w:t>
      </w:r>
      <w:r>
        <w:rPr>
          <w:rFonts w:ascii="Times New Roman" w:hAnsi="Times New Roman" w:cs="Times New Roman"/>
          <w:color w:val="000000" w:themeColor="text1"/>
          <w:lang w:val="uk-UA"/>
        </w:rPr>
        <w:t xml:space="preserve">з </w:t>
      </w:r>
      <w:r w:rsidR="00D323D5" w:rsidRPr="00D323D5">
        <w:rPr>
          <w:rFonts w:ascii="Times New Roman" w:hAnsi="Times New Roman" w:cs="Times New Roman"/>
          <w:color w:val="000000" w:themeColor="text1"/>
          <w:lang w:val="uk-UA"/>
        </w:rPr>
        <w:t>ефавірен</w:t>
      </w:r>
      <w:r w:rsidR="00FF5BA0">
        <w:rPr>
          <w:rFonts w:ascii="Times New Roman" w:hAnsi="Times New Roman" w:cs="Times New Roman"/>
          <w:color w:val="000000" w:themeColor="text1"/>
          <w:lang w:val="uk-UA"/>
        </w:rPr>
        <w:t>цом</w:t>
      </w:r>
      <w:r w:rsidR="00D323D5" w:rsidRPr="00D323D5">
        <w:rPr>
          <w:rFonts w:ascii="Times New Roman" w:hAnsi="Times New Roman" w:cs="Times New Roman"/>
          <w:color w:val="000000" w:themeColor="text1"/>
          <w:lang w:val="uk-UA"/>
        </w:rPr>
        <w:t>, етравірин</w:t>
      </w:r>
      <w:r w:rsidR="00FF5BA0">
        <w:rPr>
          <w:rFonts w:ascii="Times New Roman" w:hAnsi="Times New Roman" w:cs="Times New Roman"/>
          <w:color w:val="000000" w:themeColor="text1"/>
          <w:lang w:val="uk-UA"/>
        </w:rPr>
        <w:t>ом</w:t>
      </w:r>
      <w:r w:rsidR="00D323D5" w:rsidRPr="00D323D5">
        <w:rPr>
          <w:rFonts w:ascii="Times New Roman" w:hAnsi="Times New Roman" w:cs="Times New Roman"/>
          <w:color w:val="000000" w:themeColor="text1"/>
          <w:lang w:val="uk-UA"/>
        </w:rPr>
        <w:t xml:space="preserve"> та невірапін</w:t>
      </w:r>
      <w:r w:rsidR="00FF5BA0">
        <w:rPr>
          <w:rFonts w:ascii="Times New Roman" w:hAnsi="Times New Roman" w:cs="Times New Roman"/>
          <w:color w:val="000000" w:themeColor="text1"/>
          <w:lang w:val="uk-UA"/>
        </w:rPr>
        <w:t>ом</w:t>
      </w:r>
      <w:r w:rsidR="00D323D5" w:rsidRPr="00D323D5">
        <w:rPr>
          <w:rFonts w:ascii="Times New Roman" w:hAnsi="Times New Roman" w:cs="Times New Roman"/>
          <w:color w:val="000000" w:themeColor="text1"/>
          <w:lang w:val="uk-UA"/>
        </w:rPr>
        <w:t xml:space="preserve">, а також </w:t>
      </w:r>
      <w:r>
        <w:rPr>
          <w:rFonts w:ascii="Times New Roman" w:hAnsi="Times New Roman" w:cs="Times New Roman"/>
          <w:color w:val="000000" w:themeColor="text1"/>
          <w:lang w:val="uk-UA"/>
        </w:rPr>
        <w:t>з інгібіторами протеази атазанавір/ритонавір та лопінавір/</w:t>
      </w:r>
      <w:r w:rsidR="00D323D5" w:rsidRPr="00D323D5">
        <w:rPr>
          <w:rFonts w:ascii="Times New Roman" w:hAnsi="Times New Roman" w:cs="Times New Roman"/>
          <w:color w:val="000000" w:themeColor="text1"/>
          <w:lang w:val="uk-UA"/>
        </w:rPr>
        <w:t xml:space="preserve">ритонавір. </w:t>
      </w:r>
      <w:r w:rsidR="00187CE2">
        <w:rPr>
          <w:rFonts w:ascii="Times New Roman" w:hAnsi="Times New Roman" w:cs="Times New Roman"/>
          <w:color w:val="000000" w:themeColor="text1"/>
          <w:lang w:val="uk-UA"/>
        </w:rPr>
        <w:t>Д</w:t>
      </w:r>
      <w:r>
        <w:rPr>
          <w:rFonts w:ascii="Times New Roman" w:hAnsi="Times New Roman" w:cs="Times New Roman"/>
          <w:color w:val="000000" w:themeColor="text1"/>
          <w:lang w:val="uk-UA"/>
        </w:rPr>
        <w:t>арунавір/рітонавір</w:t>
      </w:r>
      <w:r w:rsidR="00D323D5" w:rsidRPr="00D323D5">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дарунавір/кобіцистат та атазанавір/кобіцистат</w:t>
      </w:r>
      <w:r w:rsidR="00D323D5" w:rsidRPr="00D323D5">
        <w:rPr>
          <w:rFonts w:ascii="Times New Roman" w:hAnsi="Times New Roman" w:cs="Times New Roman"/>
          <w:color w:val="000000" w:themeColor="text1"/>
          <w:lang w:val="uk-UA"/>
        </w:rPr>
        <w:t xml:space="preserve"> двічі на день</w:t>
      </w:r>
      <w:r w:rsidR="00187CE2" w:rsidRPr="00187CE2">
        <w:rPr>
          <w:rFonts w:ascii="Times New Roman" w:hAnsi="Times New Roman" w:cs="Times New Roman"/>
          <w:color w:val="000000" w:themeColor="text1"/>
          <w:lang w:val="uk-UA"/>
        </w:rPr>
        <w:t xml:space="preserve"> </w:t>
      </w:r>
      <w:r w:rsidR="00187CE2">
        <w:rPr>
          <w:rFonts w:ascii="Times New Roman" w:hAnsi="Times New Roman" w:cs="Times New Roman"/>
          <w:color w:val="000000" w:themeColor="text1"/>
          <w:lang w:val="uk-UA"/>
        </w:rPr>
        <w:t>необхідно приймати з обережністю</w:t>
      </w:r>
      <w:r w:rsidR="00D323D5" w:rsidRPr="00D323D5">
        <w:rPr>
          <w:rFonts w:ascii="Times New Roman" w:hAnsi="Times New Roman" w:cs="Times New Roman"/>
          <w:color w:val="000000" w:themeColor="text1"/>
          <w:lang w:val="uk-UA"/>
        </w:rPr>
        <w:t xml:space="preserve">, оскільки </w:t>
      </w:r>
      <w:r w:rsidRPr="00D323D5">
        <w:rPr>
          <w:rFonts w:ascii="Times New Roman" w:hAnsi="Times New Roman" w:cs="Times New Roman"/>
          <w:color w:val="000000" w:themeColor="text1"/>
          <w:lang w:val="uk-UA"/>
        </w:rPr>
        <w:t xml:space="preserve">немає </w:t>
      </w:r>
      <w:r w:rsidR="00D323D5" w:rsidRPr="00D323D5">
        <w:rPr>
          <w:rFonts w:ascii="Times New Roman" w:hAnsi="Times New Roman" w:cs="Times New Roman"/>
          <w:color w:val="000000" w:themeColor="text1"/>
          <w:lang w:val="uk-UA"/>
        </w:rPr>
        <w:t>даних</w:t>
      </w:r>
      <w:r>
        <w:rPr>
          <w:rFonts w:ascii="Times New Roman" w:hAnsi="Times New Roman" w:cs="Times New Roman"/>
          <w:color w:val="000000" w:themeColor="text1"/>
          <w:lang w:val="uk-UA"/>
        </w:rPr>
        <w:t xml:space="preserve"> щодо сумісного прийому цих пре</w:t>
      </w:r>
      <w:r w:rsidR="00187CE2">
        <w:rPr>
          <w:rFonts w:ascii="Times New Roman" w:hAnsi="Times New Roman" w:cs="Times New Roman"/>
          <w:color w:val="000000" w:themeColor="text1"/>
          <w:lang w:val="uk-UA"/>
        </w:rPr>
        <w:t>п</w:t>
      </w:r>
      <w:r>
        <w:rPr>
          <w:rFonts w:ascii="Times New Roman" w:hAnsi="Times New Roman" w:cs="Times New Roman"/>
          <w:color w:val="000000" w:themeColor="text1"/>
          <w:lang w:val="uk-UA"/>
        </w:rPr>
        <w:t>ратів</w:t>
      </w:r>
      <w:r w:rsidR="00D323D5" w:rsidRPr="00D323D5">
        <w:rPr>
          <w:rFonts w:ascii="Times New Roman" w:hAnsi="Times New Roman" w:cs="Times New Roman"/>
          <w:color w:val="000000" w:themeColor="text1"/>
          <w:lang w:val="uk-UA"/>
        </w:rPr>
        <w:t xml:space="preserve">. Ефавіренц призводить до 50% зменшення експозиції </w:t>
      </w:r>
      <w:r w:rsidRPr="00D323D5">
        <w:rPr>
          <w:rFonts w:ascii="Times New Roman" w:hAnsi="Times New Roman" w:cs="Times New Roman"/>
          <w:color w:val="000000" w:themeColor="text1"/>
          <w:lang w:val="uk-UA"/>
        </w:rPr>
        <w:t>в</w:t>
      </w:r>
      <w:r w:rsidR="00E37449">
        <w:rPr>
          <w:rFonts w:ascii="Times New Roman" w:hAnsi="Times New Roman" w:cs="Times New Roman"/>
          <w:color w:val="000000" w:themeColor="text1"/>
          <w:lang w:val="uk-UA"/>
        </w:rPr>
        <w:t>елпа</w:t>
      </w:r>
      <w:r w:rsidRPr="00D323D5">
        <w:rPr>
          <w:rFonts w:ascii="Times New Roman" w:hAnsi="Times New Roman" w:cs="Times New Roman"/>
          <w:color w:val="000000" w:themeColor="text1"/>
          <w:lang w:val="uk-UA"/>
        </w:rPr>
        <w:t>тасвір</w:t>
      </w:r>
      <w:r>
        <w:rPr>
          <w:rFonts w:ascii="Times New Roman" w:hAnsi="Times New Roman" w:cs="Times New Roman"/>
          <w:color w:val="000000" w:themeColor="text1"/>
          <w:lang w:val="uk-UA"/>
        </w:rPr>
        <w:t xml:space="preserve">у </w:t>
      </w:r>
      <w:r w:rsidR="00D323D5" w:rsidRPr="00D323D5">
        <w:rPr>
          <w:rFonts w:ascii="Times New Roman" w:hAnsi="Times New Roman" w:cs="Times New Roman"/>
          <w:color w:val="000000" w:themeColor="text1"/>
          <w:lang w:val="uk-UA"/>
        </w:rPr>
        <w:t>і атазанавір</w:t>
      </w:r>
      <w:r w:rsidR="00E37449">
        <w:rPr>
          <w:rFonts w:ascii="Times New Roman" w:hAnsi="Times New Roman" w:cs="Times New Roman"/>
          <w:color w:val="000000" w:themeColor="text1"/>
          <w:lang w:val="uk-UA"/>
        </w:rPr>
        <w:t>у</w:t>
      </w:r>
      <w:r w:rsidR="00187CE2">
        <w:rPr>
          <w:rFonts w:ascii="Times New Roman" w:hAnsi="Times New Roman" w:cs="Times New Roman"/>
          <w:color w:val="000000" w:themeColor="text1"/>
          <w:lang w:val="uk-UA"/>
        </w:rPr>
        <w:t>,</w:t>
      </w:r>
      <w:r w:rsidR="00D323D5" w:rsidRPr="00D323D5">
        <w:rPr>
          <w:rFonts w:ascii="Times New Roman" w:hAnsi="Times New Roman" w:cs="Times New Roman"/>
          <w:color w:val="000000" w:themeColor="text1"/>
          <w:lang w:val="uk-UA"/>
        </w:rPr>
        <w:t xml:space="preserve"> викликає 4</w:t>
      </w:r>
      <w:r w:rsidR="00187CE2">
        <w:rPr>
          <w:rFonts w:ascii="Times New Roman" w:hAnsi="Times New Roman" w:cs="Times New Roman"/>
          <w:color w:val="000000" w:themeColor="text1"/>
          <w:lang w:val="uk-UA"/>
        </w:rPr>
        <w:t>-</w:t>
      </w:r>
      <w:r w:rsidR="00D323D5" w:rsidRPr="00D323D5">
        <w:rPr>
          <w:rFonts w:ascii="Times New Roman" w:hAnsi="Times New Roman" w:cs="Times New Roman"/>
          <w:color w:val="000000" w:themeColor="text1"/>
          <w:lang w:val="uk-UA"/>
        </w:rPr>
        <w:t>кратне збільшення експозиц</w:t>
      </w:r>
      <w:r>
        <w:rPr>
          <w:rFonts w:ascii="Times New Roman" w:hAnsi="Times New Roman" w:cs="Times New Roman"/>
          <w:color w:val="000000" w:themeColor="text1"/>
          <w:lang w:val="uk-UA"/>
        </w:rPr>
        <w:t>ії воксілапревіру. Софосбувір/</w:t>
      </w:r>
      <w:r w:rsidR="00D323D5" w:rsidRPr="00D323D5">
        <w:rPr>
          <w:rFonts w:ascii="Times New Roman" w:hAnsi="Times New Roman" w:cs="Times New Roman"/>
          <w:color w:val="000000" w:themeColor="text1"/>
          <w:lang w:val="uk-UA"/>
        </w:rPr>
        <w:t>вел</w:t>
      </w:r>
      <w:r w:rsidR="00E76D74">
        <w:rPr>
          <w:rFonts w:ascii="Times New Roman" w:hAnsi="Times New Roman" w:cs="Times New Roman"/>
          <w:color w:val="000000" w:themeColor="text1"/>
          <w:lang w:val="uk-UA"/>
        </w:rPr>
        <w:t>па</w:t>
      </w:r>
      <w:r w:rsidR="00D323D5" w:rsidRPr="00D323D5">
        <w:rPr>
          <w:rFonts w:ascii="Times New Roman" w:hAnsi="Times New Roman" w:cs="Times New Roman"/>
          <w:color w:val="000000" w:themeColor="text1"/>
          <w:lang w:val="uk-UA"/>
        </w:rPr>
        <w:t>тасвір/воксіла</w:t>
      </w:r>
      <w:r>
        <w:rPr>
          <w:rFonts w:ascii="Times New Roman" w:hAnsi="Times New Roman" w:cs="Times New Roman"/>
          <w:color w:val="000000" w:themeColor="text1"/>
          <w:lang w:val="uk-UA"/>
        </w:rPr>
        <w:t xml:space="preserve">превір також збільшує вплив тенофовіру, шляхом блокування </w:t>
      </w:r>
      <w:r w:rsidR="00D323D5" w:rsidRPr="00D323D5">
        <w:rPr>
          <w:rFonts w:ascii="Times New Roman" w:hAnsi="Times New Roman" w:cs="Times New Roman"/>
          <w:color w:val="000000" w:themeColor="text1"/>
          <w:lang w:val="uk-UA"/>
        </w:rPr>
        <w:t>P</w:t>
      </w:r>
      <w:r w:rsidR="00FC6D8A">
        <w:rPr>
          <w:rFonts w:ascii="Times New Roman" w:hAnsi="Times New Roman" w:cs="Times New Roman"/>
          <w:color w:val="000000" w:themeColor="text1"/>
          <w:lang w:val="uk-UA"/>
        </w:rPr>
        <w:t>–</w:t>
      </w:r>
      <w:r w:rsidR="00D323D5" w:rsidRPr="00D323D5">
        <w:rPr>
          <w:rFonts w:ascii="Times New Roman" w:hAnsi="Times New Roman" w:cs="Times New Roman"/>
          <w:color w:val="000000" w:themeColor="text1"/>
          <w:lang w:val="uk-UA"/>
        </w:rPr>
        <w:t>gp. Це</w:t>
      </w:r>
      <w:r>
        <w:rPr>
          <w:rFonts w:ascii="Times New Roman" w:hAnsi="Times New Roman" w:cs="Times New Roman"/>
          <w:color w:val="000000" w:themeColor="text1"/>
          <w:lang w:val="uk-UA"/>
        </w:rPr>
        <w:t xml:space="preserve"> означає, що </w:t>
      </w:r>
      <w:r w:rsidR="00187CE2">
        <w:rPr>
          <w:rFonts w:ascii="Times New Roman" w:hAnsi="Times New Roman" w:cs="Times New Roman"/>
          <w:color w:val="000000" w:themeColor="text1"/>
          <w:lang w:val="uk-UA"/>
        </w:rPr>
        <w:t xml:space="preserve">у </w:t>
      </w:r>
      <w:r>
        <w:rPr>
          <w:rFonts w:ascii="Times New Roman" w:hAnsi="Times New Roman" w:cs="Times New Roman"/>
          <w:color w:val="000000" w:themeColor="text1"/>
          <w:lang w:val="uk-UA"/>
        </w:rPr>
        <w:t>пацієнт</w:t>
      </w:r>
      <w:r w:rsidR="00187CE2">
        <w:rPr>
          <w:rFonts w:ascii="Times New Roman" w:hAnsi="Times New Roman" w:cs="Times New Roman"/>
          <w:color w:val="000000" w:themeColor="text1"/>
          <w:lang w:val="uk-UA"/>
        </w:rPr>
        <w:t xml:space="preserve">ів, які приймають </w:t>
      </w:r>
      <w:r w:rsidR="00D323D5" w:rsidRPr="00D323D5">
        <w:rPr>
          <w:rFonts w:ascii="Times New Roman" w:hAnsi="Times New Roman" w:cs="Times New Roman"/>
          <w:color w:val="000000" w:themeColor="text1"/>
          <w:lang w:val="uk-UA"/>
        </w:rPr>
        <w:t xml:space="preserve">TDF, </w:t>
      </w:r>
      <w:r w:rsidR="00187CE2">
        <w:rPr>
          <w:rFonts w:ascii="Times New Roman" w:hAnsi="Times New Roman" w:cs="Times New Roman"/>
          <w:color w:val="000000" w:themeColor="text1"/>
          <w:lang w:val="uk-UA"/>
        </w:rPr>
        <w:t xml:space="preserve">необхідно здійснювати </w:t>
      </w:r>
      <w:r w:rsidR="00D323D5" w:rsidRPr="00D323D5">
        <w:rPr>
          <w:rFonts w:ascii="Times New Roman" w:hAnsi="Times New Roman" w:cs="Times New Roman"/>
          <w:color w:val="000000" w:themeColor="text1"/>
          <w:lang w:val="uk-UA"/>
        </w:rPr>
        <w:t>контрол</w:t>
      </w:r>
      <w:r w:rsidR="00187CE2">
        <w:rPr>
          <w:rFonts w:ascii="Times New Roman" w:hAnsi="Times New Roman" w:cs="Times New Roman"/>
          <w:color w:val="000000" w:themeColor="text1"/>
          <w:lang w:val="uk-UA"/>
        </w:rPr>
        <w:t>ь</w:t>
      </w:r>
      <w:r w:rsidR="00D323D5" w:rsidRPr="00D323D5">
        <w:rPr>
          <w:rFonts w:ascii="Times New Roman" w:hAnsi="Times New Roman" w:cs="Times New Roman"/>
          <w:color w:val="000000" w:themeColor="text1"/>
          <w:lang w:val="uk-UA"/>
        </w:rPr>
        <w:t xml:space="preserve"> </w:t>
      </w:r>
      <w:r w:rsidR="00187CE2">
        <w:rPr>
          <w:rFonts w:ascii="Times New Roman" w:hAnsi="Times New Roman" w:cs="Times New Roman"/>
          <w:color w:val="000000" w:themeColor="text1"/>
          <w:lang w:val="uk-UA"/>
        </w:rPr>
        <w:t>з</w:t>
      </w:r>
      <w:r>
        <w:rPr>
          <w:rFonts w:ascii="Times New Roman" w:hAnsi="Times New Roman" w:cs="Times New Roman"/>
          <w:color w:val="000000" w:themeColor="text1"/>
          <w:lang w:val="uk-UA"/>
        </w:rPr>
        <w:t xml:space="preserve">а </w:t>
      </w:r>
      <w:r w:rsidR="00187CE2">
        <w:rPr>
          <w:rFonts w:ascii="Times New Roman" w:hAnsi="Times New Roman" w:cs="Times New Roman"/>
          <w:color w:val="000000" w:themeColor="text1"/>
          <w:lang w:val="uk-UA"/>
        </w:rPr>
        <w:t>функцією нирок</w:t>
      </w:r>
      <w:r w:rsidR="00D323D5" w:rsidRPr="00D323D5">
        <w:rPr>
          <w:rFonts w:ascii="Times New Roman" w:hAnsi="Times New Roman" w:cs="Times New Roman"/>
          <w:color w:val="000000" w:themeColor="text1"/>
          <w:lang w:val="uk-UA"/>
        </w:rPr>
        <w:t>.</w:t>
      </w:r>
    </w:p>
    <w:p w14:paraId="6AD4A410" w14:textId="27CB0C1B" w:rsidR="00690CF4" w:rsidRDefault="00690CF4" w:rsidP="008A50B6">
      <w:pPr>
        <w:tabs>
          <w:tab w:val="left" w:pos="1089"/>
        </w:tabs>
        <w:rPr>
          <w:rFonts w:ascii="Times New Roman" w:hAnsi="Times New Roman" w:cs="Times New Roman"/>
          <w:b/>
          <w:color w:val="2E74B5" w:themeColor="accent1" w:themeShade="BF"/>
          <w:lang w:val="uk-UA"/>
        </w:rPr>
      </w:pPr>
    </w:p>
    <w:p w14:paraId="339C2207" w14:textId="07D2458E" w:rsidR="00187CE2" w:rsidRDefault="00187CE2" w:rsidP="008A50B6">
      <w:pPr>
        <w:tabs>
          <w:tab w:val="left" w:pos="1089"/>
        </w:tabs>
        <w:rPr>
          <w:rFonts w:ascii="Times New Roman" w:hAnsi="Times New Roman" w:cs="Times New Roman"/>
          <w:b/>
          <w:color w:val="2E74B5" w:themeColor="accent1" w:themeShade="BF"/>
          <w:lang w:val="uk-UA"/>
        </w:rPr>
      </w:pPr>
    </w:p>
    <w:p w14:paraId="28C3185A" w14:textId="5F89FE46" w:rsidR="00187CE2" w:rsidRDefault="00187CE2" w:rsidP="008A50B6">
      <w:pPr>
        <w:tabs>
          <w:tab w:val="left" w:pos="1089"/>
        </w:tabs>
        <w:rPr>
          <w:rFonts w:ascii="Times New Roman" w:hAnsi="Times New Roman" w:cs="Times New Roman"/>
          <w:b/>
          <w:color w:val="2E74B5" w:themeColor="accent1" w:themeShade="BF"/>
          <w:lang w:val="uk-UA"/>
        </w:rPr>
      </w:pPr>
    </w:p>
    <w:p w14:paraId="4BECAB81" w14:textId="77777777" w:rsidR="00187CE2" w:rsidRDefault="00187CE2" w:rsidP="008A50B6">
      <w:pPr>
        <w:tabs>
          <w:tab w:val="left" w:pos="1089"/>
        </w:tabs>
        <w:rPr>
          <w:rFonts w:ascii="Times New Roman" w:hAnsi="Times New Roman" w:cs="Times New Roman"/>
          <w:b/>
          <w:color w:val="2E74B5" w:themeColor="accent1" w:themeShade="BF"/>
          <w:lang w:val="uk-UA"/>
        </w:rPr>
      </w:pPr>
    </w:p>
    <w:p w14:paraId="7153EE79" w14:textId="77777777" w:rsidR="00690CF4" w:rsidRDefault="00690CF4" w:rsidP="00DA2E4F">
      <w:pPr>
        <w:tabs>
          <w:tab w:val="left" w:pos="1089"/>
        </w:tabs>
        <w:ind w:left="360"/>
        <w:rPr>
          <w:rFonts w:ascii="Times New Roman" w:hAnsi="Times New Roman" w:cs="Times New Roman"/>
          <w:b/>
          <w:color w:val="2E74B5" w:themeColor="accent1" w:themeShade="BF"/>
          <w:lang w:val="uk-UA"/>
        </w:rPr>
      </w:pPr>
    </w:p>
    <w:p w14:paraId="4C438A0A" w14:textId="6E2B8CF7" w:rsidR="00DA2E4F" w:rsidRPr="00A65875" w:rsidRDefault="00570F99" w:rsidP="00DA2E4F">
      <w:pPr>
        <w:tabs>
          <w:tab w:val="left" w:pos="1089"/>
        </w:tabs>
        <w:ind w:left="360"/>
        <w:rPr>
          <w:rFonts w:ascii="Times New Roman" w:hAnsi="Times New Roman" w:cs="Times New Roman"/>
          <w:b/>
          <w:color w:val="2E74B5" w:themeColor="accent1" w:themeShade="BF"/>
          <w:lang w:val="uk-UA"/>
        </w:rPr>
      </w:pPr>
      <w:r w:rsidRPr="00570F99">
        <w:rPr>
          <w:rFonts w:ascii="Times New Roman" w:hAnsi="Times New Roman" w:cs="Times New Roman"/>
          <w:b/>
          <w:color w:val="2E74B5" w:themeColor="accent1" w:themeShade="BF"/>
          <w:lang w:val="uk-UA"/>
        </w:rPr>
        <w:lastRenderedPageBreak/>
        <w:t>Омбітасвір</w:t>
      </w:r>
      <w:r>
        <w:rPr>
          <w:rFonts w:ascii="Times New Roman" w:hAnsi="Times New Roman" w:cs="Times New Roman"/>
          <w:b/>
          <w:color w:val="2E74B5" w:themeColor="accent1" w:themeShade="BF"/>
          <w:lang w:val="uk-UA"/>
        </w:rPr>
        <w:t xml:space="preserve">, </w:t>
      </w:r>
      <w:r w:rsidRPr="00570F99">
        <w:rPr>
          <w:rFonts w:ascii="Times New Roman" w:hAnsi="Times New Roman" w:cs="Times New Roman"/>
          <w:b/>
          <w:color w:val="2E74B5" w:themeColor="accent1" w:themeShade="BF"/>
          <w:lang w:val="uk-UA"/>
        </w:rPr>
        <w:t>паритапревір</w:t>
      </w:r>
      <w:r>
        <w:rPr>
          <w:rFonts w:ascii="Times New Roman" w:hAnsi="Times New Roman" w:cs="Times New Roman"/>
          <w:b/>
          <w:color w:val="2E74B5" w:themeColor="accent1" w:themeShade="BF"/>
          <w:lang w:val="uk-UA"/>
        </w:rPr>
        <w:t xml:space="preserve">, </w:t>
      </w:r>
      <w:r w:rsidRPr="00570F99">
        <w:rPr>
          <w:rFonts w:ascii="Times New Roman" w:hAnsi="Times New Roman" w:cs="Times New Roman"/>
          <w:b/>
          <w:color w:val="2E74B5" w:themeColor="accent1" w:themeShade="BF"/>
          <w:lang w:val="uk-UA"/>
        </w:rPr>
        <w:t xml:space="preserve">ритонавір </w:t>
      </w:r>
      <w:r>
        <w:rPr>
          <w:rFonts w:ascii="Times New Roman" w:hAnsi="Times New Roman" w:cs="Times New Roman"/>
          <w:b/>
          <w:color w:val="2E74B5" w:themeColor="accent1" w:themeShade="BF"/>
          <w:lang w:val="uk-UA"/>
        </w:rPr>
        <w:t xml:space="preserve">і дасабувір </w:t>
      </w:r>
    </w:p>
    <w:p w14:paraId="42DE142A" w14:textId="77777777" w:rsidR="00DA2E4F" w:rsidRDefault="00DA2E4F" w:rsidP="00DA2E4F">
      <w:pPr>
        <w:tabs>
          <w:tab w:val="left" w:pos="1089"/>
        </w:tabs>
        <w:ind w:left="360"/>
        <w:rPr>
          <w:rFonts w:ascii="Times New Roman" w:hAnsi="Times New Roman" w:cs="Times New Roman"/>
          <w:color w:val="000000" w:themeColor="text1"/>
          <w:lang w:val="uk-UA"/>
        </w:rPr>
      </w:pPr>
    </w:p>
    <w:p w14:paraId="561381C4" w14:textId="1CD2AAEC" w:rsidR="00DA2E4F" w:rsidRPr="00DA2E4F" w:rsidRDefault="00E76D74" w:rsidP="00F53078">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Паритапревір</w:t>
      </w:r>
      <w:r w:rsidR="00DA2E4F" w:rsidRPr="00DA2E4F">
        <w:rPr>
          <w:rFonts w:ascii="Times New Roman" w:hAnsi="Times New Roman" w:cs="Times New Roman"/>
          <w:color w:val="000000" w:themeColor="text1"/>
          <w:lang w:val="uk-UA"/>
        </w:rPr>
        <w:t xml:space="preserve"> </w:t>
      </w:r>
      <w:r w:rsidR="00570F99">
        <w:rPr>
          <w:rFonts w:ascii="Times New Roman" w:hAnsi="Times New Roman" w:cs="Times New Roman"/>
          <w:color w:val="000000" w:themeColor="text1"/>
          <w:lang w:val="uk-UA"/>
        </w:rPr>
        <w:t>–</w:t>
      </w:r>
      <w:r w:rsidR="00DA2E4F" w:rsidRPr="00DA2E4F">
        <w:rPr>
          <w:rFonts w:ascii="Times New Roman" w:hAnsi="Times New Roman" w:cs="Times New Roman"/>
          <w:color w:val="000000" w:themeColor="text1"/>
          <w:lang w:val="uk-UA"/>
        </w:rPr>
        <w:t xml:space="preserve"> це інгібітор протеаз</w:t>
      </w:r>
      <w:r w:rsidR="00DA2E4F">
        <w:rPr>
          <w:rFonts w:ascii="Times New Roman" w:hAnsi="Times New Roman" w:cs="Times New Roman"/>
          <w:color w:val="000000" w:themeColor="text1"/>
          <w:lang w:val="uk-UA"/>
        </w:rPr>
        <w:t xml:space="preserve">и, який метаболізується </w:t>
      </w:r>
      <w:r w:rsidR="00187CE2">
        <w:rPr>
          <w:rFonts w:ascii="Times New Roman" w:hAnsi="Times New Roman" w:cs="Times New Roman"/>
          <w:color w:val="000000" w:themeColor="text1"/>
          <w:lang w:val="uk-UA"/>
        </w:rPr>
        <w:t xml:space="preserve">в першу чергу </w:t>
      </w:r>
      <w:r w:rsidR="00DA2E4F">
        <w:rPr>
          <w:rFonts w:ascii="Times New Roman" w:hAnsi="Times New Roman" w:cs="Times New Roman"/>
          <w:color w:val="000000" w:themeColor="text1"/>
          <w:lang w:val="uk-UA"/>
        </w:rPr>
        <w:t xml:space="preserve">CYP3A4 і </w:t>
      </w:r>
      <w:r w:rsidR="00187CE2">
        <w:rPr>
          <w:rFonts w:ascii="Times New Roman" w:hAnsi="Times New Roman" w:cs="Times New Roman"/>
          <w:color w:val="000000" w:themeColor="text1"/>
          <w:lang w:val="uk-UA"/>
        </w:rPr>
        <w:t xml:space="preserve">приймається </w:t>
      </w:r>
      <w:r w:rsidR="00DA2E4F" w:rsidRPr="00DA2E4F">
        <w:rPr>
          <w:rFonts w:ascii="Times New Roman" w:hAnsi="Times New Roman" w:cs="Times New Roman"/>
          <w:color w:val="000000" w:themeColor="text1"/>
          <w:lang w:val="uk-UA"/>
        </w:rPr>
        <w:t xml:space="preserve">з низькою дозою </w:t>
      </w:r>
      <w:r w:rsidR="00187CE2" w:rsidRPr="00DA2E4F">
        <w:rPr>
          <w:rFonts w:ascii="Times New Roman" w:hAnsi="Times New Roman" w:cs="Times New Roman"/>
          <w:color w:val="000000" w:themeColor="text1"/>
          <w:lang w:val="uk-UA"/>
        </w:rPr>
        <w:t>ритонавір</w:t>
      </w:r>
      <w:r w:rsidR="00187CE2">
        <w:rPr>
          <w:rFonts w:ascii="Times New Roman" w:hAnsi="Times New Roman" w:cs="Times New Roman"/>
          <w:color w:val="000000" w:themeColor="text1"/>
          <w:lang w:val="uk-UA"/>
        </w:rPr>
        <w:t>у (</w:t>
      </w:r>
      <w:r w:rsidR="00DA2E4F" w:rsidRPr="00DA2E4F">
        <w:rPr>
          <w:rFonts w:ascii="Times New Roman" w:hAnsi="Times New Roman" w:cs="Times New Roman"/>
          <w:color w:val="000000" w:themeColor="text1"/>
          <w:lang w:val="uk-UA"/>
        </w:rPr>
        <w:t>інгібітора CYP3A</w:t>
      </w:r>
      <w:r w:rsidR="00187CE2">
        <w:rPr>
          <w:rFonts w:ascii="Times New Roman" w:hAnsi="Times New Roman" w:cs="Times New Roman"/>
          <w:color w:val="000000" w:themeColor="text1"/>
          <w:lang w:val="uk-UA"/>
        </w:rPr>
        <w:t>)</w:t>
      </w:r>
      <w:r>
        <w:rPr>
          <w:rFonts w:ascii="Times New Roman" w:hAnsi="Times New Roman" w:cs="Times New Roman"/>
          <w:color w:val="000000" w:themeColor="text1"/>
          <w:lang w:val="uk-UA"/>
        </w:rPr>
        <w:t>,</w:t>
      </w:r>
      <w:r w:rsidR="00DA2E4F">
        <w:rPr>
          <w:rFonts w:ascii="Times New Roman" w:hAnsi="Times New Roman" w:cs="Times New Roman"/>
          <w:color w:val="000000" w:themeColor="text1"/>
          <w:lang w:val="uk-UA"/>
        </w:rPr>
        <w:t xml:space="preserve"> який діє як фармакокінетичний підсилювач</w:t>
      </w:r>
      <w:r w:rsidR="00DA2E4F" w:rsidRPr="00DA2E4F">
        <w:rPr>
          <w:rFonts w:ascii="Times New Roman" w:hAnsi="Times New Roman" w:cs="Times New Roman"/>
          <w:color w:val="000000" w:themeColor="text1"/>
          <w:lang w:val="uk-UA"/>
        </w:rPr>
        <w:t xml:space="preserve">. Це дає можливість </w:t>
      </w:r>
      <w:r w:rsidR="00DA2E4F">
        <w:rPr>
          <w:rFonts w:ascii="Times New Roman" w:hAnsi="Times New Roman" w:cs="Times New Roman"/>
          <w:color w:val="000000" w:themeColor="text1"/>
          <w:lang w:val="uk-UA"/>
        </w:rPr>
        <w:t>приймати препарат</w:t>
      </w:r>
      <w:r w:rsidR="00DA2E4F" w:rsidRPr="00DA2E4F">
        <w:rPr>
          <w:rFonts w:ascii="Times New Roman" w:hAnsi="Times New Roman" w:cs="Times New Roman"/>
          <w:color w:val="000000" w:themeColor="text1"/>
          <w:lang w:val="uk-UA"/>
        </w:rPr>
        <w:t xml:space="preserve"> </w:t>
      </w:r>
      <w:r w:rsidR="00DA2E4F">
        <w:rPr>
          <w:rFonts w:ascii="Times New Roman" w:hAnsi="Times New Roman" w:cs="Times New Roman"/>
          <w:color w:val="000000" w:themeColor="text1"/>
          <w:lang w:val="uk-UA"/>
        </w:rPr>
        <w:t>один раз на день у меншій дозі</w:t>
      </w:r>
      <w:r w:rsidR="00DA2E4F" w:rsidRPr="00DA2E4F">
        <w:rPr>
          <w:rFonts w:ascii="Times New Roman" w:hAnsi="Times New Roman" w:cs="Times New Roman"/>
          <w:color w:val="000000" w:themeColor="text1"/>
          <w:lang w:val="uk-UA"/>
        </w:rPr>
        <w:t xml:space="preserve">, ніж потрібно </w:t>
      </w:r>
      <w:r w:rsidR="00DA2E4F">
        <w:rPr>
          <w:rFonts w:ascii="Times New Roman" w:hAnsi="Times New Roman" w:cs="Times New Roman"/>
          <w:color w:val="000000" w:themeColor="text1"/>
          <w:lang w:val="uk-UA"/>
        </w:rPr>
        <w:t xml:space="preserve">було б </w:t>
      </w:r>
      <w:r w:rsidR="00DA2E4F" w:rsidRPr="00DA2E4F">
        <w:rPr>
          <w:rFonts w:ascii="Times New Roman" w:hAnsi="Times New Roman" w:cs="Times New Roman"/>
          <w:color w:val="000000" w:themeColor="text1"/>
          <w:lang w:val="uk-UA"/>
        </w:rPr>
        <w:t>без ритонавіру. Омбіта</w:t>
      </w:r>
      <w:r w:rsidR="00DA25AC">
        <w:rPr>
          <w:rFonts w:ascii="Times New Roman" w:hAnsi="Times New Roman" w:cs="Times New Roman"/>
          <w:color w:val="000000" w:themeColor="text1"/>
          <w:lang w:val="uk-UA"/>
        </w:rPr>
        <w:t>с</w:t>
      </w:r>
      <w:r w:rsidR="00DA2E4F" w:rsidRPr="00DA2E4F">
        <w:rPr>
          <w:rFonts w:ascii="Times New Roman" w:hAnsi="Times New Roman" w:cs="Times New Roman"/>
          <w:color w:val="000000" w:themeColor="text1"/>
          <w:lang w:val="uk-UA"/>
        </w:rPr>
        <w:t>вір є інгібіт</w:t>
      </w:r>
      <w:r w:rsidR="00DA2E4F">
        <w:rPr>
          <w:rFonts w:ascii="Times New Roman" w:hAnsi="Times New Roman" w:cs="Times New Roman"/>
          <w:color w:val="000000" w:themeColor="text1"/>
          <w:lang w:val="uk-UA"/>
        </w:rPr>
        <w:t>ором NS5A, який призначається</w:t>
      </w:r>
      <w:r w:rsidR="00DA2E4F" w:rsidRPr="00DA2E4F">
        <w:rPr>
          <w:rFonts w:ascii="Times New Roman" w:hAnsi="Times New Roman" w:cs="Times New Roman"/>
          <w:color w:val="000000" w:themeColor="text1"/>
          <w:lang w:val="uk-UA"/>
        </w:rPr>
        <w:t xml:space="preserve"> </w:t>
      </w:r>
      <w:r w:rsidR="00570F99">
        <w:rPr>
          <w:rFonts w:ascii="Times New Roman" w:hAnsi="Times New Roman" w:cs="Times New Roman"/>
          <w:color w:val="000000" w:themeColor="text1"/>
          <w:lang w:val="uk-UA"/>
        </w:rPr>
        <w:t>у</w:t>
      </w:r>
      <w:r w:rsidR="00DA2E4F" w:rsidRPr="00DA2E4F">
        <w:rPr>
          <w:rFonts w:ascii="Times New Roman" w:hAnsi="Times New Roman" w:cs="Times New Roman"/>
          <w:color w:val="000000" w:themeColor="text1"/>
          <w:lang w:val="uk-UA"/>
        </w:rPr>
        <w:t xml:space="preserve"> фіксован</w:t>
      </w:r>
      <w:r w:rsidR="00570F99">
        <w:rPr>
          <w:rFonts w:ascii="Times New Roman" w:hAnsi="Times New Roman" w:cs="Times New Roman"/>
          <w:color w:val="000000" w:themeColor="text1"/>
          <w:lang w:val="uk-UA"/>
        </w:rPr>
        <w:t>ій</w:t>
      </w:r>
      <w:r w:rsidR="00DA2E4F" w:rsidRPr="00DA2E4F">
        <w:rPr>
          <w:rFonts w:ascii="Times New Roman" w:hAnsi="Times New Roman" w:cs="Times New Roman"/>
          <w:color w:val="000000" w:themeColor="text1"/>
          <w:lang w:val="uk-UA"/>
        </w:rPr>
        <w:t xml:space="preserve"> доз</w:t>
      </w:r>
      <w:r w:rsidR="00570F99">
        <w:rPr>
          <w:rFonts w:ascii="Times New Roman" w:hAnsi="Times New Roman" w:cs="Times New Roman"/>
          <w:color w:val="000000" w:themeColor="text1"/>
          <w:lang w:val="uk-UA"/>
        </w:rPr>
        <w:t>і</w:t>
      </w:r>
      <w:r w:rsidR="00DA2E4F" w:rsidRPr="00DA2E4F">
        <w:rPr>
          <w:rFonts w:ascii="Times New Roman" w:hAnsi="Times New Roman" w:cs="Times New Roman"/>
          <w:color w:val="000000" w:themeColor="text1"/>
          <w:lang w:val="uk-UA"/>
        </w:rPr>
        <w:t xml:space="preserve"> у комбінації з </w:t>
      </w:r>
      <w:r>
        <w:rPr>
          <w:rFonts w:ascii="Times New Roman" w:hAnsi="Times New Roman" w:cs="Times New Roman"/>
          <w:color w:val="000000" w:themeColor="text1"/>
          <w:lang w:val="uk-UA"/>
        </w:rPr>
        <w:t>паритапревір</w:t>
      </w:r>
      <w:r w:rsidR="00DA2E4F">
        <w:rPr>
          <w:rFonts w:ascii="Times New Roman" w:hAnsi="Times New Roman" w:cs="Times New Roman"/>
          <w:color w:val="000000" w:themeColor="text1"/>
          <w:lang w:val="uk-UA"/>
        </w:rPr>
        <w:t>ом/</w:t>
      </w:r>
      <w:r w:rsidR="00DA2E4F" w:rsidRPr="00DA2E4F">
        <w:rPr>
          <w:rFonts w:ascii="Times New Roman" w:hAnsi="Times New Roman" w:cs="Times New Roman"/>
          <w:color w:val="000000" w:themeColor="text1"/>
          <w:lang w:val="uk-UA"/>
        </w:rPr>
        <w:t>ритонавіром. Рекомендована доза цієї комбіна</w:t>
      </w:r>
      <w:r w:rsidR="00431693">
        <w:rPr>
          <w:rFonts w:ascii="Times New Roman" w:hAnsi="Times New Roman" w:cs="Times New Roman"/>
          <w:color w:val="000000" w:themeColor="text1"/>
          <w:lang w:val="uk-UA"/>
        </w:rPr>
        <w:t xml:space="preserve">ції </w:t>
      </w:r>
      <w:r w:rsidR="00570F99">
        <w:rPr>
          <w:rFonts w:ascii="Times New Roman" w:hAnsi="Times New Roman" w:cs="Times New Roman"/>
          <w:color w:val="000000" w:themeColor="text1"/>
          <w:lang w:val="uk-UA"/>
        </w:rPr>
        <w:t>–</w:t>
      </w:r>
      <w:r w:rsidR="00431693">
        <w:rPr>
          <w:rFonts w:ascii="Times New Roman" w:hAnsi="Times New Roman" w:cs="Times New Roman"/>
          <w:color w:val="000000" w:themeColor="text1"/>
          <w:lang w:val="uk-UA"/>
        </w:rPr>
        <w:t xml:space="preserve"> дві таблетки </w:t>
      </w:r>
      <w:r w:rsidR="00177769">
        <w:rPr>
          <w:rFonts w:ascii="Times New Roman" w:hAnsi="Times New Roman" w:cs="Times New Roman"/>
          <w:color w:val="000000" w:themeColor="text1"/>
          <w:lang w:val="uk-UA"/>
        </w:rPr>
        <w:t>(</w:t>
      </w:r>
      <w:r w:rsidR="00570F99">
        <w:rPr>
          <w:rFonts w:ascii="Times New Roman" w:hAnsi="Times New Roman" w:cs="Times New Roman"/>
          <w:color w:val="000000" w:themeColor="text1"/>
          <w:lang w:val="uk-UA"/>
        </w:rPr>
        <w:t>12,5</w:t>
      </w:r>
      <w:r w:rsidR="00177769">
        <w:rPr>
          <w:rFonts w:ascii="Times New Roman" w:hAnsi="Times New Roman" w:cs="Times New Roman"/>
          <w:color w:val="000000" w:themeColor="text1"/>
          <w:lang w:val="uk-UA"/>
        </w:rPr>
        <w:t xml:space="preserve"> мг/75 мг/</w:t>
      </w:r>
      <w:r w:rsidR="00DA2E4F" w:rsidRPr="00DA2E4F">
        <w:rPr>
          <w:rFonts w:ascii="Times New Roman" w:hAnsi="Times New Roman" w:cs="Times New Roman"/>
          <w:color w:val="000000" w:themeColor="text1"/>
          <w:lang w:val="uk-UA"/>
        </w:rPr>
        <w:t>5</w:t>
      </w:r>
      <w:r w:rsidR="00570F99">
        <w:rPr>
          <w:rFonts w:ascii="Times New Roman" w:hAnsi="Times New Roman" w:cs="Times New Roman"/>
          <w:color w:val="000000" w:themeColor="text1"/>
          <w:lang w:val="uk-UA"/>
        </w:rPr>
        <w:t>0</w:t>
      </w:r>
      <w:r w:rsidR="00DA2E4F" w:rsidRPr="00DA2E4F">
        <w:rPr>
          <w:rFonts w:ascii="Times New Roman" w:hAnsi="Times New Roman" w:cs="Times New Roman"/>
          <w:color w:val="000000" w:themeColor="text1"/>
          <w:lang w:val="uk-UA"/>
        </w:rPr>
        <w:t xml:space="preserve"> мг на таблетку), що приймають перорально один раз</w:t>
      </w:r>
      <w:r w:rsidR="00177769">
        <w:rPr>
          <w:rFonts w:ascii="Times New Roman" w:hAnsi="Times New Roman" w:cs="Times New Roman"/>
          <w:color w:val="000000" w:themeColor="text1"/>
          <w:lang w:val="uk-UA"/>
        </w:rPr>
        <w:t xml:space="preserve"> на день з їжею. </w:t>
      </w:r>
      <w:r>
        <w:rPr>
          <w:rFonts w:ascii="Times New Roman" w:hAnsi="Times New Roman" w:cs="Times New Roman"/>
          <w:color w:val="000000" w:themeColor="text1"/>
          <w:lang w:val="uk-UA"/>
        </w:rPr>
        <w:t>Дасабувір</w:t>
      </w:r>
      <w:r w:rsidR="00177769">
        <w:rPr>
          <w:rFonts w:ascii="Times New Roman" w:hAnsi="Times New Roman" w:cs="Times New Roman"/>
          <w:color w:val="000000" w:themeColor="text1"/>
          <w:lang w:val="uk-UA"/>
        </w:rPr>
        <w:t xml:space="preserve"> є </w:t>
      </w:r>
      <w:r w:rsidR="00DA2E4F" w:rsidRPr="00DA2E4F">
        <w:rPr>
          <w:rFonts w:ascii="Times New Roman" w:hAnsi="Times New Roman" w:cs="Times New Roman"/>
          <w:color w:val="000000" w:themeColor="text1"/>
          <w:lang w:val="uk-UA"/>
        </w:rPr>
        <w:t>нуклеозидн</w:t>
      </w:r>
      <w:r w:rsidR="00177769">
        <w:rPr>
          <w:rFonts w:ascii="Times New Roman" w:hAnsi="Times New Roman" w:cs="Times New Roman"/>
          <w:color w:val="000000" w:themeColor="text1"/>
          <w:lang w:val="uk-UA"/>
        </w:rPr>
        <w:t>им інгібітором РНК</w:t>
      </w:r>
      <w:r w:rsidR="00FC6D8A">
        <w:rPr>
          <w:rFonts w:ascii="Times New Roman" w:hAnsi="Times New Roman" w:cs="Times New Roman"/>
          <w:color w:val="000000" w:themeColor="text1"/>
          <w:lang w:val="uk-UA"/>
        </w:rPr>
        <w:t>–</w:t>
      </w:r>
      <w:r w:rsidR="00177769">
        <w:rPr>
          <w:rFonts w:ascii="Times New Roman" w:hAnsi="Times New Roman" w:cs="Times New Roman"/>
          <w:color w:val="000000" w:themeColor="text1"/>
          <w:lang w:val="uk-UA"/>
        </w:rPr>
        <w:t>залежної полімерази ВГС</w:t>
      </w:r>
      <w:r w:rsidR="00DA2E4F" w:rsidRPr="00DA2E4F">
        <w:rPr>
          <w:rFonts w:ascii="Times New Roman" w:hAnsi="Times New Roman" w:cs="Times New Roman"/>
          <w:color w:val="000000" w:themeColor="text1"/>
          <w:lang w:val="uk-UA"/>
        </w:rPr>
        <w:t xml:space="preserve">, що вводяться в таблетках по 250 мг двічі на </w:t>
      </w:r>
      <w:r w:rsidR="00177769">
        <w:rPr>
          <w:rFonts w:ascii="Times New Roman" w:hAnsi="Times New Roman" w:cs="Times New Roman"/>
          <w:color w:val="000000" w:themeColor="text1"/>
          <w:lang w:val="uk-UA"/>
        </w:rPr>
        <w:t xml:space="preserve">день у комбінації з </w:t>
      </w:r>
      <w:r w:rsidR="00570F99">
        <w:rPr>
          <w:rFonts w:ascii="Times New Roman" w:hAnsi="Times New Roman" w:cs="Times New Roman"/>
          <w:color w:val="000000" w:themeColor="text1"/>
          <w:lang w:val="uk-UA"/>
        </w:rPr>
        <w:t>омбітасвіром/паритапревіром/ритонавіром</w:t>
      </w:r>
      <w:r w:rsidR="00177769">
        <w:rPr>
          <w:rFonts w:ascii="Times New Roman" w:hAnsi="Times New Roman" w:cs="Times New Roman"/>
          <w:color w:val="000000" w:themeColor="text1"/>
          <w:lang w:val="uk-UA"/>
        </w:rPr>
        <w:t xml:space="preserve"> </w:t>
      </w:r>
      <w:r w:rsidR="00DA2E4F" w:rsidRPr="00DA2E4F">
        <w:rPr>
          <w:rFonts w:ascii="Times New Roman" w:hAnsi="Times New Roman" w:cs="Times New Roman"/>
          <w:color w:val="000000" w:themeColor="text1"/>
          <w:lang w:val="uk-UA"/>
        </w:rPr>
        <w:t>у пацієнтів з генотипом 1.</w:t>
      </w:r>
    </w:p>
    <w:p w14:paraId="17666004" w14:textId="77777777" w:rsidR="00177769" w:rsidRDefault="00177769" w:rsidP="00F53078">
      <w:pPr>
        <w:tabs>
          <w:tab w:val="left" w:pos="1089"/>
        </w:tabs>
        <w:ind w:left="360"/>
        <w:jc w:val="both"/>
        <w:rPr>
          <w:rFonts w:ascii="Times New Roman" w:hAnsi="Times New Roman" w:cs="Times New Roman"/>
          <w:color w:val="000000" w:themeColor="text1"/>
          <w:lang w:val="uk-UA"/>
        </w:rPr>
      </w:pPr>
    </w:p>
    <w:p w14:paraId="456617C4" w14:textId="4DB28A1D" w:rsidR="00DA2E4F" w:rsidRPr="00DA2E4F" w:rsidRDefault="00E76D74" w:rsidP="00F53078">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Паритапревір</w:t>
      </w:r>
      <w:r w:rsidR="00DA2E4F" w:rsidRPr="00DA2E4F">
        <w:rPr>
          <w:rFonts w:ascii="Times New Roman" w:hAnsi="Times New Roman" w:cs="Times New Roman"/>
          <w:color w:val="000000" w:themeColor="text1"/>
          <w:lang w:val="uk-UA"/>
        </w:rPr>
        <w:t xml:space="preserve"> виводиться переважно</w:t>
      </w:r>
      <w:r w:rsidR="00177769">
        <w:rPr>
          <w:rFonts w:ascii="Times New Roman" w:hAnsi="Times New Roman" w:cs="Times New Roman"/>
          <w:color w:val="000000" w:themeColor="text1"/>
          <w:lang w:val="uk-UA"/>
        </w:rPr>
        <w:t xml:space="preserve"> з фекаліями</w:t>
      </w:r>
      <w:r w:rsidR="00DA2E4F" w:rsidRPr="00DA2E4F">
        <w:rPr>
          <w:rFonts w:ascii="Times New Roman" w:hAnsi="Times New Roman" w:cs="Times New Roman"/>
          <w:color w:val="000000" w:themeColor="text1"/>
          <w:lang w:val="uk-UA"/>
        </w:rPr>
        <w:t>. Омбітасвір демонструє лінійну к</w:t>
      </w:r>
      <w:r w:rsidR="00177769">
        <w:rPr>
          <w:rFonts w:ascii="Times New Roman" w:hAnsi="Times New Roman" w:cs="Times New Roman"/>
          <w:color w:val="000000" w:themeColor="text1"/>
          <w:lang w:val="uk-UA"/>
        </w:rPr>
        <w:t>інетику і переважно виводиться з фекаліями</w:t>
      </w:r>
      <w:r w:rsidR="00DA2E4F" w:rsidRPr="00DA2E4F">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Дасабувір</w:t>
      </w:r>
      <w:r w:rsidR="00DA2E4F" w:rsidRPr="00DA2E4F">
        <w:rPr>
          <w:rFonts w:ascii="Times New Roman" w:hAnsi="Times New Roman" w:cs="Times New Roman"/>
          <w:color w:val="000000" w:themeColor="text1"/>
          <w:lang w:val="uk-UA"/>
        </w:rPr>
        <w:t xml:space="preserve"> метаболізується в печінці, і його домінантни</w:t>
      </w:r>
      <w:r w:rsidR="00177769">
        <w:rPr>
          <w:rFonts w:ascii="Times New Roman" w:hAnsi="Times New Roman" w:cs="Times New Roman"/>
          <w:color w:val="000000" w:themeColor="text1"/>
          <w:lang w:val="uk-UA"/>
        </w:rPr>
        <w:t>й метаболіт переважно виводиться</w:t>
      </w:r>
      <w:r w:rsidR="00DA2E4F" w:rsidRPr="00DA2E4F">
        <w:rPr>
          <w:rFonts w:ascii="Times New Roman" w:hAnsi="Times New Roman" w:cs="Times New Roman"/>
          <w:color w:val="000000" w:themeColor="text1"/>
          <w:lang w:val="uk-UA"/>
        </w:rPr>
        <w:t xml:space="preserve"> </w:t>
      </w:r>
      <w:r w:rsidR="00177769">
        <w:rPr>
          <w:rFonts w:ascii="Times New Roman" w:hAnsi="Times New Roman" w:cs="Times New Roman"/>
          <w:color w:val="000000" w:themeColor="text1"/>
          <w:lang w:val="uk-UA"/>
        </w:rPr>
        <w:t>з жовчю та фекаліями</w:t>
      </w:r>
      <w:r w:rsidR="00DA2E4F" w:rsidRPr="00DA2E4F">
        <w:rPr>
          <w:rFonts w:ascii="Times New Roman" w:hAnsi="Times New Roman" w:cs="Times New Roman"/>
          <w:color w:val="000000" w:themeColor="text1"/>
          <w:lang w:val="uk-UA"/>
        </w:rPr>
        <w:t xml:space="preserve"> з мінімальним кліренсом у нирках.</w:t>
      </w:r>
    </w:p>
    <w:p w14:paraId="78AA92B1" w14:textId="7062AE8E" w:rsidR="00DA2E4F" w:rsidRPr="00DA2E4F" w:rsidRDefault="00DA2E4F" w:rsidP="00F53078">
      <w:pPr>
        <w:tabs>
          <w:tab w:val="left" w:pos="1089"/>
        </w:tabs>
        <w:ind w:left="360"/>
        <w:jc w:val="both"/>
        <w:rPr>
          <w:rFonts w:ascii="Times New Roman" w:hAnsi="Times New Roman" w:cs="Times New Roman"/>
          <w:color w:val="000000" w:themeColor="text1"/>
          <w:lang w:val="uk-UA"/>
        </w:rPr>
      </w:pPr>
      <w:r w:rsidRPr="00DA2E4F">
        <w:rPr>
          <w:rFonts w:ascii="Times New Roman" w:hAnsi="Times New Roman" w:cs="Times New Roman"/>
          <w:color w:val="000000" w:themeColor="text1"/>
          <w:lang w:val="uk-UA"/>
        </w:rPr>
        <w:t>Фармакокінетичні результати досліджень показали, що у пацієнтів з важкими порушеннями печінки (Child</w:t>
      </w:r>
      <w:r w:rsidR="00FC6D8A">
        <w:rPr>
          <w:rFonts w:ascii="Times New Roman" w:hAnsi="Times New Roman" w:cs="Times New Roman"/>
          <w:color w:val="000000" w:themeColor="text1"/>
          <w:lang w:val="uk-UA"/>
        </w:rPr>
        <w:t>–</w:t>
      </w:r>
      <w:r w:rsidRPr="00DA2E4F">
        <w:rPr>
          <w:rFonts w:ascii="Times New Roman" w:hAnsi="Times New Roman" w:cs="Times New Roman"/>
          <w:color w:val="000000" w:themeColor="text1"/>
          <w:lang w:val="uk-UA"/>
        </w:rPr>
        <w:t xml:space="preserve">Pugh C) AUC </w:t>
      </w:r>
      <w:r w:rsidR="00E76D74">
        <w:rPr>
          <w:rFonts w:ascii="Times New Roman" w:hAnsi="Times New Roman" w:cs="Times New Roman"/>
          <w:color w:val="000000" w:themeColor="text1"/>
          <w:lang w:val="uk-UA"/>
        </w:rPr>
        <w:t>паритапревір</w:t>
      </w:r>
      <w:r w:rsidR="001E4E85">
        <w:rPr>
          <w:rFonts w:ascii="Times New Roman" w:hAnsi="Times New Roman" w:cs="Times New Roman"/>
          <w:color w:val="000000" w:themeColor="text1"/>
          <w:lang w:val="uk-UA"/>
        </w:rPr>
        <w:t>у</w:t>
      </w:r>
      <w:r w:rsidR="00577412">
        <w:rPr>
          <w:rFonts w:ascii="Times New Roman" w:hAnsi="Times New Roman" w:cs="Times New Roman"/>
          <w:color w:val="000000" w:themeColor="text1"/>
          <w:lang w:val="uk-UA"/>
        </w:rPr>
        <w:t xml:space="preserve"> збільшу</w:t>
      </w:r>
      <w:r w:rsidRPr="00DA2E4F">
        <w:rPr>
          <w:rFonts w:ascii="Times New Roman" w:hAnsi="Times New Roman" w:cs="Times New Roman"/>
          <w:color w:val="000000" w:themeColor="text1"/>
          <w:lang w:val="uk-UA"/>
        </w:rPr>
        <w:t>в</w:t>
      </w:r>
      <w:r w:rsidR="00577412">
        <w:rPr>
          <w:rFonts w:ascii="Times New Roman" w:hAnsi="Times New Roman" w:cs="Times New Roman"/>
          <w:color w:val="000000" w:themeColor="text1"/>
          <w:lang w:val="uk-UA"/>
        </w:rPr>
        <w:t>ав</w:t>
      </w:r>
      <w:r w:rsidRPr="00DA2E4F">
        <w:rPr>
          <w:rFonts w:ascii="Times New Roman" w:hAnsi="Times New Roman" w:cs="Times New Roman"/>
          <w:color w:val="000000" w:themeColor="text1"/>
          <w:lang w:val="uk-UA"/>
        </w:rPr>
        <w:t>ся в 9,5 разів, тоді як омбіта</w:t>
      </w:r>
      <w:r w:rsidR="00A65875">
        <w:rPr>
          <w:rFonts w:ascii="Times New Roman" w:hAnsi="Times New Roman" w:cs="Times New Roman"/>
          <w:color w:val="000000" w:themeColor="text1"/>
          <w:lang w:val="uk-UA"/>
        </w:rPr>
        <w:t>c</w:t>
      </w:r>
      <w:r w:rsidRPr="00DA2E4F">
        <w:rPr>
          <w:rFonts w:ascii="Times New Roman" w:hAnsi="Times New Roman" w:cs="Times New Roman"/>
          <w:color w:val="000000" w:themeColor="text1"/>
          <w:lang w:val="uk-UA"/>
        </w:rPr>
        <w:t>вір</w:t>
      </w:r>
      <w:r w:rsidR="00577412">
        <w:rPr>
          <w:rFonts w:ascii="Times New Roman" w:hAnsi="Times New Roman" w:cs="Times New Roman"/>
          <w:color w:val="000000" w:themeColor="text1"/>
          <w:lang w:val="uk-UA"/>
        </w:rPr>
        <w:t xml:space="preserve">у знизився на 54%, а </w:t>
      </w:r>
      <w:r w:rsidR="00E76D74">
        <w:rPr>
          <w:rFonts w:ascii="Times New Roman" w:hAnsi="Times New Roman" w:cs="Times New Roman"/>
          <w:color w:val="000000" w:themeColor="text1"/>
          <w:lang w:val="uk-UA"/>
        </w:rPr>
        <w:t>дасабувір</w:t>
      </w:r>
      <w:r w:rsidR="00577412">
        <w:rPr>
          <w:rFonts w:ascii="Times New Roman" w:hAnsi="Times New Roman" w:cs="Times New Roman"/>
          <w:color w:val="000000" w:themeColor="text1"/>
          <w:lang w:val="uk-UA"/>
        </w:rPr>
        <w:t>у</w:t>
      </w:r>
      <w:r w:rsidRPr="00DA2E4F">
        <w:rPr>
          <w:rFonts w:ascii="Times New Roman" w:hAnsi="Times New Roman" w:cs="Times New Roman"/>
          <w:color w:val="000000" w:themeColor="text1"/>
          <w:lang w:val="uk-UA"/>
        </w:rPr>
        <w:t xml:space="preserve"> </w:t>
      </w:r>
      <w:r w:rsidR="00FC6D8A">
        <w:rPr>
          <w:rFonts w:ascii="Times New Roman" w:hAnsi="Times New Roman" w:cs="Times New Roman"/>
          <w:color w:val="000000" w:themeColor="text1"/>
          <w:lang w:val="uk-UA"/>
        </w:rPr>
        <w:t>–</w:t>
      </w:r>
      <w:r w:rsidRPr="00DA2E4F">
        <w:rPr>
          <w:rFonts w:ascii="Times New Roman" w:hAnsi="Times New Roman" w:cs="Times New Roman"/>
          <w:color w:val="000000" w:themeColor="text1"/>
          <w:lang w:val="uk-UA"/>
        </w:rPr>
        <w:t xml:space="preserve"> у 3,3 рази. У </w:t>
      </w:r>
      <w:r w:rsidR="00E76D74">
        <w:rPr>
          <w:rFonts w:ascii="Times New Roman" w:hAnsi="Times New Roman" w:cs="Times New Roman"/>
          <w:color w:val="000000" w:themeColor="text1"/>
          <w:lang w:val="uk-UA"/>
        </w:rPr>
        <w:t xml:space="preserve">пацієнтів із </w:t>
      </w:r>
      <w:r w:rsidRPr="00DA2E4F">
        <w:rPr>
          <w:rFonts w:ascii="Times New Roman" w:hAnsi="Times New Roman" w:cs="Times New Roman"/>
          <w:color w:val="000000" w:themeColor="text1"/>
          <w:lang w:val="uk-UA"/>
        </w:rPr>
        <w:t>Child</w:t>
      </w:r>
      <w:r w:rsidR="00FC6D8A">
        <w:rPr>
          <w:rFonts w:ascii="Times New Roman" w:hAnsi="Times New Roman" w:cs="Times New Roman"/>
          <w:color w:val="000000" w:themeColor="text1"/>
          <w:lang w:val="uk-UA"/>
        </w:rPr>
        <w:t>–</w:t>
      </w:r>
      <w:r w:rsidRPr="00DA2E4F">
        <w:rPr>
          <w:rFonts w:ascii="Times New Roman" w:hAnsi="Times New Roman" w:cs="Times New Roman"/>
          <w:color w:val="000000" w:themeColor="text1"/>
          <w:lang w:val="uk-UA"/>
        </w:rPr>
        <w:t xml:space="preserve">Pugh B спостерігається збільшення експозиції </w:t>
      </w:r>
      <w:r w:rsidR="00E76D74">
        <w:rPr>
          <w:rFonts w:ascii="Times New Roman" w:hAnsi="Times New Roman" w:cs="Times New Roman"/>
          <w:color w:val="000000" w:themeColor="text1"/>
          <w:lang w:val="uk-UA"/>
        </w:rPr>
        <w:t>паритапревір</w:t>
      </w:r>
      <w:r w:rsidR="00577412">
        <w:rPr>
          <w:rFonts w:ascii="Times New Roman" w:hAnsi="Times New Roman" w:cs="Times New Roman"/>
          <w:color w:val="000000" w:themeColor="text1"/>
          <w:lang w:val="uk-UA"/>
        </w:rPr>
        <w:t>у</w:t>
      </w:r>
      <w:r w:rsidRPr="00DA2E4F">
        <w:rPr>
          <w:rFonts w:ascii="Times New Roman" w:hAnsi="Times New Roman" w:cs="Times New Roman"/>
          <w:color w:val="000000" w:themeColor="text1"/>
          <w:lang w:val="uk-UA"/>
        </w:rPr>
        <w:t xml:space="preserve"> на 62% при зменшенні омбіта</w:t>
      </w:r>
      <w:r w:rsidR="00577412">
        <w:rPr>
          <w:rFonts w:ascii="Times New Roman" w:hAnsi="Times New Roman" w:cs="Times New Roman"/>
          <w:color w:val="000000" w:themeColor="text1"/>
          <w:lang w:val="uk-UA"/>
        </w:rPr>
        <w:t>с</w:t>
      </w:r>
      <w:r w:rsidRPr="00DA2E4F">
        <w:rPr>
          <w:rFonts w:ascii="Times New Roman" w:hAnsi="Times New Roman" w:cs="Times New Roman"/>
          <w:color w:val="000000" w:themeColor="text1"/>
          <w:lang w:val="uk-UA"/>
        </w:rPr>
        <w:t>віру на 30%. Таким чином, для пацієн</w:t>
      </w:r>
      <w:r w:rsidR="00577412">
        <w:rPr>
          <w:rFonts w:ascii="Times New Roman" w:hAnsi="Times New Roman" w:cs="Times New Roman"/>
          <w:color w:val="000000" w:themeColor="text1"/>
          <w:lang w:val="uk-UA"/>
        </w:rPr>
        <w:t xml:space="preserve">тів з легким </w:t>
      </w:r>
      <w:r w:rsidR="00E76D74">
        <w:rPr>
          <w:rFonts w:ascii="Times New Roman" w:hAnsi="Times New Roman" w:cs="Times New Roman"/>
          <w:color w:val="000000" w:themeColor="text1"/>
          <w:lang w:val="uk-UA"/>
        </w:rPr>
        <w:t xml:space="preserve">порушенням </w:t>
      </w:r>
      <w:r w:rsidR="00577412">
        <w:rPr>
          <w:rFonts w:ascii="Times New Roman" w:hAnsi="Times New Roman" w:cs="Times New Roman"/>
          <w:color w:val="000000" w:themeColor="text1"/>
          <w:lang w:val="uk-UA"/>
        </w:rPr>
        <w:t>печінкової функції</w:t>
      </w:r>
      <w:r w:rsidRPr="00DA2E4F">
        <w:rPr>
          <w:rFonts w:ascii="Times New Roman" w:hAnsi="Times New Roman" w:cs="Times New Roman"/>
          <w:color w:val="000000" w:themeColor="text1"/>
          <w:lang w:val="uk-UA"/>
        </w:rPr>
        <w:t xml:space="preserve"> (Child</w:t>
      </w:r>
      <w:r w:rsidR="00FC6D8A">
        <w:rPr>
          <w:rFonts w:ascii="Times New Roman" w:hAnsi="Times New Roman" w:cs="Times New Roman"/>
          <w:color w:val="000000" w:themeColor="text1"/>
          <w:lang w:val="uk-UA"/>
        </w:rPr>
        <w:t>–</w:t>
      </w:r>
      <w:r w:rsidRPr="00DA2E4F">
        <w:rPr>
          <w:rFonts w:ascii="Times New Roman" w:hAnsi="Times New Roman" w:cs="Times New Roman"/>
          <w:color w:val="000000" w:themeColor="text1"/>
          <w:lang w:val="uk-UA"/>
        </w:rPr>
        <w:t>Pugh A) коригування дози не</w:t>
      </w:r>
      <w:r w:rsidR="00577412">
        <w:rPr>
          <w:rFonts w:ascii="Times New Roman" w:hAnsi="Times New Roman" w:cs="Times New Roman"/>
          <w:color w:val="000000" w:themeColor="text1"/>
          <w:lang w:val="uk-UA"/>
        </w:rPr>
        <w:t xml:space="preserve"> потрібно</w:t>
      </w:r>
      <w:r>
        <w:rPr>
          <w:rFonts w:ascii="Times New Roman" w:hAnsi="Times New Roman" w:cs="Times New Roman"/>
          <w:color w:val="000000" w:themeColor="text1"/>
          <w:lang w:val="uk-UA"/>
        </w:rPr>
        <w:t xml:space="preserve">, однак комбінація </w:t>
      </w:r>
      <w:r w:rsidR="00E76D74">
        <w:rPr>
          <w:rFonts w:ascii="Times New Roman" w:hAnsi="Times New Roman" w:cs="Times New Roman"/>
          <w:color w:val="000000" w:themeColor="text1"/>
          <w:lang w:val="uk-UA"/>
        </w:rPr>
        <w:t xml:space="preserve">препарату </w:t>
      </w:r>
      <w:r w:rsidRPr="00DA2E4F">
        <w:rPr>
          <w:rFonts w:ascii="Times New Roman" w:hAnsi="Times New Roman" w:cs="Times New Roman"/>
          <w:color w:val="000000" w:themeColor="text1"/>
          <w:lang w:val="uk-UA"/>
        </w:rPr>
        <w:t>не повинна застосовуватися у пацієнтів з помірними порушеннями пе</w:t>
      </w:r>
      <w:r w:rsidR="00577412">
        <w:rPr>
          <w:rFonts w:ascii="Times New Roman" w:hAnsi="Times New Roman" w:cs="Times New Roman"/>
          <w:color w:val="000000" w:themeColor="text1"/>
          <w:lang w:val="uk-UA"/>
        </w:rPr>
        <w:t>чінки (Child</w:t>
      </w:r>
      <w:r w:rsidR="00FC6D8A">
        <w:rPr>
          <w:rFonts w:ascii="Times New Roman" w:hAnsi="Times New Roman" w:cs="Times New Roman"/>
          <w:color w:val="000000" w:themeColor="text1"/>
          <w:lang w:val="uk-UA"/>
        </w:rPr>
        <w:t>–</w:t>
      </w:r>
      <w:r w:rsidR="00577412">
        <w:rPr>
          <w:rFonts w:ascii="Times New Roman" w:hAnsi="Times New Roman" w:cs="Times New Roman"/>
          <w:color w:val="000000" w:themeColor="text1"/>
          <w:lang w:val="uk-UA"/>
        </w:rPr>
        <w:t xml:space="preserve">Pugh B) або у пацієнтів </w:t>
      </w:r>
      <w:r w:rsidRPr="00DA2E4F">
        <w:rPr>
          <w:rFonts w:ascii="Times New Roman" w:hAnsi="Times New Roman" w:cs="Times New Roman"/>
          <w:color w:val="000000" w:themeColor="text1"/>
          <w:lang w:val="uk-UA"/>
        </w:rPr>
        <w:t>з важкими порушеннями печінки (Child</w:t>
      </w:r>
      <w:r w:rsidR="00FC6D8A">
        <w:rPr>
          <w:rFonts w:ascii="Times New Roman" w:hAnsi="Times New Roman" w:cs="Times New Roman"/>
          <w:color w:val="000000" w:themeColor="text1"/>
          <w:lang w:val="uk-UA"/>
        </w:rPr>
        <w:t>–</w:t>
      </w:r>
      <w:r w:rsidRPr="00DA2E4F">
        <w:rPr>
          <w:rFonts w:ascii="Times New Roman" w:hAnsi="Times New Roman" w:cs="Times New Roman"/>
          <w:color w:val="000000" w:themeColor="text1"/>
          <w:lang w:val="uk-UA"/>
        </w:rPr>
        <w:t>Pugh C).</w:t>
      </w:r>
    </w:p>
    <w:p w14:paraId="1226FCE4" w14:textId="77777777" w:rsidR="00577412" w:rsidRDefault="00577412" w:rsidP="00F53078">
      <w:pPr>
        <w:tabs>
          <w:tab w:val="left" w:pos="1089"/>
        </w:tabs>
        <w:ind w:left="360"/>
        <w:jc w:val="both"/>
        <w:rPr>
          <w:rFonts w:ascii="Times New Roman" w:hAnsi="Times New Roman" w:cs="Times New Roman"/>
          <w:color w:val="000000" w:themeColor="text1"/>
          <w:lang w:val="uk-UA"/>
        </w:rPr>
      </w:pPr>
    </w:p>
    <w:p w14:paraId="42CA7DFF" w14:textId="07BCDDC0" w:rsidR="00DA2E4F" w:rsidRPr="00DA2E4F" w:rsidRDefault="00577412" w:rsidP="00F53078">
      <w:pPr>
        <w:tabs>
          <w:tab w:val="left" w:pos="1089"/>
        </w:tabs>
        <w:ind w:left="360"/>
        <w:jc w:val="both"/>
        <w:rPr>
          <w:rFonts w:ascii="Times New Roman" w:hAnsi="Times New Roman" w:cs="Times New Roman"/>
          <w:color w:val="000000" w:themeColor="text1"/>
          <w:lang w:val="uk-UA"/>
        </w:rPr>
      </w:pPr>
      <w:r w:rsidRPr="008A50B6">
        <w:rPr>
          <w:rFonts w:ascii="Times New Roman" w:hAnsi="Times New Roman" w:cs="Times New Roman"/>
          <w:color w:val="000000" w:themeColor="text1"/>
          <w:lang w:val="uk-UA"/>
        </w:rPr>
        <w:t xml:space="preserve">AUC </w:t>
      </w:r>
      <w:r w:rsidR="00E76D74">
        <w:rPr>
          <w:rFonts w:ascii="Times New Roman" w:hAnsi="Times New Roman" w:cs="Times New Roman"/>
          <w:color w:val="000000" w:themeColor="text1"/>
          <w:lang w:val="uk-UA"/>
        </w:rPr>
        <w:t>паритапревір</w:t>
      </w:r>
      <w:r w:rsidRPr="008A50B6">
        <w:rPr>
          <w:rFonts w:ascii="Times New Roman" w:hAnsi="Times New Roman" w:cs="Times New Roman"/>
          <w:color w:val="000000" w:themeColor="text1"/>
          <w:lang w:val="uk-UA"/>
        </w:rPr>
        <w:t>у збільшилась</w:t>
      </w:r>
      <w:r w:rsidR="00DA2E4F" w:rsidRPr="008A50B6">
        <w:rPr>
          <w:rFonts w:ascii="Times New Roman" w:hAnsi="Times New Roman" w:cs="Times New Roman"/>
          <w:color w:val="000000" w:themeColor="text1"/>
          <w:lang w:val="uk-UA"/>
        </w:rPr>
        <w:t xml:space="preserve"> на 45% у пацієнтів з важкими порушеннями функції нирок (кліренс креатиніну</w:t>
      </w:r>
      <w:r w:rsidR="00DA2E4F" w:rsidRPr="00DA2E4F">
        <w:rPr>
          <w:rFonts w:ascii="Times New Roman" w:hAnsi="Times New Roman" w:cs="Times New Roman"/>
          <w:color w:val="000000" w:themeColor="text1"/>
          <w:lang w:val="uk-UA"/>
        </w:rPr>
        <w:t xml:space="preserve"> 15</w:t>
      </w:r>
      <w:r w:rsidR="00FC6D8A">
        <w:rPr>
          <w:rFonts w:ascii="Times New Roman" w:hAnsi="Times New Roman" w:cs="Times New Roman"/>
          <w:color w:val="000000" w:themeColor="text1"/>
          <w:lang w:val="uk-UA"/>
        </w:rPr>
        <w:t>–</w:t>
      </w:r>
      <w:r w:rsidR="00DA2E4F" w:rsidRPr="00DA2E4F">
        <w:rPr>
          <w:rFonts w:ascii="Times New Roman" w:hAnsi="Times New Roman" w:cs="Times New Roman"/>
          <w:color w:val="000000" w:themeColor="text1"/>
          <w:lang w:val="uk-UA"/>
        </w:rPr>
        <w:t xml:space="preserve">29 мл / хв), </w:t>
      </w:r>
      <w:r>
        <w:rPr>
          <w:rFonts w:ascii="Times New Roman" w:hAnsi="Times New Roman" w:cs="Times New Roman"/>
          <w:color w:val="000000" w:themeColor="text1"/>
          <w:lang w:val="uk-UA"/>
        </w:rPr>
        <w:t xml:space="preserve">на відміну від </w:t>
      </w:r>
      <w:r w:rsidR="00DA2E4F" w:rsidRPr="00DA2E4F">
        <w:rPr>
          <w:rFonts w:ascii="Times New Roman" w:hAnsi="Times New Roman" w:cs="Times New Roman"/>
          <w:color w:val="000000" w:themeColor="text1"/>
          <w:lang w:val="uk-UA"/>
        </w:rPr>
        <w:t xml:space="preserve">ритонавіру </w:t>
      </w:r>
      <w:r w:rsidR="00FC6D8A">
        <w:rPr>
          <w:rFonts w:ascii="Times New Roman" w:hAnsi="Times New Roman" w:cs="Times New Roman"/>
          <w:color w:val="000000" w:themeColor="text1"/>
          <w:lang w:val="uk-UA"/>
        </w:rPr>
        <w:t>–</w:t>
      </w:r>
      <w:r>
        <w:rPr>
          <w:rFonts w:ascii="Times New Roman" w:hAnsi="Times New Roman" w:cs="Times New Roman"/>
          <w:color w:val="000000" w:themeColor="text1"/>
          <w:lang w:val="uk-UA"/>
        </w:rPr>
        <w:t xml:space="preserve"> </w:t>
      </w:r>
      <w:r w:rsidR="00DA2E4F" w:rsidRPr="00DA2E4F">
        <w:rPr>
          <w:rFonts w:ascii="Times New Roman" w:hAnsi="Times New Roman" w:cs="Times New Roman"/>
          <w:color w:val="000000" w:themeColor="text1"/>
          <w:lang w:val="uk-UA"/>
        </w:rPr>
        <w:t xml:space="preserve">114% та </w:t>
      </w:r>
      <w:r w:rsidR="00E76D74">
        <w:rPr>
          <w:rFonts w:ascii="Times New Roman" w:hAnsi="Times New Roman" w:cs="Times New Roman"/>
          <w:color w:val="000000" w:themeColor="text1"/>
          <w:lang w:val="uk-UA"/>
        </w:rPr>
        <w:t>дасабувір</w:t>
      </w:r>
      <w:r w:rsidR="00DA2E4F" w:rsidRPr="00DA2E4F">
        <w:rPr>
          <w:rFonts w:ascii="Times New Roman" w:hAnsi="Times New Roman" w:cs="Times New Roman"/>
          <w:color w:val="000000" w:themeColor="text1"/>
          <w:lang w:val="uk-UA"/>
        </w:rPr>
        <w:t xml:space="preserve">у </w:t>
      </w:r>
      <w:r w:rsidR="00FC6D8A">
        <w:rPr>
          <w:rFonts w:ascii="Times New Roman" w:hAnsi="Times New Roman" w:cs="Times New Roman"/>
          <w:color w:val="000000" w:themeColor="text1"/>
          <w:lang w:val="uk-UA"/>
        </w:rPr>
        <w:t>–</w:t>
      </w:r>
      <w:r>
        <w:rPr>
          <w:rFonts w:ascii="Times New Roman" w:hAnsi="Times New Roman" w:cs="Times New Roman"/>
          <w:color w:val="000000" w:themeColor="text1"/>
          <w:lang w:val="uk-UA"/>
        </w:rPr>
        <w:t xml:space="preserve"> 50%. На</w:t>
      </w:r>
      <w:r w:rsidR="00DA2E4F" w:rsidRPr="00DA2E4F">
        <w:rPr>
          <w:rFonts w:ascii="Times New Roman" w:hAnsi="Times New Roman" w:cs="Times New Roman"/>
          <w:color w:val="000000" w:themeColor="text1"/>
          <w:lang w:val="uk-UA"/>
        </w:rPr>
        <w:t xml:space="preserve"> даний час для пацієнтів з легк</w:t>
      </w:r>
      <w:r>
        <w:rPr>
          <w:rFonts w:ascii="Times New Roman" w:hAnsi="Times New Roman" w:cs="Times New Roman"/>
          <w:color w:val="000000" w:themeColor="text1"/>
          <w:lang w:val="uk-UA"/>
        </w:rPr>
        <w:t>ою, середньою або важкою</w:t>
      </w:r>
      <w:r w:rsidR="00DA2E4F" w:rsidRPr="00DA2E4F">
        <w:rPr>
          <w:rFonts w:ascii="Times New Roman" w:hAnsi="Times New Roman" w:cs="Times New Roman"/>
          <w:color w:val="000000" w:themeColor="text1"/>
          <w:lang w:val="uk-UA"/>
        </w:rPr>
        <w:t xml:space="preserve"> </w:t>
      </w:r>
      <w:r w:rsidR="00E76D74">
        <w:rPr>
          <w:rFonts w:ascii="Times New Roman" w:hAnsi="Times New Roman" w:cs="Times New Roman"/>
          <w:color w:val="000000" w:themeColor="text1"/>
          <w:lang w:val="uk-UA"/>
        </w:rPr>
        <w:t xml:space="preserve">печінковою </w:t>
      </w:r>
      <w:r w:rsidR="00DA2E4F" w:rsidRPr="00DA2E4F">
        <w:rPr>
          <w:rFonts w:ascii="Times New Roman" w:hAnsi="Times New Roman" w:cs="Times New Roman"/>
          <w:color w:val="000000" w:themeColor="text1"/>
          <w:lang w:val="uk-UA"/>
        </w:rPr>
        <w:t>недостатністю</w:t>
      </w:r>
      <w:r>
        <w:rPr>
          <w:rFonts w:ascii="Times New Roman" w:hAnsi="Times New Roman" w:cs="Times New Roman"/>
          <w:color w:val="000000" w:themeColor="text1"/>
          <w:lang w:val="uk-UA"/>
        </w:rPr>
        <w:t xml:space="preserve"> </w:t>
      </w:r>
      <w:r w:rsidRPr="00DA2E4F">
        <w:rPr>
          <w:rFonts w:ascii="Times New Roman" w:hAnsi="Times New Roman" w:cs="Times New Roman"/>
          <w:color w:val="000000" w:themeColor="text1"/>
          <w:lang w:val="uk-UA"/>
        </w:rPr>
        <w:t xml:space="preserve">корекція дози </w:t>
      </w:r>
      <w:r w:rsidR="00DA2E4F" w:rsidRPr="00DA2E4F">
        <w:rPr>
          <w:rFonts w:ascii="Times New Roman" w:hAnsi="Times New Roman" w:cs="Times New Roman"/>
          <w:color w:val="000000" w:themeColor="text1"/>
          <w:lang w:val="uk-UA"/>
        </w:rPr>
        <w:t xml:space="preserve">не потрібна. </w:t>
      </w:r>
      <w:r w:rsidR="00E76D74">
        <w:rPr>
          <w:rFonts w:ascii="Times New Roman" w:hAnsi="Times New Roman" w:cs="Times New Roman"/>
          <w:color w:val="000000" w:themeColor="text1"/>
          <w:lang w:val="uk-UA"/>
        </w:rPr>
        <w:t>Паритапревір</w:t>
      </w:r>
      <w:r w:rsidR="003D392D">
        <w:rPr>
          <w:rFonts w:ascii="Times New Roman" w:hAnsi="Times New Roman" w:cs="Times New Roman"/>
          <w:color w:val="000000" w:themeColor="text1"/>
          <w:lang w:val="uk-UA"/>
        </w:rPr>
        <w:t>, омбіт</w:t>
      </w:r>
      <w:r w:rsidR="006326A5">
        <w:rPr>
          <w:rFonts w:ascii="Times New Roman" w:hAnsi="Times New Roman" w:cs="Times New Roman"/>
          <w:color w:val="000000" w:themeColor="text1"/>
          <w:lang w:val="uk-UA"/>
        </w:rPr>
        <w:t>а</w:t>
      </w:r>
      <w:r w:rsidR="003D392D">
        <w:rPr>
          <w:rFonts w:ascii="Times New Roman" w:hAnsi="Times New Roman" w:cs="Times New Roman"/>
          <w:color w:val="000000" w:themeColor="text1"/>
          <w:lang w:val="uk-UA"/>
        </w:rPr>
        <w:t xml:space="preserve">свір та </w:t>
      </w:r>
      <w:r w:rsidR="00E76D74">
        <w:rPr>
          <w:rFonts w:ascii="Times New Roman" w:hAnsi="Times New Roman" w:cs="Times New Roman"/>
          <w:color w:val="000000" w:themeColor="text1"/>
          <w:lang w:val="uk-UA"/>
        </w:rPr>
        <w:t>дасабувір</w:t>
      </w:r>
      <w:r w:rsidR="00DA2E4F" w:rsidRPr="00DA2E4F">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також можуть використовуватися</w:t>
      </w:r>
      <w:r w:rsidR="00E76D74">
        <w:rPr>
          <w:rFonts w:ascii="Times New Roman" w:hAnsi="Times New Roman" w:cs="Times New Roman"/>
          <w:color w:val="000000" w:themeColor="text1"/>
          <w:lang w:val="uk-UA"/>
        </w:rPr>
        <w:t xml:space="preserve"> для пацієнтів, які перебувають на</w:t>
      </w:r>
      <w:r w:rsidR="00DA2E4F" w:rsidRPr="00DA2E4F">
        <w:rPr>
          <w:rFonts w:ascii="Times New Roman" w:hAnsi="Times New Roman" w:cs="Times New Roman"/>
          <w:color w:val="000000" w:themeColor="text1"/>
          <w:lang w:val="uk-UA"/>
        </w:rPr>
        <w:t xml:space="preserve"> діалізі.</w:t>
      </w:r>
    </w:p>
    <w:p w14:paraId="5232A8CD" w14:textId="77777777" w:rsidR="00577412" w:rsidRDefault="00577412" w:rsidP="00F53078">
      <w:pPr>
        <w:tabs>
          <w:tab w:val="left" w:pos="1089"/>
        </w:tabs>
        <w:ind w:left="360"/>
        <w:jc w:val="both"/>
        <w:rPr>
          <w:rFonts w:ascii="Times New Roman" w:hAnsi="Times New Roman" w:cs="Times New Roman"/>
          <w:color w:val="000000" w:themeColor="text1"/>
          <w:lang w:val="uk-UA"/>
        </w:rPr>
      </w:pPr>
    </w:p>
    <w:p w14:paraId="2B2C1D58" w14:textId="1D8FA623" w:rsidR="00DA2E4F" w:rsidRDefault="00DA2E4F" w:rsidP="00F53078">
      <w:pPr>
        <w:tabs>
          <w:tab w:val="left" w:pos="1089"/>
        </w:tabs>
        <w:ind w:left="360"/>
        <w:jc w:val="both"/>
        <w:rPr>
          <w:rFonts w:ascii="Times New Roman" w:hAnsi="Times New Roman" w:cs="Times New Roman"/>
          <w:color w:val="000000" w:themeColor="text1"/>
          <w:lang w:val="uk-UA"/>
        </w:rPr>
      </w:pPr>
      <w:r w:rsidRPr="00DA2E4F">
        <w:rPr>
          <w:rFonts w:ascii="Times New Roman" w:hAnsi="Times New Roman" w:cs="Times New Roman"/>
          <w:color w:val="000000" w:themeColor="text1"/>
          <w:lang w:val="uk-UA"/>
        </w:rPr>
        <w:t>Най</w:t>
      </w:r>
      <w:r w:rsidR="00E76D74">
        <w:rPr>
          <w:rFonts w:ascii="Times New Roman" w:hAnsi="Times New Roman" w:cs="Times New Roman"/>
          <w:color w:val="000000" w:themeColor="text1"/>
          <w:lang w:val="uk-UA"/>
        </w:rPr>
        <w:t xml:space="preserve">поширенішими </w:t>
      </w:r>
      <w:r w:rsidR="00577412">
        <w:rPr>
          <w:rFonts w:ascii="Times New Roman" w:hAnsi="Times New Roman" w:cs="Times New Roman"/>
          <w:color w:val="000000" w:themeColor="text1"/>
          <w:lang w:val="uk-UA"/>
        </w:rPr>
        <w:t xml:space="preserve">побічними реакціями, про які повідомлялося під час застосування </w:t>
      </w:r>
      <w:r w:rsidR="00DA25AC" w:rsidRPr="00DA25AC">
        <w:rPr>
          <w:rFonts w:ascii="Times New Roman" w:hAnsi="Times New Roman" w:cs="Times New Roman"/>
          <w:color w:val="000000" w:themeColor="text1"/>
          <w:lang w:val="uk-UA"/>
        </w:rPr>
        <w:t>комбінаці</w:t>
      </w:r>
      <w:r w:rsidR="00DA25AC">
        <w:rPr>
          <w:rFonts w:ascii="Times New Roman" w:hAnsi="Times New Roman" w:cs="Times New Roman"/>
          <w:color w:val="000000" w:themeColor="text1"/>
          <w:lang w:val="uk-UA"/>
        </w:rPr>
        <w:t>ї</w:t>
      </w:r>
      <w:r w:rsidR="00DA25AC" w:rsidRPr="00DA25AC">
        <w:rPr>
          <w:rFonts w:ascii="Times New Roman" w:hAnsi="Times New Roman" w:cs="Times New Roman"/>
          <w:color w:val="000000" w:themeColor="text1"/>
          <w:lang w:val="uk-UA"/>
        </w:rPr>
        <w:t xml:space="preserve"> омбітасвіру, паритапревіру, ритонавіру та дасабувіру </w:t>
      </w:r>
      <w:r w:rsidR="00577412">
        <w:rPr>
          <w:rFonts w:ascii="Times New Roman" w:hAnsi="Times New Roman" w:cs="Times New Roman"/>
          <w:color w:val="000000" w:themeColor="text1"/>
          <w:lang w:val="uk-UA"/>
        </w:rPr>
        <w:t>були нудота та втома</w:t>
      </w:r>
      <w:r w:rsidRPr="00DA2E4F">
        <w:rPr>
          <w:rFonts w:ascii="Times New Roman" w:hAnsi="Times New Roman" w:cs="Times New Roman"/>
          <w:color w:val="000000" w:themeColor="text1"/>
          <w:lang w:val="uk-UA"/>
        </w:rPr>
        <w:t>.</w:t>
      </w:r>
    </w:p>
    <w:p w14:paraId="7CB73641" w14:textId="77777777" w:rsidR="002C7BAD" w:rsidRDefault="002C7BAD" w:rsidP="00F53078">
      <w:pPr>
        <w:tabs>
          <w:tab w:val="left" w:pos="1089"/>
        </w:tabs>
        <w:ind w:left="360"/>
        <w:jc w:val="both"/>
        <w:rPr>
          <w:rFonts w:ascii="Times New Roman" w:hAnsi="Times New Roman" w:cs="Times New Roman"/>
          <w:color w:val="000000" w:themeColor="text1"/>
          <w:lang w:val="uk-UA"/>
        </w:rPr>
      </w:pPr>
    </w:p>
    <w:p w14:paraId="346F39BC" w14:textId="2A1AD8C2" w:rsidR="002C7BAD" w:rsidRPr="002C7BAD" w:rsidRDefault="00E76D74" w:rsidP="00F53078">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Паритапревір</w:t>
      </w:r>
      <w:r w:rsidR="00BA3BD8">
        <w:rPr>
          <w:rFonts w:ascii="Times New Roman" w:hAnsi="Times New Roman" w:cs="Times New Roman"/>
          <w:color w:val="000000" w:themeColor="text1"/>
          <w:lang w:val="uk-UA"/>
        </w:rPr>
        <w:t xml:space="preserve"> в основному</w:t>
      </w:r>
      <w:r w:rsidR="002C7BAD" w:rsidRPr="002C7BAD">
        <w:rPr>
          <w:rFonts w:ascii="Times New Roman" w:hAnsi="Times New Roman" w:cs="Times New Roman"/>
          <w:color w:val="000000" w:themeColor="text1"/>
          <w:lang w:val="uk-UA"/>
        </w:rPr>
        <w:t xml:space="preserve"> мет</w:t>
      </w:r>
      <w:r w:rsidR="00BA3BD8">
        <w:rPr>
          <w:rFonts w:ascii="Times New Roman" w:hAnsi="Times New Roman" w:cs="Times New Roman"/>
          <w:color w:val="000000" w:themeColor="text1"/>
          <w:lang w:val="uk-UA"/>
        </w:rPr>
        <w:t xml:space="preserve">аболізується CYP3A4, тоді як </w:t>
      </w:r>
      <w:r>
        <w:rPr>
          <w:rFonts w:ascii="Times New Roman" w:hAnsi="Times New Roman" w:cs="Times New Roman"/>
          <w:color w:val="000000" w:themeColor="text1"/>
          <w:lang w:val="uk-UA"/>
        </w:rPr>
        <w:t>дасабувір –</w:t>
      </w:r>
      <w:r w:rsidR="00BA3BD8">
        <w:rPr>
          <w:rFonts w:ascii="Times New Roman" w:hAnsi="Times New Roman" w:cs="Times New Roman"/>
          <w:color w:val="000000" w:themeColor="text1"/>
          <w:lang w:val="uk-UA"/>
        </w:rPr>
        <w:t xml:space="preserve"> </w:t>
      </w:r>
      <w:r w:rsidR="002C7BAD" w:rsidRPr="002C7BAD">
        <w:rPr>
          <w:rFonts w:ascii="Times New Roman" w:hAnsi="Times New Roman" w:cs="Times New Roman"/>
          <w:color w:val="000000" w:themeColor="text1"/>
          <w:lang w:val="uk-UA"/>
        </w:rPr>
        <w:t xml:space="preserve">CYP2C8, а </w:t>
      </w:r>
      <w:r w:rsidR="00BA3BD8">
        <w:rPr>
          <w:rFonts w:ascii="Times New Roman" w:hAnsi="Times New Roman" w:cs="Times New Roman"/>
          <w:color w:val="000000" w:themeColor="text1"/>
          <w:lang w:val="uk-UA"/>
        </w:rPr>
        <w:t>омбітасвір</w:t>
      </w:r>
      <w:r w:rsidR="002C7BAD" w:rsidRPr="002C7BAD">
        <w:rPr>
          <w:rFonts w:ascii="Times New Roman" w:hAnsi="Times New Roman" w:cs="Times New Roman"/>
          <w:color w:val="000000" w:themeColor="text1"/>
          <w:lang w:val="uk-UA"/>
        </w:rPr>
        <w:t xml:space="preserve"> піддається гідролізу. Проте обидва </w:t>
      </w:r>
      <w:r w:rsidR="00DA25AC">
        <w:rPr>
          <w:rFonts w:ascii="Times New Roman" w:hAnsi="Times New Roman" w:cs="Times New Roman"/>
          <w:color w:val="000000" w:themeColor="text1"/>
          <w:lang w:val="uk-UA"/>
        </w:rPr>
        <w:t xml:space="preserve">препарати – </w:t>
      </w:r>
      <w:r w:rsidR="002C7BAD" w:rsidRPr="002C7BAD">
        <w:rPr>
          <w:rFonts w:ascii="Times New Roman" w:hAnsi="Times New Roman" w:cs="Times New Roman"/>
          <w:color w:val="000000" w:themeColor="text1"/>
          <w:lang w:val="uk-UA"/>
        </w:rPr>
        <w:t>омбіта</w:t>
      </w:r>
      <w:r w:rsidR="00BA3BD8">
        <w:rPr>
          <w:rFonts w:ascii="Times New Roman" w:hAnsi="Times New Roman" w:cs="Times New Roman"/>
          <w:color w:val="000000" w:themeColor="text1"/>
          <w:lang w:val="uk-UA"/>
        </w:rPr>
        <w:t xml:space="preserve">свір та </w:t>
      </w:r>
      <w:r>
        <w:rPr>
          <w:rFonts w:ascii="Times New Roman" w:hAnsi="Times New Roman" w:cs="Times New Roman"/>
          <w:color w:val="000000" w:themeColor="text1"/>
          <w:lang w:val="uk-UA"/>
        </w:rPr>
        <w:t>дасабувір</w:t>
      </w:r>
      <w:r w:rsidR="00DA25AC">
        <w:rPr>
          <w:rFonts w:ascii="Times New Roman" w:hAnsi="Times New Roman" w:cs="Times New Roman"/>
          <w:color w:val="000000" w:themeColor="text1"/>
          <w:lang w:val="uk-UA"/>
        </w:rPr>
        <w:t xml:space="preserve"> –</w:t>
      </w:r>
      <w:r w:rsidR="00BA3BD8">
        <w:rPr>
          <w:rFonts w:ascii="Times New Roman" w:hAnsi="Times New Roman" w:cs="Times New Roman"/>
          <w:color w:val="000000" w:themeColor="text1"/>
          <w:lang w:val="uk-UA"/>
        </w:rPr>
        <w:t xml:space="preserve"> можуть метаболізуватися</w:t>
      </w:r>
      <w:r w:rsidR="002C7BAD" w:rsidRPr="002C7BAD">
        <w:rPr>
          <w:rFonts w:ascii="Times New Roman" w:hAnsi="Times New Roman" w:cs="Times New Roman"/>
          <w:color w:val="000000" w:themeColor="text1"/>
          <w:lang w:val="uk-UA"/>
        </w:rPr>
        <w:t xml:space="preserve"> за допомогою CYP3A4. Схоже, що транспортери відіграють важливу роль у розподілі цих препаратів, при цьому </w:t>
      </w:r>
      <w:r>
        <w:rPr>
          <w:rFonts w:ascii="Times New Roman" w:hAnsi="Times New Roman" w:cs="Times New Roman"/>
          <w:color w:val="000000" w:themeColor="text1"/>
          <w:lang w:val="uk-UA"/>
        </w:rPr>
        <w:t>паритапревір</w:t>
      </w:r>
      <w:r w:rsidR="00BA3BD8">
        <w:rPr>
          <w:rFonts w:ascii="Times New Roman" w:hAnsi="Times New Roman" w:cs="Times New Roman"/>
          <w:color w:val="000000" w:themeColor="text1"/>
          <w:lang w:val="uk-UA"/>
        </w:rPr>
        <w:t xml:space="preserve"> інгібує OATP1B1/</w:t>
      </w:r>
      <w:r w:rsidR="003D392D">
        <w:rPr>
          <w:rFonts w:ascii="Times New Roman" w:hAnsi="Times New Roman" w:cs="Times New Roman"/>
          <w:color w:val="000000" w:themeColor="text1"/>
          <w:lang w:val="uk-UA"/>
        </w:rPr>
        <w:t xml:space="preserve">B3, </w:t>
      </w:r>
      <w:r w:rsidR="004D2A4F">
        <w:rPr>
          <w:rFonts w:ascii="Times New Roman" w:hAnsi="Times New Roman" w:cs="Times New Roman"/>
          <w:color w:val="000000" w:themeColor="text1"/>
          <w:lang w:val="uk-UA"/>
        </w:rPr>
        <w:t xml:space="preserve">P-gp </w:t>
      </w:r>
      <w:r w:rsidR="003D392D">
        <w:rPr>
          <w:rFonts w:ascii="Times New Roman" w:hAnsi="Times New Roman" w:cs="Times New Roman"/>
          <w:color w:val="000000" w:themeColor="text1"/>
          <w:lang w:val="uk-UA"/>
        </w:rPr>
        <w:t xml:space="preserve">і BCRP. </w:t>
      </w:r>
      <w:r>
        <w:rPr>
          <w:rFonts w:ascii="Times New Roman" w:hAnsi="Times New Roman" w:cs="Times New Roman"/>
          <w:color w:val="000000" w:themeColor="text1"/>
          <w:lang w:val="uk-UA"/>
        </w:rPr>
        <w:t>Дасабувір</w:t>
      </w:r>
      <w:r w:rsidR="00A65875">
        <w:rPr>
          <w:rFonts w:ascii="Times New Roman" w:hAnsi="Times New Roman" w:cs="Times New Roman"/>
          <w:color w:val="000000" w:themeColor="text1"/>
          <w:lang w:val="uk-UA"/>
        </w:rPr>
        <w:t xml:space="preserve"> і ри</w:t>
      </w:r>
      <w:r w:rsidR="003D392D">
        <w:rPr>
          <w:rFonts w:ascii="Times New Roman" w:hAnsi="Times New Roman" w:cs="Times New Roman"/>
          <w:color w:val="000000" w:themeColor="text1"/>
          <w:lang w:val="uk-UA"/>
        </w:rPr>
        <w:t>тон</w:t>
      </w:r>
      <w:r w:rsidR="002C7BAD" w:rsidRPr="002C7BAD">
        <w:rPr>
          <w:rFonts w:ascii="Times New Roman" w:hAnsi="Times New Roman" w:cs="Times New Roman"/>
          <w:color w:val="000000" w:themeColor="text1"/>
          <w:lang w:val="uk-UA"/>
        </w:rPr>
        <w:t xml:space="preserve">авір також можуть інгібувати </w:t>
      </w:r>
      <w:r w:rsidR="004D2A4F">
        <w:rPr>
          <w:rFonts w:ascii="Times New Roman" w:hAnsi="Times New Roman" w:cs="Times New Roman"/>
          <w:color w:val="000000" w:themeColor="text1"/>
          <w:lang w:val="uk-UA"/>
        </w:rPr>
        <w:t xml:space="preserve">P-gp </w:t>
      </w:r>
      <w:r w:rsidR="00A65875">
        <w:rPr>
          <w:rFonts w:ascii="Times New Roman" w:hAnsi="Times New Roman" w:cs="Times New Roman"/>
          <w:color w:val="000000" w:themeColor="text1"/>
          <w:lang w:val="uk-UA"/>
        </w:rPr>
        <w:t>і BCRP. Враховуючи метаболічний профіль</w:t>
      </w:r>
      <w:r w:rsidR="002C7BAD" w:rsidRPr="002C7BAD">
        <w:rPr>
          <w:rFonts w:ascii="Times New Roman" w:hAnsi="Times New Roman" w:cs="Times New Roman"/>
          <w:color w:val="000000" w:themeColor="text1"/>
          <w:lang w:val="uk-UA"/>
        </w:rPr>
        <w:t xml:space="preserve"> цих препаратів та наявність ритонавіру, існує потенціал для багатьох взаємодій між лікарськими засобами. </w:t>
      </w:r>
      <w:r w:rsidR="00A65875">
        <w:rPr>
          <w:rFonts w:ascii="Times New Roman" w:hAnsi="Times New Roman" w:cs="Times New Roman"/>
          <w:color w:val="000000" w:themeColor="text1"/>
          <w:lang w:val="uk-UA"/>
        </w:rPr>
        <w:t>Була проведена комплексн</w:t>
      </w:r>
      <w:r w:rsidR="00392758">
        <w:rPr>
          <w:rFonts w:ascii="Times New Roman" w:hAnsi="Times New Roman" w:cs="Times New Roman"/>
          <w:color w:val="000000" w:themeColor="text1"/>
          <w:lang w:val="uk-UA"/>
        </w:rPr>
        <w:t>а</w:t>
      </w:r>
      <w:r w:rsidR="00A65875">
        <w:rPr>
          <w:rFonts w:ascii="Times New Roman" w:hAnsi="Times New Roman" w:cs="Times New Roman"/>
          <w:color w:val="000000" w:themeColor="text1"/>
          <w:lang w:val="uk-UA"/>
        </w:rPr>
        <w:t xml:space="preserve"> оцінк</w:t>
      </w:r>
      <w:r w:rsidR="00392758">
        <w:rPr>
          <w:rFonts w:ascii="Times New Roman" w:hAnsi="Times New Roman" w:cs="Times New Roman"/>
          <w:color w:val="000000" w:themeColor="text1"/>
          <w:lang w:val="uk-UA"/>
        </w:rPr>
        <w:t>а</w:t>
      </w:r>
      <w:r w:rsidR="00A65875">
        <w:rPr>
          <w:rFonts w:ascii="Times New Roman" w:hAnsi="Times New Roman" w:cs="Times New Roman"/>
          <w:color w:val="000000" w:themeColor="text1"/>
          <w:lang w:val="uk-UA"/>
        </w:rPr>
        <w:t xml:space="preserve"> </w:t>
      </w:r>
      <w:r w:rsidR="002C7BAD" w:rsidRPr="002C7BAD">
        <w:rPr>
          <w:rFonts w:ascii="Times New Roman" w:hAnsi="Times New Roman" w:cs="Times New Roman"/>
          <w:color w:val="000000" w:themeColor="text1"/>
          <w:lang w:val="uk-UA"/>
        </w:rPr>
        <w:t xml:space="preserve">взаємодії </w:t>
      </w:r>
      <w:r w:rsidR="00A65875" w:rsidRPr="002C7BAD">
        <w:rPr>
          <w:rFonts w:ascii="Times New Roman" w:hAnsi="Times New Roman" w:cs="Times New Roman"/>
          <w:color w:val="000000" w:themeColor="text1"/>
          <w:lang w:val="uk-UA"/>
        </w:rPr>
        <w:t xml:space="preserve">лікарських засобів </w:t>
      </w:r>
      <w:r w:rsidR="002C7BAD" w:rsidRPr="002C7BAD">
        <w:rPr>
          <w:rFonts w:ascii="Times New Roman" w:hAnsi="Times New Roman" w:cs="Times New Roman"/>
          <w:color w:val="000000" w:themeColor="text1"/>
          <w:lang w:val="uk-UA"/>
        </w:rPr>
        <w:t xml:space="preserve">на підставі нормативних рекомендацій Європейського агентства з лікарських засобів та Адміністрації США з питань харчування та </w:t>
      </w:r>
      <w:r w:rsidR="00A65875">
        <w:rPr>
          <w:rFonts w:ascii="Times New Roman" w:hAnsi="Times New Roman" w:cs="Times New Roman"/>
          <w:color w:val="000000" w:themeColor="text1"/>
          <w:lang w:val="uk-UA"/>
        </w:rPr>
        <w:t>медикаментів. Важливо враховувати</w:t>
      </w:r>
      <w:r w:rsidR="002C7BAD" w:rsidRPr="002C7BAD">
        <w:rPr>
          <w:rFonts w:ascii="Times New Roman" w:hAnsi="Times New Roman" w:cs="Times New Roman"/>
          <w:color w:val="000000" w:themeColor="text1"/>
          <w:lang w:val="uk-UA"/>
        </w:rPr>
        <w:t xml:space="preserve"> профіль </w:t>
      </w:r>
      <w:r w:rsidR="00A65875">
        <w:rPr>
          <w:rFonts w:ascii="Times New Roman" w:hAnsi="Times New Roman" w:cs="Times New Roman"/>
          <w:color w:val="000000" w:themeColor="text1"/>
          <w:lang w:val="uk-UA"/>
        </w:rPr>
        <w:t xml:space="preserve">лікарської </w:t>
      </w:r>
      <w:r w:rsidR="002C7BAD" w:rsidRPr="002C7BAD">
        <w:rPr>
          <w:rFonts w:ascii="Times New Roman" w:hAnsi="Times New Roman" w:cs="Times New Roman"/>
          <w:color w:val="000000" w:themeColor="text1"/>
          <w:lang w:val="uk-UA"/>
        </w:rPr>
        <w:t xml:space="preserve">взаємодії сполук </w:t>
      </w:r>
      <w:r w:rsidR="00A65875">
        <w:rPr>
          <w:rFonts w:ascii="Times New Roman" w:hAnsi="Times New Roman" w:cs="Times New Roman"/>
          <w:color w:val="000000" w:themeColor="text1"/>
          <w:lang w:val="uk-UA"/>
        </w:rPr>
        <w:t>у вигляді комбінації</w:t>
      </w:r>
      <w:r w:rsidR="002C7BAD" w:rsidRPr="002C7BAD">
        <w:rPr>
          <w:rFonts w:ascii="Times New Roman" w:hAnsi="Times New Roman" w:cs="Times New Roman"/>
          <w:color w:val="000000" w:themeColor="text1"/>
          <w:lang w:val="uk-UA"/>
        </w:rPr>
        <w:t xml:space="preserve"> (з використанням або без </w:t>
      </w:r>
      <w:r>
        <w:rPr>
          <w:rFonts w:ascii="Times New Roman" w:hAnsi="Times New Roman" w:cs="Times New Roman"/>
          <w:color w:val="000000" w:themeColor="text1"/>
          <w:lang w:val="uk-UA"/>
        </w:rPr>
        <w:t>дасабувір</w:t>
      </w:r>
      <w:r w:rsidR="002C7BAD" w:rsidRPr="002C7BAD">
        <w:rPr>
          <w:rFonts w:ascii="Times New Roman" w:hAnsi="Times New Roman" w:cs="Times New Roman"/>
          <w:color w:val="000000" w:themeColor="text1"/>
          <w:lang w:val="uk-UA"/>
        </w:rPr>
        <w:t xml:space="preserve">у), оскільки </w:t>
      </w:r>
      <w:r w:rsidR="004C5B34">
        <w:rPr>
          <w:rFonts w:ascii="Times New Roman" w:hAnsi="Times New Roman" w:cs="Times New Roman"/>
          <w:color w:val="000000" w:themeColor="text1"/>
          <w:lang w:val="uk-UA"/>
        </w:rPr>
        <w:t xml:space="preserve">самі </w:t>
      </w:r>
      <w:r w:rsidR="002C7BAD" w:rsidRPr="002C7BAD">
        <w:rPr>
          <w:rFonts w:ascii="Times New Roman" w:hAnsi="Times New Roman" w:cs="Times New Roman"/>
          <w:color w:val="000000" w:themeColor="text1"/>
          <w:lang w:val="uk-UA"/>
        </w:rPr>
        <w:t>препарати взаємно впливають один на одного.</w:t>
      </w:r>
    </w:p>
    <w:p w14:paraId="52134FC9" w14:textId="77777777" w:rsidR="00A65875" w:rsidRDefault="00A65875" w:rsidP="00F53078">
      <w:pPr>
        <w:tabs>
          <w:tab w:val="left" w:pos="1089"/>
        </w:tabs>
        <w:ind w:left="360"/>
        <w:jc w:val="both"/>
        <w:rPr>
          <w:rFonts w:ascii="Times New Roman" w:hAnsi="Times New Roman" w:cs="Times New Roman"/>
          <w:color w:val="000000" w:themeColor="text1"/>
          <w:lang w:val="uk-UA"/>
        </w:rPr>
      </w:pPr>
    </w:p>
    <w:p w14:paraId="2A06C002" w14:textId="5520D98F" w:rsidR="002C7BAD" w:rsidRPr="002C7BAD" w:rsidRDefault="002C7BAD" w:rsidP="00F53078">
      <w:pPr>
        <w:tabs>
          <w:tab w:val="left" w:pos="1089"/>
        </w:tabs>
        <w:ind w:left="360"/>
        <w:jc w:val="both"/>
        <w:rPr>
          <w:rFonts w:ascii="Times New Roman" w:hAnsi="Times New Roman" w:cs="Times New Roman"/>
          <w:color w:val="000000" w:themeColor="text1"/>
          <w:lang w:val="uk-UA"/>
        </w:rPr>
      </w:pPr>
      <w:r w:rsidRPr="002C7BAD">
        <w:rPr>
          <w:rFonts w:ascii="Times New Roman" w:hAnsi="Times New Roman" w:cs="Times New Roman"/>
          <w:color w:val="000000" w:themeColor="text1"/>
          <w:lang w:val="uk-UA"/>
        </w:rPr>
        <w:t>Ритонавір є сильним інгібітором CYP3A4; таким чином, спільне введення препаратів, що метаболізуються цим ферментом, може призвести до значного підвищення концентрації в плазмі</w:t>
      </w:r>
      <w:r w:rsidR="004C5B34">
        <w:rPr>
          <w:rFonts w:ascii="Times New Roman" w:hAnsi="Times New Roman" w:cs="Times New Roman"/>
          <w:color w:val="000000" w:themeColor="text1"/>
          <w:lang w:val="uk-UA"/>
        </w:rPr>
        <w:t xml:space="preserve"> крові. Наступні</w:t>
      </w:r>
      <w:r w:rsidRPr="002C7BAD">
        <w:rPr>
          <w:rFonts w:ascii="Times New Roman" w:hAnsi="Times New Roman" w:cs="Times New Roman"/>
          <w:color w:val="000000" w:themeColor="text1"/>
          <w:lang w:val="uk-UA"/>
        </w:rPr>
        <w:t xml:space="preserve"> п</w:t>
      </w:r>
      <w:r w:rsidR="004C5B34">
        <w:rPr>
          <w:rFonts w:ascii="Times New Roman" w:hAnsi="Times New Roman" w:cs="Times New Roman"/>
          <w:color w:val="000000" w:themeColor="text1"/>
          <w:lang w:val="uk-UA"/>
        </w:rPr>
        <w:t>репарати</w:t>
      </w:r>
      <w:r w:rsidRPr="002C7BAD">
        <w:rPr>
          <w:rFonts w:ascii="Times New Roman" w:hAnsi="Times New Roman" w:cs="Times New Roman"/>
          <w:color w:val="000000" w:themeColor="text1"/>
          <w:lang w:val="uk-UA"/>
        </w:rPr>
        <w:t xml:space="preserve"> протипоказан</w:t>
      </w:r>
      <w:r w:rsidR="004C5B34">
        <w:rPr>
          <w:rFonts w:ascii="Times New Roman" w:hAnsi="Times New Roman" w:cs="Times New Roman"/>
          <w:color w:val="000000" w:themeColor="text1"/>
          <w:lang w:val="uk-UA"/>
        </w:rPr>
        <w:t>і, оскільки підвищена концентрація в плазмі</w:t>
      </w:r>
      <w:r w:rsidRPr="002C7BAD">
        <w:rPr>
          <w:rFonts w:ascii="Times New Roman" w:hAnsi="Times New Roman" w:cs="Times New Roman"/>
          <w:color w:val="000000" w:themeColor="text1"/>
          <w:lang w:val="uk-UA"/>
        </w:rPr>
        <w:t xml:space="preserve"> може призвес</w:t>
      </w:r>
      <w:r w:rsidR="004C5B34">
        <w:rPr>
          <w:rFonts w:ascii="Times New Roman" w:hAnsi="Times New Roman" w:cs="Times New Roman"/>
          <w:color w:val="000000" w:themeColor="text1"/>
          <w:lang w:val="uk-UA"/>
        </w:rPr>
        <w:t>ти до серйозних побічних</w:t>
      </w:r>
      <w:r w:rsidR="00392758">
        <w:rPr>
          <w:rFonts w:ascii="Times New Roman" w:hAnsi="Times New Roman" w:cs="Times New Roman"/>
          <w:color w:val="000000" w:themeColor="text1"/>
          <w:lang w:val="uk-UA"/>
        </w:rPr>
        <w:t xml:space="preserve"> реакцій</w:t>
      </w:r>
      <w:r w:rsidRPr="002C7BAD">
        <w:rPr>
          <w:rFonts w:ascii="Times New Roman" w:hAnsi="Times New Roman" w:cs="Times New Roman"/>
          <w:color w:val="000000" w:themeColor="text1"/>
          <w:lang w:val="uk-UA"/>
        </w:rPr>
        <w:t>: альфузозин, аміодарон, астемізол, терфенадин, цизаприд, похідні ергота, ловастатин, симвастатин, аторвастатин, пероральний мієзолам, триазолам,</w:t>
      </w:r>
      <w:r w:rsidR="004C5B34">
        <w:rPr>
          <w:rFonts w:ascii="Times New Roman" w:hAnsi="Times New Roman" w:cs="Times New Roman"/>
          <w:color w:val="000000" w:themeColor="text1"/>
          <w:lang w:val="uk-UA"/>
        </w:rPr>
        <w:t xml:space="preserve"> кетіапін, хінідин, сальметерол</w:t>
      </w:r>
      <w:r w:rsidRPr="002C7BAD">
        <w:rPr>
          <w:rFonts w:ascii="Times New Roman" w:hAnsi="Times New Roman" w:cs="Times New Roman"/>
          <w:color w:val="000000" w:themeColor="text1"/>
          <w:lang w:val="uk-UA"/>
        </w:rPr>
        <w:t xml:space="preserve">, силденафіл при використанні легеневої </w:t>
      </w:r>
      <w:r w:rsidRPr="002C7BAD">
        <w:rPr>
          <w:rFonts w:ascii="Times New Roman" w:hAnsi="Times New Roman" w:cs="Times New Roman"/>
          <w:color w:val="000000" w:themeColor="text1"/>
          <w:lang w:val="uk-UA"/>
        </w:rPr>
        <w:lastRenderedPageBreak/>
        <w:t>артеріальної гіпертензії. Також протипоказані ферменти</w:t>
      </w:r>
      <w:r w:rsidR="00FC6D8A">
        <w:rPr>
          <w:rFonts w:ascii="Times New Roman" w:hAnsi="Times New Roman" w:cs="Times New Roman"/>
          <w:color w:val="000000" w:themeColor="text1"/>
          <w:lang w:val="uk-UA"/>
        </w:rPr>
        <w:t>–</w:t>
      </w:r>
      <w:r w:rsidRPr="002C7BAD">
        <w:rPr>
          <w:rFonts w:ascii="Times New Roman" w:hAnsi="Times New Roman" w:cs="Times New Roman"/>
          <w:color w:val="000000" w:themeColor="text1"/>
          <w:lang w:val="uk-UA"/>
        </w:rPr>
        <w:t xml:space="preserve">індуктори, які можуть поставити під загрозу вірусологічну ефективність, наприклад карбамазепін, фенітоїн, фенобарбітал, рифампіцин, іоносверд, ензалутамід та інгібітори ферментів, які можуть збільшити </w:t>
      </w:r>
      <w:r w:rsidR="002823F6">
        <w:rPr>
          <w:rFonts w:ascii="Times New Roman" w:hAnsi="Times New Roman" w:cs="Times New Roman"/>
          <w:color w:val="000000" w:themeColor="text1"/>
          <w:lang w:val="uk-UA"/>
        </w:rPr>
        <w:t>концентраці</w:t>
      </w:r>
      <w:r w:rsidRPr="002C7BAD">
        <w:rPr>
          <w:rFonts w:ascii="Times New Roman" w:hAnsi="Times New Roman" w:cs="Times New Roman"/>
          <w:color w:val="000000" w:themeColor="text1"/>
          <w:lang w:val="uk-UA"/>
        </w:rPr>
        <w:t xml:space="preserve">ю </w:t>
      </w:r>
      <w:r w:rsidR="00E76D74">
        <w:rPr>
          <w:rFonts w:ascii="Times New Roman" w:hAnsi="Times New Roman" w:cs="Times New Roman"/>
          <w:color w:val="000000" w:themeColor="text1"/>
          <w:lang w:val="uk-UA"/>
        </w:rPr>
        <w:t>Паритапревір</w:t>
      </w:r>
      <w:r w:rsidR="002823F6">
        <w:rPr>
          <w:rFonts w:ascii="Times New Roman" w:hAnsi="Times New Roman" w:cs="Times New Roman"/>
          <w:color w:val="000000" w:themeColor="text1"/>
          <w:lang w:val="uk-UA"/>
        </w:rPr>
        <w:t>у</w:t>
      </w:r>
      <w:r w:rsidRPr="002C7BAD">
        <w:rPr>
          <w:rFonts w:ascii="Times New Roman" w:hAnsi="Times New Roman" w:cs="Times New Roman"/>
          <w:color w:val="000000" w:themeColor="text1"/>
          <w:lang w:val="uk-UA"/>
        </w:rPr>
        <w:t xml:space="preserve">, наприклад азольні протигрибкові препарати, деякі </w:t>
      </w:r>
      <w:r w:rsidR="002823F6">
        <w:rPr>
          <w:rFonts w:ascii="Times New Roman" w:hAnsi="Times New Roman" w:cs="Times New Roman"/>
          <w:color w:val="000000" w:themeColor="text1"/>
          <w:lang w:val="uk-UA"/>
        </w:rPr>
        <w:t>макролідні</w:t>
      </w:r>
      <w:r w:rsidR="002823F6" w:rsidRPr="002C7BAD">
        <w:rPr>
          <w:rFonts w:ascii="Times New Roman" w:hAnsi="Times New Roman" w:cs="Times New Roman"/>
          <w:color w:val="000000" w:themeColor="text1"/>
          <w:lang w:val="uk-UA"/>
        </w:rPr>
        <w:t xml:space="preserve"> </w:t>
      </w:r>
      <w:r w:rsidRPr="002C7BAD">
        <w:rPr>
          <w:rFonts w:ascii="Times New Roman" w:hAnsi="Times New Roman" w:cs="Times New Roman"/>
          <w:color w:val="000000" w:themeColor="text1"/>
          <w:lang w:val="uk-UA"/>
        </w:rPr>
        <w:t>антибіотики.</w:t>
      </w:r>
    </w:p>
    <w:p w14:paraId="4A861E94" w14:textId="77777777" w:rsidR="002823F6" w:rsidRDefault="002823F6" w:rsidP="00F53078">
      <w:pPr>
        <w:tabs>
          <w:tab w:val="left" w:pos="1089"/>
        </w:tabs>
        <w:ind w:left="360"/>
        <w:jc w:val="both"/>
        <w:rPr>
          <w:rFonts w:ascii="Times New Roman" w:hAnsi="Times New Roman" w:cs="Times New Roman"/>
          <w:color w:val="000000" w:themeColor="text1"/>
          <w:lang w:val="uk-UA"/>
        </w:rPr>
      </w:pPr>
    </w:p>
    <w:p w14:paraId="1BA951ED" w14:textId="2EFFF3BD" w:rsidR="002C7BAD" w:rsidRPr="00C17CC4" w:rsidRDefault="002C7BAD" w:rsidP="00F53078">
      <w:pPr>
        <w:tabs>
          <w:tab w:val="left" w:pos="1089"/>
        </w:tabs>
        <w:ind w:left="360"/>
        <w:jc w:val="both"/>
        <w:rPr>
          <w:rFonts w:ascii="Times New Roman" w:hAnsi="Times New Roman" w:cs="Times New Roman"/>
          <w:color w:val="000000" w:themeColor="text1"/>
          <w:lang w:val="uk-UA"/>
        </w:rPr>
      </w:pPr>
      <w:r w:rsidRPr="002C7BAD">
        <w:rPr>
          <w:rFonts w:ascii="Times New Roman" w:hAnsi="Times New Roman" w:cs="Times New Roman"/>
          <w:color w:val="000000" w:themeColor="text1"/>
          <w:lang w:val="uk-UA"/>
        </w:rPr>
        <w:t>На додаток до протипоказань</w:t>
      </w:r>
      <w:r w:rsidR="00E76D74">
        <w:rPr>
          <w:rFonts w:ascii="Times New Roman" w:hAnsi="Times New Roman" w:cs="Times New Roman"/>
          <w:color w:val="000000" w:themeColor="text1"/>
          <w:lang w:val="uk-UA"/>
        </w:rPr>
        <w:t>,</w:t>
      </w:r>
      <w:r w:rsidRPr="002C7BAD">
        <w:rPr>
          <w:rFonts w:ascii="Times New Roman" w:hAnsi="Times New Roman" w:cs="Times New Roman"/>
          <w:color w:val="000000" w:themeColor="text1"/>
          <w:lang w:val="uk-UA"/>
        </w:rPr>
        <w:t xml:space="preserve"> існують інші лікарські засоби, де потрібно застосовувати обережність, і може існувати потреба </w:t>
      </w:r>
      <w:r w:rsidR="00187E20">
        <w:rPr>
          <w:rFonts w:ascii="Times New Roman" w:hAnsi="Times New Roman" w:cs="Times New Roman"/>
          <w:color w:val="000000" w:themeColor="text1"/>
          <w:lang w:val="uk-UA"/>
        </w:rPr>
        <w:t>у зміні</w:t>
      </w:r>
      <w:r w:rsidRPr="002C7BAD">
        <w:rPr>
          <w:rFonts w:ascii="Times New Roman" w:hAnsi="Times New Roman" w:cs="Times New Roman"/>
          <w:color w:val="000000" w:themeColor="text1"/>
          <w:lang w:val="uk-UA"/>
        </w:rPr>
        <w:t xml:space="preserve"> </w:t>
      </w:r>
      <w:r w:rsidR="002823F6">
        <w:rPr>
          <w:rFonts w:ascii="Times New Roman" w:hAnsi="Times New Roman" w:cs="Times New Roman"/>
          <w:color w:val="000000" w:themeColor="text1"/>
          <w:lang w:val="uk-UA"/>
        </w:rPr>
        <w:t>дозуванн</w:t>
      </w:r>
      <w:r w:rsidR="00187E20">
        <w:rPr>
          <w:rFonts w:ascii="Times New Roman" w:hAnsi="Times New Roman" w:cs="Times New Roman"/>
          <w:color w:val="000000" w:themeColor="text1"/>
          <w:lang w:val="uk-UA"/>
        </w:rPr>
        <w:t>я</w:t>
      </w:r>
      <w:r w:rsidR="002823F6">
        <w:rPr>
          <w:rFonts w:ascii="Times New Roman" w:hAnsi="Times New Roman" w:cs="Times New Roman"/>
          <w:color w:val="000000" w:themeColor="text1"/>
          <w:lang w:val="uk-UA"/>
        </w:rPr>
        <w:t>, зміні часу прийому</w:t>
      </w:r>
      <w:r w:rsidRPr="002C7BAD">
        <w:rPr>
          <w:rFonts w:ascii="Times New Roman" w:hAnsi="Times New Roman" w:cs="Times New Roman"/>
          <w:color w:val="000000" w:themeColor="text1"/>
          <w:lang w:val="uk-UA"/>
        </w:rPr>
        <w:t xml:space="preserve"> </w:t>
      </w:r>
      <w:r w:rsidR="002823F6">
        <w:rPr>
          <w:rFonts w:ascii="Times New Roman" w:hAnsi="Times New Roman" w:cs="Times New Roman"/>
          <w:color w:val="000000" w:themeColor="text1"/>
          <w:lang w:val="uk-UA"/>
        </w:rPr>
        <w:t>або додатковому контролі</w:t>
      </w:r>
      <w:r w:rsidRPr="002C7BAD">
        <w:rPr>
          <w:rFonts w:ascii="Times New Roman" w:hAnsi="Times New Roman" w:cs="Times New Roman"/>
          <w:color w:val="000000" w:themeColor="text1"/>
          <w:lang w:val="uk-UA"/>
        </w:rPr>
        <w:t xml:space="preserve">. </w:t>
      </w:r>
      <w:r w:rsidR="002823F6">
        <w:rPr>
          <w:rFonts w:ascii="Times New Roman" w:hAnsi="Times New Roman" w:cs="Times New Roman"/>
          <w:color w:val="000000" w:themeColor="text1"/>
          <w:lang w:val="uk-UA"/>
        </w:rPr>
        <w:t>Лікарську взаємодію треба обов’язково брати до уваги у випадку супутньої</w:t>
      </w:r>
      <w:r w:rsidRPr="002C7BAD">
        <w:rPr>
          <w:rFonts w:ascii="Times New Roman" w:hAnsi="Times New Roman" w:cs="Times New Roman"/>
          <w:color w:val="000000" w:themeColor="text1"/>
          <w:lang w:val="uk-UA"/>
        </w:rPr>
        <w:t xml:space="preserve"> коінфекції ВІЛ. Атазанавір і дарунавір слід приймати без ритонавіру, і інші інгібітори протеази протипоказані. Ефавірен</w:t>
      </w:r>
      <w:r w:rsidR="00187E20">
        <w:rPr>
          <w:rFonts w:ascii="Times New Roman" w:hAnsi="Times New Roman" w:cs="Times New Roman"/>
          <w:color w:val="000000" w:themeColor="text1"/>
          <w:lang w:val="uk-UA"/>
        </w:rPr>
        <w:t>ц</w:t>
      </w:r>
      <w:r w:rsidRPr="002C7BAD">
        <w:rPr>
          <w:rFonts w:ascii="Times New Roman" w:hAnsi="Times New Roman" w:cs="Times New Roman"/>
          <w:color w:val="000000" w:themeColor="text1"/>
          <w:lang w:val="uk-UA"/>
        </w:rPr>
        <w:t xml:space="preserve">, етравірин </w:t>
      </w:r>
      <w:r w:rsidR="002823F6">
        <w:rPr>
          <w:rFonts w:ascii="Times New Roman" w:hAnsi="Times New Roman" w:cs="Times New Roman"/>
          <w:color w:val="000000" w:themeColor="text1"/>
          <w:lang w:val="uk-UA"/>
        </w:rPr>
        <w:t xml:space="preserve">та невірапін протипоказані, </w:t>
      </w:r>
      <w:r w:rsidR="00187E20">
        <w:rPr>
          <w:rFonts w:ascii="Times New Roman" w:hAnsi="Times New Roman" w:cs="Times New Roman"/>
          <w:color w:val="000000" w:themeColor="text1"/>
          <w:lang w:val="uk-UA"/>
        </w:rPr>
        <w:t>а</w:t>
      </w:r>
      <w:r w:rsidR="002823F6">
        <w:rPr>
          <w:rFonts w:ascii="Times New Roman" w:hAnsi="Times New Roman" w:cs="Times New Roman"/>
          <w:color w:val="000000" w:themeColor="text1"/>
          <w:lang w:val="uk-UA"/>
        </w:rPr>
        <w:t xml:space="preserve"> </w:t>
      </w:r>
      <w:r w:rsidR="002823F6" w:rsidRPr="002823F6">
        <w:rPr>
          <w:rFonts w:ascii="Times New Roman" w:hAnsi="Times New Roman" w:cs="Times New Roman"/>
          <w:color w:val="000000" w:themeColor="text1"/>
          <w:lang w:val="uk-UA"/>
        </w:rPr>
        <w:t xml:space="preserve">рилпівірин </w:t>
      </w:r>
      <w:r w:rsidRPr="002C7BAD">
        <w:rPr>
          <w:rFonts w:ascii="Times New Roman" w:hAnsi="Times New Roman" w:cs="Times New Roman"/>
          <w:color w:val="000000" w:themeColor="text1"/>
          <w:lang w:val="uk-UA"/>
        </w:rPr>
        <w:t>слід застосовувати обережно з повторним моніторинго</w:t>
      </w:r>
      <w:r w:rsidR="002823F6">
        <w:rPr>
          <w:rFonts w:ascii="Times New Roman" w:hAnsi="Times New Roman" w:cs="Times New Roman"/>
          <w:color w:val="000000" w:themeColor="text1"/>
          <w:lang w:val="uk-UA"/>
        </w:rPr>
        <w:t>м ЕКГ. Вплив ралтегравіру і долу</w:t>
      </w:r>
      <w:r w:rsidRPr="002C7BAD">
        <w:rPr>
          <w:rFonts w:ascii="Times New Roman" w:hAnsi="Times New Roman" w:cs="Times New Roman"/>
          <w:color w:val="000000" w:themeColor="text1"/>
          <w:lang w:val="uk-UA"/>
        </w:rPr>
        <w:t xml:space="preserve">тегравіру може збільшитися, але це не пов'язано з </w:t>
      </w:r>
      <w:r w:rsidR="00187E20">
        <w:rPr>
          <w:rFonts w:ascii="Times New Roman" w:hAnsi="Times New Roman" w:cs="Times New Roman"/>
          <w:color w:val="000000" w:themeColor="text1"/>
          <w:lang w:val="uk-UA"/>
        </w:rPr>
        <w:t xml:space="preserve">питаннями </w:t>
      </w:r>
      <w:r w:rsidRPr="002C7BAD">
        <w:rPr>
          <w:rFonts w:ascii="Times New Roman" w:hAnsi="Times New Roman" w:cs="Times New Roman"/>
          <w:color w:val="000000" w:themeColor="text1"/>
          <w:lang w:val="uk-UA"/>
        </w:rPr>
        <w:t>безпеки. Режими, що містять кобіцистат, не слід застосовувати ч</w:t>
      </w:r>
      <w:r w:rsidR="002823F6">
        <w:rPr>
          <w:rFonts w:ascii="Times New Roman" w:hAnsi="Times New Roman" w:cs="Times New Roman"/>
          <w:color w:val="000000" w:themeColor="text1"/>
          <w:lang w:val="uk-UA"/>
        </w:rPr>
        <w:t>ерез додатковий ефект підсилення</w:t>
      </w:r>
      <w:r w:rsidRPr="002C7BAD">
        <w:rPr>
          <w:rFonts w:ascii="Times New Roman" w:hAnsi="Times New Roman" w:cs="Times New Roman"/>
          <w:color w:val="000000" w:themeColor="text1"/>
          <w:lang w:val="uk-UA"/>
        </w:rPr>
        <w:t>.</w:t>
      </w:r>
    </w:p>
    <w:p w14:paraId="7CEAEDB6" w14:textId="77777777" w:rsidR="00F9216A" w:rsidRDefault="00F9216A" w:rsidP="00F53078">
      <w:pPr>
        <w:tabs>
          <w:tab w:val="left" w:pos="1089"/>
        </w:tabs>
        <w:ind w:left="360"/>
        <w:jc w:val="both"/>
        <w:rPr>
          <w:rFonts w:ascii="Times New Roman" w:hAnsi="Times New Roman" w:cs="Times New Roman"/>
          <w:b/>
          <w:color w:val="2E74B5" w:themeColor="accent1" w:themeShade="BF"/>
          <w:lang w:val="uk-UA"/>
        </w:rPr>
      </w:pPr>
    </w:p>
    <w:p w14:paraId="1D717B06" w14:textId="3F840BDE" w:rsidR="001931EC" w:rsidRPr="001931EC" w:rsidRDefault="001931EC" w:rsidP="00F53078">
      <w:pPr>
        <w:tabs>
          <w:tab w:val="left" w:pos="1089"/>
        </w:tabs>
        <w:ind w:left="360"/>
        <w:jc w:val="both"/>
        <w:rPr>
          <w:rFonts w:ascii="Times New Roman" w:hAnsi="Times New Roman" w:cs="Times New Roman"/>
          <w:b/>
          <w:color w:val="2E74B5" w:themeColor="accent1" w:themeShade="BF"/>
          <w:lang w:val="uk-UA"/>
        </w:rPr>
      </w:pPr>
      <w:r w:rsidRPr="001931EC">
        <w:rPr>
          <w:rFonts w:ascii="Times New Roman" w:hAnsi="Times New Roman" w:cs="Times New Roman"/>
          <w:b/>
          <w:color w:val="2E74B5" w:themeColor="accent1" w:themeShade="BF"/>
          <w:lang w:val="uk-UA"/>
        </w:rPr>
        <w:t>Гразопрев</w:t>
      </w:r>
      <w:r w:rsidR="005128A5">
        <w:rPr>
          <w:rFonts w:ascii="Times New Roman" w:hAnsi="Times New Roman" w:cs="Times New Roman"/>
          <w:b/>
          <w:color w:val="2E74B5" w:themeColor="accent1" w:themeShade="BF"/>
          <w:lang w:val="uk-UA"/>
        </w:rPr>
        <w:t>і</w:t>
      </w:r>
      <w:r w:rsidRPr="001931EC">
        <w:rPr>
          <w:rFonts w:ascii="Times New Roman" w:hAnsi="Times New Roman" w:cs="Times New Roman"/>
          <w:b/>
          <w:color w:val="2E74B5" w:themeColor="accent1" w:themeShade="BF"/>
          <w:lang w:val="uk-UA"/>
        </w:rPr>
        <w:t>р та ельба</w:t>
      </w:r>
      <w:r w:rsidR="0080123C">
        <w:rPr>
          <w:rFonts w:ascii="Times New Roman" w:hAnsi="Times New Roman" w:cs="Times New Roman"/>
          <w:b/>
          <w:color w:val="2E74B5" w:themeColor="accent1" w:themeShade="BF"/>
          <w:lang w:val="uk-UA"/>
        </w:rPr>
        <w:t>с</w:t>
      </w:r>
      <w:r w:rsidRPr="001931EC">
        <w:rPr>
          <w:rFonts w:ascii="Times New Roman" w:hAnsi="Times New Roman" w:cs="Times New Roman"/>
          <w:b/>
          <w:color w:val="2E74B5" w:themeColor="accent1" w:themeShade="BF"/>
          <w:lang w:val="uk-UA"/>
        </w:rPr>
        <w:t>вір</w:t>
      </w:r>
    </w:p>
    <w:p w14:paraId="725F0BBA" w14:textId="77777777" w:rsidR="001931EC" w:rsidRDefault="001931EC" w:rsidP="00F53078">
      <w:pPr>
        <w:tabs>
          <w:tab w:val="left" w:pos="1089"/>
        </w:tabs>
        <w:ind w:left="360"/>
        <w:jc w:val="both"/>
        <w:rPr>
          <w:rFonts w:ascii="Times New Roman" w:hAnsi="Times New Roman" w:cs="Times New Roman"/>
          <w:color w:val="000000" w:themeColor="text1"/>
          <w:lang w:val="uk-UA"/>
        </w:rPr>
      </w:pPr>
    </w:p>
    <w:p w14:paraId="25895399" w14:textId="43A5A39A" w:rsidR="001931EC" w:rsidRPr="001931EC" w:rsidRDefault="001931EC" w:rsidP="00F53078">
      <w:pPr>
        <w:tabs>
          <w:tab w:val="left" w:pos="1089"/>
        </w:tabs>
        <w:ind w:left="360"/>
        <w:jc w:val="both"/>
        <w:rPr>
          <w:rFonts w:ascii="Times New Roman" w:hAnsi="Times New Roman" w:cs="Times New Roman"/>
          <w:color w:val="000000" w:themeColor="text1"/>
          <w:lang w:val="uk-UA"/>
        </w:rPr>
      </w:pPr>
      <w:r w:rsidRPr="001931EC">
        <w:rPr>
          <w:rFonts w:ascii="Times New Roman" w:hAnsi="Times New Roman" w:cs="Times New Roman"/>
          <w:color w:val="000000" w:themeColor="text1"/>
          <w:lang w:val="uk-UA"/>
        </w:rPr>
        <w:t xml:space="preserve">Гразопревір та </w:t>
      </w:r>
      <w:r w:rsidR="0080123C">
        <w:rPr>
          <w:rFonts w:ascii="Times New Roman" w:hAnsi="Times New Roman" w:cs="Times New Roman"/>
          <w:color w:val="000000" w:themeColor="text1"/>
          <w:lang w:val="uk-UA"/>
        </w:rPr>
        <w:t>ельбасвір доступні у</w:t>
      </w:r>
      <w:r w:rsidRPr="001931EC">
        <w:rPr>
          <w:rFonts w:ascii="Times New Roman" w:hAnsi="Times New Roman" w:cs="Times New Roman"/>
          <w:color w:val="000000" w:themeColor="text1"/>
          <w:lang w:val="uk-UA"/>
        </w:rPr>
        <w:t xml:space="preserve"> </w:t>
      </w:r>
      <w:r w:rsidR="0080123C">
        <w:rPr>
          <w:rFonts w:ascii="Times New Roman" w:hAnsi="Times New Roman" w:cs="Times New Roman"/>
          <w:color w:val="000000" w:themeColor="text1"/>
          <w:lang w:val="uk-UA"/>
        </w:rPr>
        <w:t>фіксованій дозі</w:t>
      </w:r>
      <w:r w:rsidR="0080123C" w:rsidRPr="001931EC">
        <w:rPr>
          <w:rFonts w:ascii="Times New Roman" w:hAnsi="Times New Roman" w:cs="Times New Roman"/>
          <w:color w:val="000000" w:themeColor="text1"/>
          <w:lang w:val="uk-UA"/>
        </w:rPr>
        <w:t xml:space="preserve"> </w:t>
      </w:r>
      <w:r w:rsidR="0080123C">
        <w:rPr>
          <w:rFonts w:ascii="Times New Roman" w:hAnsi="Times New Roman" w:cs="Times New Roman"/>
          <w:color w:val="000000" w:themeColor="text1"/>
          <w:lang w:val="uk-UA"/>
        </w:rPr>
        <w:t>двох препаратів</w:t>
      </w:r>
      <w:r w:rsidRPr="001931EC">
        <w:rPr>
          <w:rFonts w:ascii="Times New Roman" w:hAnsi="Times New Roman" w:cs="Times New Roman"/>
          <w:color w:val="000000" w:themeColor="text1"/>
          <w:lang w:val="uk-UA"/>
        </w:rPr>
        <w:t xml:space="preserve">, що містять 100 мг гразопревіру та 50 мг </w:t>
      </w:r>
      <w:r w:rsidR="0080123C">
        <w:rPr>
          <w:rFonts w:ascii="Times New Roman" w:hAnsi="Times New Roman" w:cs="Times New Roman"/>
          <w:color w:val="000000" w:themeColor="text1"/>
          <w:lang w:val="uk-UA"/>
        </w:rPr>
        <w:t>ельбасвір</w:t>
      </w:r>
      <w:r w:rsidRPr="001931EC">
        <w:rPr>
          <w:rFonts w:ascii="Times New Roman" w:hAnsi="Times New Roman" w:cs="Times New Roman"/>
          <w:color w:val="000000" w:themeColor="text1"/>
          <w:lang w:val="uk-UA"/>
        </w:rPr>
        <w:t xml:space="preserve">у в одній таблетці. Рекомендована доза комбінації </w:t>
      </w:r>
      <w:r w:rsidR="00FC6D8A">
        <w:rPr>
          <w:rFonts w:ascii="Times New Roman" w:hAnsi="Times New Roman" w:cs="Times New Roman"/>
          <w:color w:val="000000" w:themeColor="text1"/>
          <w:lang w:val="uk-UA"/>
        </w:rPr>
        <w:t>–</w:t>
      </w:r>
      <w:r w:rsidRPr="001931EC">
        <w:rPr>
          <w:rFonts w:ascii="Times New Roman" w:hAnsi="Times New Roman" w:cs="Times New Roman"/>
          <w:color w:val="000000" w:themeColor="text1"/>
          <w:lang w:val="uk-UA"/>
        </w:rPr>
        <w:t xml:space="preserve"> одна таблетка, що приймається перорально один раз </w:t>
      </w:r>
      <w:r w:rsidR="00187E20">
        <w:rPr>
          <w:rFonts w:ascii="Times New Roman" w:hAnsi="Times New Roman" w:cs="Times New Roman"/>
          <w:color w:val="000000" w:themeColor="text1"/>
          <w:lang w:val="uk-UA"/>
        </w:rPr>
        <w:t xml:space="preserve">на </w:t>
      </w:r>
      <w:r w:rsidRPr="001931EC">
        <w:rPr>
          <w:rFonts w:ascii="Times New Roman" w:hAnsi="Times New Roman" w:cs="Times New Roman"/>
          <w:color w:val="000000" w:themeColor="text1"/>
          <w:lang w:val="uk-UA"/>
        </w:rPr>
        <w:t>д</w:t>
      </w:r>
      <w:r w:rsidR="00392758">
        <w:rPr>
          <w:rFonts w:ascii="Times New Roman" w:hAnsi="Times New Roman" w:cs="Times New Roman"/>
          <w:color w:val="000000" w:themeColor="text1"/>
          <w:lang w:val="uk-UA"/>
        </w:rPr>
        <w:t>обу</w:t>
      </w:r>
      <w:r w:rsidRPr="001931EC">
        <w:rPr>
          <w:rFonts w:ascii="Times New Roman" w:hAnsi="Times New Roman" w:cs="Times New Roman"/>
          <w:color w:val="000000" w:themeColor="text1"/>
          <w:lang w:val="uk-UA"/>
        </w:rPr>
        <w:t xml:space="preserve"> </w:t>
      </w:r>
      <w:r w:rsidR="005C66E8">
        <w:rPr>
          <w:rFonts w:ascii="Times New Roman" w:hAnsi="Times New Roman" w:cs="Times New Roman"/>
          <w:color w:val="000000" w:themeColor="text1"/>
          <w:lang w:val="uk-UA"/>
        </w:rPr>
        <w:t>незалежно від прийому</w:t>
      </w:r>
      <w:r w:rsidRPr="001931EC">
        <w:rPr>
          <w:rFonts w:ascii="Times New Roman" w:hAnsi="Times New Roman" w:cs="Times New Roman"/>
          <w:color w:val="000000" w:themeColor="text1"/>
          <w:lang w:val="uk-UA"/>
        </w:rPr>
        <w:t xml:space="preserve"> їжі.</w:t>
      </w:r>
    </w:p>
    <w:p w14:paraId="425019D2" w14:textId="77777777" w:rsidR="0080123C" w:rsidRDefault="0080123C" w:rsidP="00F53078">
      <w:pPr>
        <w:tabs>
          <w:tab w:val="left" w:pos="1089"/>
        </w:tabs>
        <w:ind w:left="360"/>
        <w:jc w:val="both"/>
        <w:rPr>
          <w:rFonts w:ascii="Times New Roman" w:hAnsi="Times New Roman" w:cs="Times New Roman"/>
          <w:color w:val="000000" w:themeColor="text1"/>
          <w:lang w:val="uk-UA"/>
        </w:rPr>
      </w:pPr>
    </w:p>
    <w:p w14:paraId="2058D3D3" w14:textId="7F9BCCE8" w:rsidR="001931EC" w:rsidRPr="001931EC" w:rsidRDefault="001931EC" w:rsidP="00F53078">
      <w:pPr>
        <w:tabs>
          <w:tab w:val="left" w:pos="1089"/>
        </w:tabs>
        <w:ind w:left="360"/>
        <w:jc w:val="both"/>
        <w:rPr>
          <w:rFonts w:ascii="Times New Roman" w:hAnsi="Times New Roman" w:cs="Times New Roman"/>
          <w:color w:val="000000" w:themeColor="text1"/>
          <w:lang w:val="uk-UA"/>
        </w:rPr>
      </w:pPr>
      <w:r w:rsidRPr="001931EC">
        <w:rPr>
          <w:rFonts w:ascii="Times New Roman" w:hAnsi="Times New Roman" w:cs="Times New Roman"/>
          <w:color w:val="000000" w:themeColor="text1"/>
          <w:lang w:val="uk-UA"/>
        </w:rPr>
        <w:t xml:space="preserve">Гразопревір та </w:t>
      </w:r>
      <w:r w:rsidR="0080123C">
        <w:rPr>
          <w:rFonts w:ascii="Times New Roman" w:hAnsi="Times New Roman" w:cs="Times New Roman"/>
          <w:color w:val="000000" w:themeColor="text1"/>
          <w:lang w:val="uk-UA"/>
        </w:rPr>
        <w:t>ельбасвір</w:t>
      </w:r>
      <w:r w:rsidRPr="001931EC">
        <w:rPr>
          <w:rFonts w:ascii="Times New Roman" w:hAnsi="Times New Roman" w:cs="Times New Roman"/>
          <w:color w:val="000000" w:themeColor="text1"/>
          <w:lang w:val="uk-UA"/>
        </w:rPr>
        <w:t xml:space="preserve"> частково метаболізуються CYP3A4, але в плазмі </w:t>
      </w:r>
      <w:r w:rsidR="0080123C">
        <w:rPr>
          <w:rFonts w:ascii="Times New Roman" w:hAnsi="Times New Roman" w:cs="Times New Roman"/>
          <w:color w:val="000000" w:themeColor="text1"/>
          <w:lang w:val="uk-UA"/>
        </w:rPr>
        <w:t xml:space="preserve">крові </w:t>
      </w:r>
      <w:r w:rsidRPr="001931EC">
        <w:rPr>
          <w:rFonts w:ascii="Times New Roman" w:hAnsi="Times New Roman" w:cs="Times New Roman"/>
          <w:color w:val="000000" w:themeColor="text1"/>
          <w:lang w:val="uk-UA"/>
        </w:rPr>
        <w:t>не виявляються циркулюючі метаболіти. Основний шлях еліміна</w:t>
      </w:r>
      <w:r w:rsidR="0080123C">
        <w:rPr>
          <w:rFonts w:ascii="Times New Roman" w:hAnsi="Times New Roman" w:cs="Times New Roman"/>
          <w:color w:val="000000" w:themeColor="text1"/>
          <w:lang w:val="uk-UA"/>
        </w:rPr>
        <w:t xml:space="preserve">ції </w:t>
      </w:r>
      <w:r w:rsidR="00FC6D8A">
        <w:rPr>
          <w:rFonts w:ascii="Times New Roman" w:hAnsi="Times New Roman" w:cs="Times New Roman"/>
          <w:color w:val="000000" w:themeColor="text1"/>
          <w:lang w:val="uk-UA"/>
        </w:rPr>
        <w:t>–</w:t>
      </w:r>
      <w:r w:rsidR="0080123C">
        <w:rPr>
          <w:rFonts w:ascii="Times New Roman" w:hAnsi="Times New Roman" w:cs="Times New Roman"/>
          <w:color w:val="000000" w:themeColor="text1"/>
          <w:lang w:val="uk-UA"/>
        </w:rPr>
        <w:t xml:space="preserve"> біліарний і фекальний,  &lt;1% виводиться</w:t>
      </w:r>
      <w:r w:rsidRPr="001931EC">
        <w:rPr>
          <w:rFonts w:ascii="Times New Roman" w:hAnsi="Times New Roman" w:cs="Times New Roman"/>
          <w:color w:val="000000" w:themeColor="text1"/>
          <w:lang w:val="uk-UA"/>
        </w:rPr>
        <w:t xml:space="preserve"> сечею</w:t>
      </w:r>
      <w:r w:rsidR="0080123C">
        <w:rPr>
          <w:rFonts w:ascii="Times New Roman" w:hAnsi="Times New Roman" w:cs="Times New Roman"/>
          <w:color w:val="000000" w:themeColor="text1"/>
          <w:lang w:val="uk-UA"/>
        </w:rPr>
        <w:t xml:space="preserve"> у вигляді відновлених продуктів</w:t>
      </w:r>
      <w:r w:rsidRPr="001931EC">
        <w:rPr>
          <w:rFonts w:ascii="Times New Roman" w:hAnsi="Times New Roman" w:cs="Times New Roman"/>
          <w:color w:val="000000" w:themeColor="text1"/>
          <w:lang w:val="uk-UA"/>
        </w:rPr>
        <w:t xml:space="preserve">. Гразопревір транспортується за допомогою </w:t>
      </w:r>
      <w:r w:rsidR="004D2A4F">
        <w:rPr>
          <w:rFonts w:ascii="Times New Roman" w:hAnsi="Times New Roman" w:cs="Times New Roman"/>
          <w:color w:val="000000" w:themeColor="text1"/>
          <w:lang w:val="uk-UA"/>
        </w:rPr>
        <w:t xml:space="preserve">P-gp </w:t>
      </w:r>
      <w:r w:rsidRPr="001931EC">
        <w:rPr>
          <w:rFonts w:ascii="Times New Roman" w:hAnsi="Times New Roman" w:cs="Times New Roman"/>
          <w:color w:val="000000" w:themeColor="text1"/>
          <w:lang w:val="uk-UA"/>
        </w:rPr>
        <w:t xml:space="preserve">і OATP1B1, тоді як </w:t>
      </w:r>
      <w:r w:rsidR="0080123C">
        <w:rPr>
          <w:rFonts w:ascii="Times New Roman" w:hAnsi="Times New Roman" w:cs="Times New Roman"/>
          <w:color w:val="000000" w:themeColor="text1"/>
          <w:lang w:val="uk-UA"/>
        </w:rPr>
        <w:t>ельбасвір</w:t>
      </w:r>
      <w:r w:rsidRPr="001931EC">
        <w:rPr>
          <w:rFonts w:ascii="Times New Roman" w:hAnsi="Times New Roman" w:cs="Times New Roman"/>
          <w:color w:val="000000" w:themeColor="text1"/>
          <w:lang w:val="uk-UA"/>
        </w:rPr>
        <w:t xml:space="preserve"> є субстратом для P</w:t>
      </w:r>
      <w:r w:rsidR="00FC6D8A">
        <w:rPr>
          <w:rFonts w:ascii="Times New Roman" w:hAnsi="Times New Roman" w:cs="Times New Roman"/>
          <w:color w:val="000000" w:themeColor="text1"/>
          <w:lang w:val="uk-UA"/>
        </w:rPr>
        <w:t>–</w:t>
      </w:r>
      <w:r w:rsidRPr="001931EC">
        <w:rPr>
          <w:rFonts w:ascii="Times New Roman" w:hAnsi="Times New Roman" w:cs="Times New Roman"/>
          <w:color w:val="000000" w:themeColor="text1"/>
          <w:lang w:val="uk-UA"/>
        </w:rPr>
        <w:t xml:space="preserve">gp. Обидва </w:t>
      </w:r>
      <w:r w:rsidR="0080123C">
        <w:rPr>
          <w:rFonts w:ascii="Times New Roman" w:hAnsi="Times New Roman" w:cs="Times New Roman"/>
          <w:color w:val="000000" w:themeColor="text1"/>
          <w:lang w:val="uk-UA"/>
        </w:rPr>
        <w:t>ельбасвір</w:t>
      </w:r>
      <w:r w:rsidRPr="001931EC">
        <w:rPr>
          <w:rFonts w:ascii="Times New Roman" w:hAnsi="Times New Roman" w:cs="Times New Roman"/>
          <w:color w:val="000000" w:themeColor="text1"/>
          <w:lang w:val="uk-UA"/>
        </w:rPr>
        <w:t xml:space="preserve"> (&gt; 99,9%) і гразопревір (98,8%) широко зв'язують</w:t>
      </w:r>
      <w:r w:rsidR="0080123C">
        <w:rPr>
          <w:rFonts w:ascii="Times New Roman" w:hAnsi="Times New Roman" w:cs="Times New Roman"/>
          <w:color w:val="000000" w:themeColor="text1"/>
          <w:lang w:val="uk-UA"/>
        </w:rPr>
        <w:t>ся з білками плазми. Кінцеві</w:t>
      </w:r>
      <w:r w:rsidRPr="001931EC">
        <w:rPr>
          <w:rFonts w:ascii="Times New Roman" w:hAnsi="Times New Roman" w:cs="Times New Roman"/>
          <w:color w:val="000000" w:themeColor="text1"/>
          <w:lang w:val="uk-UA"/>
        </w:rPr>
        <w:t xml:space="preserve"> періоди напіврозпаду </w:t>
      </w:r>
      <w:r w:rsidR="0080123C">
        <w:rPr>
          <w:rFonts w:ascii="Times New Roman" w:hAnsi="Times New Roman" w:cs="Times New Roman"/>
          <w:color w:val="000000" w:themeColor="text1"/>
          <w:lang w:val="uk-UA"/>
        </w:rPr>
        <w:t xml:space="preserve">складають </w:t>
      </w:r>
      <w:r w:rsidRPr="001931EC">
        <w:rPr>
          <w:rFonts w:ascii="Times New Roman" w:hAnsi="Times New Roman" w:cs="Times New Roman"/>
          <w:color w:val="000000" w:themeColor="text1"/>
          <w:lang w:val="uk-UA"/>
        </w:rPr>
        <w:t>приблизно 24 і 31 год</w:t>
      </w:r>
      <w:r w:rsidR="0080123C">
        <w:rPr>
          <w:rFonts w:ascii="Times New Roman" w:hAnsi="Times New Roman" w:cs="Times New Roman"/>
          <w:color w:val="000000" w:themeColor="text1"/>
          <w:lang w:val="uk-UA"/>
        </w:rPr>
        <w:t>ини</w:t>
      </w:r>
      <w:r w:rsidRPr="001931EC">
        <w:rPr>
          <w:rFonts w:ascii="Times New Roman" w:hAnsi="Times New Roman" w:cs="Times New Roman"/>
          <w:color w:val="000000" w:themeColor="text1"/>
          <w:lang w:val="uk-UA"/>
        </w:rPr>
        <w:t xml:space="preserve"> відповідно.</w:t>
      </w:r>
    </w:p>
    <w:p w14:paraId="2FC4FFFE" w14:textId="77777777" w:rsidR="0080123C" w:rsidRDefault="0080123C" w:rsidP="00F53078">
      <w:pPr>
        <w:tabs>
          <w:tab w:val="left" w:pos="1089"/>
        </w:tabs>
        <w:ind w:left="360"/>
        <w:jc w:val="both"/>
        <w:rPr>
          <w:rFonts w:ascii="Times New Roman" w:hAnsi="Times New Roman" w:cs="Times New Roman"/>
          <w:color w:val="000000" w:themeColor="text1"/>
          <w:lang w:val="uk-UA"/>
        </w:rPr>
      </w:pPr>
    </w:p>
    <w:p w14:paraId="0AC304D2" w14:textId="19027735" w:rsidR="001931EC" w:rsidRPr="008A50B6" w:rsidRDefault="001931EC" w:rsidP="00F53078">
      <w:pPr>
        <w:tabs>
          <w:tab w:val="left" w:pos="1089"/>
        </w:tabs>
        <w:ind w:left="360"/>
        <w:jc w:val="both"/>
        <w:rPr>
          <w:rFonts w:ascii="Times New Roman" w:hAnsi="Times New Roman" w:cs="Times New Roman"/>
          <w:color w:val="000000" w:themeColor="text1"/>
          <w:lang w:val="uk-UA"/>
        </w:rPr>
      </w:pPr>
      <w:r w:rsidRPr="001931EC">
        <w:rPr>
          <w:rFonts w:ascii="Times New Roman" w:hAnsi="Times New Roman" w:cs="Times New Roman"/>
          <w:color w:val="000000" w:themeColor="text1"/>
          <w:lang w:val="uk-UA"/>
        </w:rPr>
        <w:t>Фар</w:t>
      </w:r>
      <w:r w:rsidR="0080123C">
        <w:rPr>
          <w:rFonts w:ascii="Times New Roman" w:hAnsi="Times New Roman" w:cs="Times New Roman"/>
          <w:color w:val="000000" w:themeColor="text1"/>
          <w:lang w:val="uk-UA"/>
        </w:rPr>
        <w:t>макокінетичні дані досліджень щодо порушень функції печінки серед неінфікованих</w:t>
      </w:r>
      <w:r w:rsidRPr="001931EC">
        <w:rPr>
          <w:rFonts w:ascii="Times New Roman" w:hAnsi="Times New Roman" w:cs="Times New Roman"/>
          <w:color w:val="000000" w:themeColor="text1"/>
          <w:lang w:val="uk-UA"/>
        </w:rPr>
        <w:t xml:space="preserve"> </w:t>
      </w:r>
      <w:r w:rsidR="0080123C">
        <w:rPr>
          <w:rFonts w:ascii="Times New Roman" w:hAnsi="Times New Roman" w:cs="Times New Roman"/>
          <w:color w:val="000000" w:themeColor="text1"/>
          <w:lang w:val="uk-UA"/>
        </w:rPr>
        <w:t xml:space="preserve">ВГС </w:t>
      </w:r>
      <w:r w:rsidRPr="001931EC">
        <w:rPr>
          <w:rFonts w:ascii="Times New Roman" w:hAnsi="Times New Roman" w:cs="Times New Roman"/>
          <w:color w:val="000000" w:themeColor="text1"/>
          <w:lang w:val="uk-UA"/>
        </w:rPr>
        <w:t>пацієн</w:t>
      </w:r>
      <w:r w:rsidR="0080123C">
        <w:rPr>
          <w:rFonts w:ascii="Times New Roman" w:hAnsi="Times New Roman" w:cs="Times New Roman"/>
          <w:color w:val="000000" w:themeColor="text1"/>
          <w:lang w:val="uk-UA"/>
        </w:rPr>
        <w:t>тів</w:t>
      </w:r>
      <w:r w:rsidRPr="001931EC">
        <w:rPr>
          <w:rFonts w:ascii="Times New Roman" w:hAnsi="Times New Roman" w:cs="Times New Roman"/>
          <w:color w:val="000000" w:themeColor="text1"/>
          <w:lang w:val="uk-UA"/>
        </w:rPr>
        <w:t xml:space="preserve"> продемонстрували зниження </w:t>
      </w:r>
      <w:r w:rsidRPr="008A50B6">
        <w:rPr>
          <w:rFonts w:ascii="Times New Roman" w:hAnsi="Times New Roman" w:cs="Times New Roman"/>
          <w:color w:val="000000" w:themeColor="text1"/>
          <w:lang w:val="uk-UA"/>
        </w:rPr>
        <w:t xml:space="preserve">AUC </w:t>
      </w:r>
      <w:r w:rsidR="0080123C" w:rsidRPr="008A50B6">
        <w:rPr>
          <w:rFonts w:ascii="Times New Roman" w:hAnsi="Times New Roman" w:cs="Times New Roman"/>
          <w:color w:val="000000" w:themeColor="text1"/>
          <w:lang w:val="uk-UA"/>
        </w:rPr>
        <w:t>ельбасвір</w:t>
      </w:r>
      <w:r w:rsidRPr="008A50B6">
        <w:rPr>
          <w:rFonts w:ascii="Times New Roman" w:hAnsi="Times New Roman" w:cs="Times New Roman"/>
          <w:color w:val="000000" w:themeColor="text1"/>
          <w:lang w:val="uk-UA"/>
        </w:rPr>
        <w:t xml:space="preserve">у у </w:t>
      </w:r>
      <w:r w:rsidR="0080123C" w:rsidRPr="008A50B6">
        <w:rPr>
          <w:rFonts w:ascii="Times New Roman" w:hAnsi="Times New Roman" w:cs="Times New Roman"/>
          <w:color w:val="000000" w:themeColor="text1"/>
          <w:lang w:val="uk-UA"/>
        </w:rPr>
        <w:t xml:space="preserve">хворих з цирозом </w:t>
      </w:r>
      <w:r w:rsidR="00392758">
        <w:rPr>
          <w:rFonts w:ascii="Times New Roman" w:hAnsi="Times New Roman" w:cs="Times New Roman"/>
          <w:color w:val="000000" w:themeColor="text1"/>
          <w:lang w:val="uk-UA"/>
        </w:rPr>
        <w:t xml:space="preserve">печінки </w:t>
      </w:r>
      <w:r w:rsidR="0080123C" w:rsidRPr="008A50B6">
        <w:rPr>
          <w:rFonts w:ascii="Times New Roman" w:hAnsi="Times New Roman" w:cs="Times New Roman"/>
          <w:color w:val="000000" w:themeColor="text1"/>
          <w:lang w:val="uk-UA"/>
        </w:rPr>
        <w:t>Child</w:t>
      </w:r>
      <w:r w:rsidR="00FC6D8A">
        <w:rPr>
          <w:rFonts w:ascii="Times New Roman" w:hAnsi="Times New Roman" w:cs="Times New Roman"/>
          <w:color w:val="000000" w:themeColor="text1"/>
          <w:lang w:val="uk-UA"/>
        </w:rPr>
        <w:t>–</w:t>
      </w:r>
      <w:r w:rsidRPr="008A50B6">
        <w:rPr>
          <w:rFonts w:ascii="Times New Roman" w:hAnsi="Times New Roman" w:cs="Times New Roman"/>
          <w:color w:val="000000" w:themeColor="text1"/>
          <w:lang w:val="uk-UA"/>
        </w:rPr>
        <w:t>Pugh A (40%), Child</w:t>
      </w:r>
      <w:r w:rsidR="00FC6D8A">
        <w:rPr>
          <w:rFonts w:ascii="Times New Roman" w:hAnsi="Times New Roman" w:cs="Times New Roman"/>
          <w:color w:val="000000" w:themeColor="text1"/>
          <w:lang w:val="uk-UA"/>
        </w:rPr>
        <w:t>–</w:t>
      </w:r>
      <w:r w:rsidRPr="008A50B6">
        <w:rPr>
          <w:rFonts w:ascii="Times New Roman" w:hAnsi="Times New Roman" w:cs="Times New Roman"/>
          <w:color w:val="000000" w:themeColor="text1"/>
          <w:lang w:val="uk-UA"/>
        </w:rPr>
        <w:t>Pugh B (28%) та Child</w:t>
      </w:r>
      <w:r w:rsidR="00FC6D8A">
        <w:rPr>
          <w:rFonts w:ascii="Times New Roman" w:hAnsi="Times New Roman" w:cs="Times New Roman"/>
          <w:color w:val="000000" w:themeColor="text1"/>
          <w:lang w:val="uk-UA"/>
        </w:rPr>
        <w:t>–</w:t>
      </w:r>
      <w:r w:rsidRPr="008A50B6">
        <w:rPr>
          <w:rFonts w:ascii="Times New Roman" w:hAnsi="Times New Roman" w:cs="Times New Roman"/>
          <w:color w:val="000000" w:themeColor="text1"/>
          <w:lang w:val="uk-UA"/>
        </w:rPr>
        <w:t xml:space="preserve">Pugh C (12%). </w:t>
      </w:r>
      <w:r w:rsidR="00281F8C">
        <w:rPr>
          <w:rFonts w:ascii="Times New Roman" w:hAnsi="Times New Roman" w:cs="Times New Roman"/>
          <w:color w:val="000000" w:themeColor="text1"/>
          <w:lang w:val="uk-UA"/>
        </w:rPr>
        <w:t>Водночас</w:t>
      </w:r>
      <w:r w:rsidRPr="008A50B6">
        <w:rPr>
          <w:rFonts w:ascii="Times New Roman" w:hAnsi="Times New Roman" w:cs="Times New Roman"/>
          <w:color w:val="000000" w:themeColor="text1"/>
          <w:lang w:val="uk-UA"/>
        </w:rPr>
        <w:t>, експозиц</w:t>
      </w:r>
      <w:r w:rsidR="0080123C" w:rsidRPr="008A50B6">
        <w:rPr>
          <w:rFonts w:ascii="Times New Roman" w:hAnsi="Times New Roman" w:cs="Times New Roman"/>
          <w:color w:val="000000" w:themeColor="text1"/>
          <w:lang w:val="uk-UA"/>
        </w:rPr>
        <w:t>ія гразопревіру збільшується у хворих з цирозом Child</w:t>
      </w:r>
      <w:r w:rsidR="00FC6D8A">
        <w:rPr>
          <w:rFonts w:ascii="Times New Roman" w:hAnsi="Times New Roman" w:cs="Times New Roman"/>
          <w:color w:val="000000" w:themeColor="text1"/>
          <w:lang w:val="uk-UA"/>
        </w:rPr>
        <w:t>–</w:t>
      </w:r>
      <w:r w:rsidR="0080123C" w:rsidRPr="008A50B6">
        <w:rPr>
          <w:rFonts w:ascii="Times New Roman" w:hAnsi="Times New Roman" w:cs="Times New Roman"/>
          <w:color w:val="000000" w:themeColor="text1"/>
          <w:lang w:val="uk-UA"/>
        </w:rPr>
        <w:t xml:space="preserve">Pugh A </w:t>
      </w:r>
      <w:r w:rsidRPr="008A50B6">
        <w:rPr>
          <w:rFonts w:ascii="Times New Roman" w:hAnsi="Times New Roman" w:cs="Times New Roman"/>
          <w:color w:val="000000" w:themeColor="text1"/>
          <w:lang w:val="uk-UA"/>
        </w:rPr>
        <w:t xml:space="preserve">(70%), </w:t>
      </w:r>
      <w:r w:rsidR="004B6171" w:rsidRPr="008A50B6">
        <w:rPr>
          <w:rFonts w:ascii="Times New Roman" w:hAnsi="Times New Roman" w:cs="Times New Roman"/>
          <w:color w:val="000000" w:themeColor="text1"/>
          <w:lang w:val="uk-UA"/>
        </w:rPr>
        <w:t>Child</w:t>
      </w:r>
      <w:r w:rsidR="00FC6D8A">
        <w:rPr>
          <w:rFonts w:ascii="Times New Roman" w:hAnsi="Times New Roman" w:cs="Times New Roman"/>
          <w:color w:val="000000" w:themeColor="text1"/>
          <w:lang w:val="uk-UA"/>
        </w:rPr>
        <w:t>–</w:t>
      </w:r>
      <w:r w:rsidR="004B6171" w:rsidRPr="008A50B6">
        <w:rPr>
          <w:rFonts w:ascii="Times New Roman" w:hAnsi="Times New Roman" w:cs="Times New Roman"/>
          <w:color w:val="000000" w:themeColor="text1"/>
          <w:lang w:val="uk-UA"/>
        </w:rPr>
        <w:t>Pugh B</w:t>
      </w:r>
      <w:r w:rsidRPr="008A50B6">
        <w:rPr>
          <w:rFonts w:ascii="Times New Roman" w:hAnsi="Times New Roman" w:cs="Times New Roman"/>
          <w:color w:val="000000" w:themeColor="text1"/>
          <w:lang w:val="uk-UA"/>
        </w:rPr>
        <w:t xml:space="preserve"> (у 5 разів) та </w:t>
      </w:r>
      <w:r w:rsidR="00036007" w:rsidRPr="008A50B6">
        <w:rPr>
          <w:rFonts w:ascii="Times New Roman" w:hAnsi="Times New Roman" w:cs="Times New Roman"/>
          <w:color w:val="000000" w:themeColor="text1"/>
          <w:lang w:val="uk-UA"/>
        </w:rPr>
        <w:t>Child</w:t>
      </w:r>
      <w:r w:rsidR="00FC6D8A">
        <w:rPr>
          <w:rFonts w:ascii="Times New Roman" w:hAnsi="Times New Roman" w:cs="Times New Roman"/>
          <w:color w:val="000000" w:themeColor="text1"/>
          <w:lang w:val="uk-UA"/>
        </w:rPr>
        <w:t>–</w:t>
      </w:r>
      <w:r w:rsidR="00036007" w:rsidRPr="008A50B6">
        <w:rPr>
          <w:rFonts w:ascii="Times New Roman" w:hAnsi="Times New Roman" w:cs="Times New Roman"/>
          <w:color w:val="000000" w:themeColor="text1"/>
          <w:lang w:val="uk-UA"/>
        </w:rPr>
        <w:t xml:space="preserve">Pugh C </w:t>
      </w:r>
      <w:r w:rsidRPr="008A50B6">
        <w:rPr>
          <w:rFonts w:ascii="Times New Roman" w:hAnsi="Times New Roman" w:cs="Times New Roman"/>
          <w:color w:val="000000" w:themeColor="text1"/>
          <w:lang w:val="uk-UA"/>
        </w:rPr>
        <w:t>(</w:t>
      </w:r>
      <w:r w:rsidR="00036007" w:rsidRPr="008A50B6">
        <w:rPr>
          <w:rFonts w:ascii="Times New Roman" w:hAnsi="Times New Roman" w:cs="Times New Roman"/>
          <w:color w:val="000000" w:themeColor="text1"/>
          <w:lang w:val="uk-UA"/>
        </w:rPr>
        <w:t xml:space="preserve">у </w:t>
      </w:r>
      <w:r w:rsidRPr="008A50B6">
        <w:rPr>
          <w:rFonts w:ascii="Times New Roman" w:hAnsi="Times New Roman" w:cs="Times New Roman"/>
          <w:color w:val="000000" w:themeColor="text1"/>
          <w:lang w:val="uk-UA"/>
        </w:rPr>
        <w:t xml:space="preserve">12 разів). На підставі цих даних існує протипоказання до застосування </w:t>
      </w:r>
      <w:r w:rsidR="0080123C" w:rsidRPr="008A50B6">
        <w:rPr>
          <w:rFonts w:ascii="Times New Roman" w:hAnsi="Times New Roman" w:cs="Times New Roman"/>
          <w:color w:val="000000" w:themeColor="text1"/>
          <w:lang w:val="uk-UA"/>
        </w:rPr>
        <w:t>ельбасвір</w:t>
      </w:r>
      <w:r w:rsidR="00036007" w:rsidRPr="008A50B6">
        <w:rPr>
          <w:rFonts w:ascii="Times New Roman" w:hAnsi="Times New Roman" w:cs="Times New Roman"/>
          <w:color w:val="000000" w:themeColor="text1"/>
          <w:lang w:val="uk-UA"/>
        </w:rPr>
        <w:t>у/</w:t>
      </w:r>
      <w:r w:rsidRPr="008A50B6">
        <w:rPr>
          <w:rFonts w:ascii="Times New Roman" w:hAnsi="Times New Roman" w:cs="Times New Roman"/>
          <w:color w:val="000000" w:themeColor="text1"/>
          <w:lang w:val="uk-UA"/>
        </w:rPr>
        <w:t>гразопревіру у пацієнтів з помірними (Child</w:t>
      </w:r>
      <w:r w:rsidR="00FC6D8A">
        <w:rPr>
          <w:rFonts w:ascii="Times New Roman" w:hAnsi="Times New Roman" w:cs="Times New Roman"/>
          <w:color w:val="000000" w:themeColor="text1"/>
          <w:lang w:val="uk-UA"/>
        </w:rPr>
        <w:t>–</w:t>
      </w:r>
      <w:r w:rsidRPr="008A50B6">
        <w:rPr>
          <w:rFonts w:ascii="Times New Roman" w:hAnsi="Times New Roman" w:cs="Times New Roman"/>
          <w:color w:val="000000" w:themeColor="text1"/>
          <w:lang w:val="uk-UA"/>
        </w:rPr>
        <w:t>Pugh B) або важкими (Child</w:t>
      </w:r>
      <w:r w:rsidR="00FC6D8A">
        <w:rPr>
          <w:rFonts w:ascii="Times New Roman" w:hAnsi="Times New Roman" w:cs="Times New Roman"/>
          <w:color w:val="000000" w:themeColor="text1"/>
          <w:lang w:val="uk-UA"/>
        </w:rPr>
        <w:t>–</w:t>
      </w:r>
      <w:r w:rsidRPr="008A50B6">
        <w:rPr>
          <w:rFonts w:ascii="Times New Roman" w:hAnsi="Times New Roman" w:cs="Times New Roman"/>
          <w:color w:val="000000" w:themeColor="text1"/>
          <w:lang w:val="uk-UA"/>
        </w:rPr>
        <w:t>Pugh C) печінковими порушеннями.</w:t>
      </w:r>
    </w:p>
    <w:p w14:paraId="2286C87B" w14:textId="77777777" w:rsidR="00036007" w:rsidRPr="008A50B6" w:rsidRDefault="00036007" w:rsidP="00F53078">
      <w:pPr>
        <w:tabs>
          <w:tab w:val="left" w:pos="1089"/>
        </w:tabs>
        <w:ind w:left="360"/>
        <w:jc w:val="both"/>
        <w:rPr>
          <w:rFonts w:ascii="Times New Roman" w:hAnsi="Times New Roman" w:cs="Times New Roman"/>
          <w:color w:val="000000" w:themeColor="text1"/>
          <w:lang w:val="uk-UA"/>
        </w:rPr>
      </w:pPr>
    </w:p>
    <w:p w14:paraId="75C29518" w14:textId="4EA816E8" w:rsidR="001931EC" w:rsidRDefault="001931EC" w:rsidP="00F53078">
      <w:pPr>
        <w:tabs>
          <w:tab w:val="left" w:pos="1089"/>
        </w:tabs>
        <w:ind w:left="360"/>
        <w:jc w:val="both"/>
        <w:rPr>
          <w:rFonts w:ascii="Times New Roman" w:hAnsi="Times New Roman" w:cs="Times New Roman"/>
          <w:color w:val="000000" w:themeColor="text1"/>
          <w:lang w:val="uk-UA"/>
        </w:rPr>
      </w:pPr>
      <w:r w:rsidRPr="008A50B6">
        <w:rPr>
          <w:rFonts w:ascii="Times New Roman" w:hAnsi="Times New Roman" w:cs="Times New Roman"/>
          <w:color w:val="000000" w:themeColor="text1"/>
          <w:lang w:val="uk-UA"/>
        </w:rPr>
        <w:t>Пацієн</w:t>
      </w:r>
      <w:r w:rsidR="00036007" w:rsidRPr="008A50B6">
        <w:rPr>
          <w:rFonts w:ascii="Times New Roman" w:hAnsi="Times New Roman" w:cs="Times New Roman"/>
          <w:color w:val="000000" w:themeColor="text1"/>
          <w:lang w:val="uk-UA"/>
        </w:rPr>
        <w:t>ти з легкими, помірними</w:t>
      </w:r>
      <w:r w:rsidRPr="008A50B6">
        <w:rPr>
          <w:rFonts w:ascii="Times New Roman" w:hAnsi="Times New Roman" w:cs="Times New Roman"/>
          <w:color w:val="000000" w:themeColor="text1"/>
          <w:lang w:val="uk-UA"/>
        </w:rPr>
        <w:t xml:space="preserve"> або</w:t>
      </w:r>
      <w:r w:rsidRPr="001931EC">
        <w:rPr>
          <w:rFonts w:ascii="Times New Roman" w:hAnsi="Times New Roman" w:cs="Times New Roman"/>
          <w:color w:val="000000" w:themeColor="text1"/>
          <w:lang w:val="uk-UA"/>
        </w:rPr>
        <w:t xml:space="preserve"> важкими порушеннями функції нирок (включаючи пацієнтів </w:t>
      </w:r>
      <w:r w:rsidR="00187E20">
        <w:rPr>
          <w:rFonts w:ascii="Times New Roman" w:hAnsi="Times New Roman" w:cs="Times New Roman"/>
          <w:color w:val="000000" w:themeColor="text1"/>
          <w:lang w:val="uk-UA"/>
        </w:rPr>
        <w:t xml:space="preserve">на </w:t>
      </w:r>
      <w:r w:rsidRPr="001931EC">
        <w:rPr>
          <w:rFonts w:ascii="Times New Roman" w:hAnsi="Times New Roman" w:cs="Times New Roman"/>
          <w:color w:val="000000" w:themeColor="text1"/>
          <w:lang w:val="uk-UA"/>
        </w:rPr>
        <w:t>гемодіаліз</w:t>
      </w:r>
      <w:r w:rsidR="00187E20">
        <w:rPr>
          <w:rFonts w:ascii="Times New Roman" w:hAnsi="Times New Roman" w:cs="Times New Roman"/>
          <w:color w:val="000000" w:themeColor="text1"/>
          <w:lang w:val="uk-UA"/>
        </w:rPr>
        <w:t>і</w:t>
      </w:r>
      <w:r w:rsidRPr="001931EC">
        <w:rPr>
          <w:rFonts w:ascii="Times New Roman" w:hAnsi="Times New Roman" w:cs="Times New Roman"/>
          <w:color w:val="000000" w:themeColor="text1"/>
          <w:lang w:val="uk-UA"/>
        </w:rPr>
        <w:t xml:space="preserve"> або перитонеальн</w:t>
      </w:r>
      <w:r w:rsidR="00187E20">
        <w:rPr>
          <w:rFonts w:ascii="Times New Roman" w:hAnsi="Times New Roman" w:cs="Times New Roman"/>
          <w:color w:val="000000" w:themeColor="text1"/>
          <w:lang w:val="uk-UA"/>
        </w:rPr>
        <w:t>ому</w:t>
      </w:r>
      <w:r w:rsidRPr="001931EC">
        <w:rPr>
          <w:rFonts w:ascii="Times New Roman" w:hAnsi="Times New Roman" w:cs="Times New Roman"/>
          <w:color w:val="000000" w:themeColor="text1"/>
          <w:lang w:val="uk-UA"/>
        </w:rPr>
        <w:t xml:space="preserve"> діаліз</w:t>
      </w:r>
      <w:r w:rsidR="00187E20">
        <w:rPr>
          <w:rFonts w:ascii="Times New Roman" w:hAnsi="Times New Roman" w:cs="Times New Roman"/>
          <w:color w:val="000000" w:themeColor="text1"/>
          <w:lang w:val="uk-UA"/>
        </w:rPr>
        <w:t>і</w:t>
      </w:r>
      <w:r w:rsidRPr="001931EC">
        <w:rPr>
          <w:rFonts w:ascii="Times New Roman" w:hAnsi="Times New Roman" w:cs="Times New Roman"/>
          <w:color w:val="000000" w:themeColor="text1"/>
          <w:lang w:val="uk-UA"/>
        </w:rPr>
        <w:t xml:space="preserve">) не потребують корекції дози. </w:t>
      </w:r>
      <w:r w:rsidR="00187E20">
        <w:rPr>
          <w:rFonts w:ascii="Times New Roman" w:hAnsi="Times New Roman" w:cs="Times New Roman"/>
          <w:color w:val="000000" w:themeColor="text1"/>
          <w:lang w:val="uk-UA"/>
        </w:rPr>
        <w:t>Спостерігається</w:t>
      </w:r>
      <w:r w:rsidR="00187E20" w:rsidRPr="001931EC">
        <w:rPr>
          <w:rFonts w:ascii="Times New Roman" w:hAnsi="Times New Roman" w:cs="Times New Roman"/>
          <w:color w:val="000000" w:themeColor="text1"/>
          <w:lang w:val="uk-UA"/>
        </w:rPr>
        <w:t xml:space="preserve"> </w:t>
      </w:r>
      <w:r w:rsidRPr="001931EC">
        <w:rPr>
          <w:rFonts w:ascii="Times New Roman" w:hAnsi="Times New Roman" w:cs="Times New Roman"/>
          <w:color w:val="000000" w:themeColor="text1"/>
          <w:lang w:val="uk-UA"/>
        </w:rPr>
        <w:t xml:space="preserve">збільшення експозиції </w:t>
      </w:r>
      <w:r w:rsidR="0080123C">
        <w:rPr>
          <w:rFonts w:ascii="Times New Roman" w:hAnsi="Times New Roman" w:cs="Times New Roman"/>
          <w:color w:val="000000" w:themeColor="text1"/>
          <w:lang w:val="uk-UA"/>
        </w:rPr>
        <w:t>ельбасвір</w:t>
      </w:r>
      <w:r w:rsidRPr="001931EC">
        <w:rPr>
          <w:rFonts w:ascii="Times New Roman" w:hAnsi="Times New Roman" w:cs="Times New Roman"/>
          <w:color w:val="000000" w:themeColor="text1"/>
          <w:lang w:val="uk-UA"/>
        </w:rPr>
        <w:t>у (65%) т</w:t>
      </w:r>
      <w:r w:rsidR="00036007">
        <w:rPr>
          <w:rFonts w:ascii="Times New Roman" w:hAnsi="Times New Roman" w:cs="Times New Roman"/>
          <w:color w:val="000000" w:themeColor="text1"/>
          <w:lang w:val="uk-UA"/>
        </w:rPr>
        <w:t>а гразопревіру (86%) в осіб неінфікованих</w:t>
      </w:r>
      <w:r w:rsidR="00036007" w:rsidRPr="001931EC">
        <w:rPr>
          <w:rFonts w:ascii="Times New Roman" w:hAnsi="Times New Roman" w:cs="Times New Roman"/>
          <w:color w:val="000000" w:themeColor="text1"/>
          <w:lang w:val="uk-UA"/>
        </w:rPr>
        <w:t xml:space="preserve"> </w:t>
      </w:r>
      <w:r w:rsidR="00036007">
        <w:rPr>
          <w:rFonts w:ascii="Times New Roman" w:hAnsi="Times New Roman" w:cs="Times New Roman"/>
          <w:color w:val="000000" w:themeColor="text1"/>
          <w:lang w:val="uk-UA"/>
        </w:rPr>
        <w:t xml:space="preserve">ВГС </w:t>
      </w:r>
      <w:r w:rsidRPr="001931EC">
        <w:rPr>
          <w:rFonts w:ascii="Times New Roman" w:hAnsi="Times New Roman" w:cs="Times New Roman"/>
          <w:color w:val="000000" w:themeColor="text1"/>
          <w:lang w:val="uk-UA"/>
        </w:rPr>
        <w:t xml:space="preserve">з </w:t>
      </w:r>
      <w:r w:rsidR="008A50B6">
        <w:rPr>
          <w:rFonts w:ascii="Times New Roman" w:hAnsi="Times New Roman" w:cs="Times New Roman"/>
          <w:color w:val="000000" w:themeColor="text1"/>
          <w:lang w:val="uk-UA"/>
        </w:rPr>
        <w:t>ШКФ</w:t>
      </w:r>
      <w:r w:rsidRPr="001931EC">
        <w:rPr>
          <w:rFonts w:ascii="Times New Roman" w:hAnsi="Times New Roman" w:cs="Times New Roman"/>
          <w:color w:val="000000" w:themeColor="text1"/>
          <w:lang w:val="uk-UA"/>
        </w:rPr>
        <w:t>&lt;30 мл / хв / 1.73 м2, але це не вважається клінічно значущим.</w:t>
      </w:r>
    </w:p>
    <w:p w14:paraId="0F88D53E" w14:textId="77777777" w:rsidR="00036007" w:rsidRDefault="00036007" w:rsidP="00F53078">
      <w:pPr>
        <w:tabs>
          <w:tab w:val="left" w:pos="1089"/>
        </w:tabs>
        <w:ind w:left="360"/>
        <w:jc w:val="both"/>
        <w:rPr>
          <w:rFonts w:ascii="Times New Roman" w:hAnsi="Times New Roman" w:cs="Times New Roman"/>
          <w:color w:val="000000" w:themeColor="text1"/>
          <w:lang w:val="uk-UA"/>
        </w:rPr>
      </w:pPr>
    </w:p>
    <w:p w14:paraId="131BEC25" w14:textId="6FDD6E76" w:rsidR="00036007" w:rsidRPr="00036007" w:rsidRDefault="00036007" w:rsidP="00F53078">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Безпека ельбавіру/</w:t>
      </w:r>
      <w:r w:rsidRPr="00036007">
        <w:rPr>
          <w:rFonts w:ascii="Times New Roman" w:hAnsi="Times New Roman" w:cs="Times New Roman"/>
          <w:color w:val="000000" w:themeColor="text1"/>
          <w:lang w:val="uk-UA"/>
        </w:rPr>
        <w:t>гразопревіру грунтується на клінічних дослідженнях II та III фази, при яких найбільш часто</w:t>
      </w:r>
      <w:r w:rsidR="00806822">
        <w:rPr>
          <w:rFonts w:ascii="Times New Roman" w:hAnsi="Times New Roman" w:cs="Times New Roman"/>
          <w:color w:val="000000" w:themeColor="text1"/>
          <w:lang w:val="uk-UA"/>
        </w:rPr>
        <w:t xml:space="preserve"> зустрічаються такі побічні реакції як </w:t>
      </w:r>
      <w:r w:rsidRPr="00036007">
        <w:rPr>
          <w:rFonts w:ascii="Times New Roman" w:hAnsi="Times New Roman" w:cs="Times New Roman"/>
          <w:color w:val="000000" w:themeColor="text1"/>
          <w:lang w:val="uk-UA"/>
        </w:rPr>
        <w:t xml:space="preserve">втома та головний біль. Зареєстровані рідкісні випадки (0,8%) значного підвищення рівня АЛТ, трохи частіше у жінок, </w:t>
      </w:r>
      <w:r w:rsidR="00806822" w:rsidRPr="00036007">
        <w:rPr>
          <w:rFonts w:ascii="Times New Roman" w:hAnsi="Times New Roman" w:cs="Times New Roman"/>
          <w:color w:val="000000" w:themeColor="text1"/>
          <w:lang w:val="uk-UA"/>
        </w:rPr>
        <w:t xml:space="preserve">пацієнтів </w:t>
      </w:r>
      <w:r w:rsidR="00806822">
        <w:rPr>
          <w:rFonts w:ascii="Times New Roman" w:hAnsi="Times New Roman" w:cs="Times New Roman"/>
          <w:color w:val="000000" w:themeColor="text1"/>
          <w:lang w:val="uk-UA"/>
        </w:rPr>
        <w:t>азіатської раси</w:t>
      </w:r>
      <w:r w:rsidRPr="00036007">
        <w:rPr>
          <w:rFonts w:ascii="Times New Roman" w:hAnsi="Times New Roman" w:cs="Times New Roman"/>
          <w:color w:val="000000" w:themeColor="text1"/>
          <w:lang w:val="uk-UA"/>
        </w:rPr>
        <w:t xml:space="preserve"> та літніх</w:t>
      </w:r>
      <w:r w:rsidR="00806822">
        <w:rPr>
          <w:rFonts w:ascii="Times New Roman" w:hAnsi="Times New Roman" w:cs="Times New Roman"/>
          <w:color w:val="000000" w:themeColor="text1"/>
          <w:lang w:val="uk-UA"/>
        </w:rPr>
        <w:t xml:space="preserve"> </w:t>
      </w:r>
      <w:r w:rsidR="00806822" w:rsidRPr="00036007">
        <w:rPr>
          <w:rFonts w:ascii="Times New Roman" w:hAnsi="Times New Roman" w:cs="Times New Roman"/>
          <w:color w:val="000000" w:themeColor="text1"/>
          <w:lang w:val="uk-UA"/>
        </w:rPr>
        <w:t>пацієнтів</w:t>
      </w:r>
      <w:r w:rsidRPr="00036007">
        <w:rPr>
          <w:rFonts w:ascii="Times New Roman" w:hAnsi="Times New Roman" w:cs="Times New Roman"/>
          <w:color w:val="000000" w:themeColor="text1"/>
          <w:lang w:val="uk-UA"/>
        </w:rPr>
        <w:t>. Менше 1% пацієнтів, які отримували ельб</w:t>
      </w:r>
      <w:r w:rsidR="00CD0522">
        <w:rPr>
          <w:rFonts w:ascii="Times New Roman" w:hAnsi="Times New Roman" w:cs="Times New Roman"/>
          <w:color w:val="000000" w:themeColor="text1"/>
          <w:lang w:val="uk-UA"/>
        </w:rPr>
        <w:t>авір/</w:t>
      </w:r>
      <w:r w:rsidRPr="00036007">
        <w:rPr>
          <w:rFonts w:ascii="Times New Roman" w:hAnsi="Times New Roman" w:cs="Times New Roman"/>
          <w:color w:val="000000" w:themeColor="text1"/>
          <w:lang w:val="uk-UA"/>
        </w:rPr>
        <w:t>гразопревір з або без рибавірину, припинил</w:t>
      </w:r>
      <w:r w:rsidR="00CD0522">
        <w:rPr>
          <w:rFonts w:ascii="Times New Roman" w:hAnsi="Times New Roman" w:cs="Times New Roman"/>
          <w:color w:val="000000" w:themeColor="text1"/>
          <w:lang w:val="uk-UA"/>
        </w:rPr>
        <w:t>и лікування через побічні реакції</w:t>
      </w:r>
      <w:r w:rsidRPr="00036007">
        <w:rPr>
          <w:rFonts w:ascii="Times New Roman" w:hAnsi="Times New Roman" w:cs="Times New Roman"/>
          <w:color w:val="000000" w:themeColor="text1"/>
          <w:lang w:val="uk-UA"/>
        </w:rPr>
        <w:t>.</w:t>
      </w:r>
    </w:p>
    <w:p w14:paraId="042F912E" w14:textId="77777777" w:rsidR="00CD0522" w:rsidRDefault="00CD0522" w:rsidP="00F53078">
      <w:pPr>
        <w:tabs>
          <w:tab w:val="left" w:pos="1089"/>
        </w:tabs>
        <w:ind w:left="360"/>
        <w:jc w:val="both"/>
        <w:rPr>
          <w:rFonts w:ascii="Times New Roman" w:hAnsi="Times New Roman" w:cs="Times New Roman"/>
          <w:color w:val="000000" w:themeColor="text1"/>
          <w:lang w:val="uk-UA"/>
        </w:rPr>
      </w:pPr>
    </w:p>
    <w:p w14:paraId="313F1571" w14:textId="1DB454DC" w:rsidR="00036007" w:rsidRPr="00036007" w:rsidRDefault="00036007" w:rsidP="00F53078">
      <w:pPr>
        <w:tabs>
          <w:tab w:val="left" w:pos="1089"/>
        </w:tabs>
        <w:ind w:left="360"/>
        <w:jc w:val="both"/>
        <w:rPr>
          <w:rFonts w:ascii="Times New Roman" w:hAnsi="Times New Roman" w:cs="Times New Roman"/>
          <w:color w:val="000000" w:themeColor="text1"/>
          <w:lang w:val="uk-UA"/>
        </w:rPr>
      </w:pPr>
      <w:r w:rsidRPr="00036007">
        <w:rPr>
          <w:rFonts w:ascii="Times New Roman" w:hAnsi="Times New Roman" w:cs="Times New Roman"/>
          <w:color w:val="000000" w:themeColor="text1"/>
          <w:lang w:val="uk-UA"/>
        </w:rPr>
        <w:t>Оскільки елбасвір та гразопреві</w:t>
      </w:r>
      <w:r w:rsidR="005128A5">
        <w:rPr>
          <w:rFonts w:ascii="Times New Roman" w:hAnsi="Times New Roman" w:cs="Times New Roman"/>
          <w:color w:val="000000" w:themeColor="text1"/>
          <w:lang w:val="uk-UA"/>
        </w:rPr>
        <w:t>р</w:t>
      </w:r>
      <w:r w:rsidRPr="00036007">
        <w:rPr>
          <w:rFonts w:ascii="Times New Roman" w:hAnsi="Times New Roman" w:cs="Times New Roman"/>
          <w:color w:val="000000" w:themeColor="text1"/>
          <w:lang w:val="uk-UA"/>
        </w:rPr>
        <w:t xml:space="preserve"> є субстратами CYP3A та P</w:t>
      </w:r>
      <w:r w:rsidR="00FC6D8A">
        <w:rPr>
          <w:rFonts w:ascii="Times New Roman" w:hAnsi="Times New Roman" w:cs="Times New Roman"/>
          <w:color w:val="000000" w:themeColor="text1"/>
          <w:lang w:val="uk-UA"/>
        </w:rPr>
        <w:t>–</w:t>
      </w:r>
      <w:r w:rsidRPr="00036007">
        <w:rPr>
          <w:rFonts w:ascii="Times New Roman" w:hAnsi="Times New Roman" w:cs="Times New Roman"/>
          <w:color w:val="000000" w:themeColor="text1"/>
          <w:lang w:val="uk-UA"/>
        </w:rPr>
        <w:t xml:space="preserve">gp, індуктори цих білків, такі як ефавіренц, етравірин, фенітоїн, карбамазепін, </w:t>
      </w:r>
      <w:r w:rsidR="00CD0522">
        <w:rPr>
          <w:rFonts w:ascii="Times New Roman" w:hAnsi="Times New Roman" w:cs="Times New Roman"/>
          <w:color w:val="000000" w:themeColor="text1"/>
          <w:lang w:val="uk-UA"/>
        </w:rPr>
        <w:t>босентан, модафініл та звіробій</w:t>
      </w:r>
      <w:r w:rsidRPr="00036007">
        <w:rPr>
          <w:rFonts w:ascii="Times New Roman" w:hAnsi="Times New Roman" w:cs="Times New Roman"/>
          <w:color w:val="000000" w:themeColor="text1"/>
          <w:lang w:val="uk-UA"/>
        </w:rPr>
        <w:t>, м</w:t>
      </w:r>
      <w:r w:rsidR="00CD0522">
        <w:rPr>
          <w:rFonts w:ascii="Times New Roman" w:hAnsi="Times New Roman" w:cs="Times New Roman"/>
          <w:color w:val="000000" w:themeColor="text1"/>
          <w:lang w:val="uk-UA"/>
        </w:rPr>
        <w:t>ожуть суттєво знизити вміст обидвох препаратів в плазмі крові, вони протипоказані</w:t>
      </w:r>
      <w:r w:rsidRPr="00036007">
        <w:rPr>
          <w:rFonts w:ascii="Times New Roman" w:hAnsi="Times New Roman" w:cs="Times New Roman"/>
          <w:color w:val="000000" w:themeColor="text1"/>
          <w:lang w:val="uk-UA"/>
        </w:rPr>
        <w:t xml:space="preserve">. Сильні інгібітори CYP3A (наприклад, інгібітори протеази, деякі азольні протигрибкові препарати), </w:t>
      </w:r>
      <w:r w:rsidRPr="00036007">
        <w:rPr>
          <w:rFonts w:ascii="Times New Roman" w:hAnsi="Times New Roman" w:cs="Times New Roman"/>
          <w:color w:val="000000" w:themeColor="text1"/>
          <w:lang w:val="uk-UA"/>
        </w:rPr>
        <w:lastRenderedPageBreak/>
        <w:t>які можуть суттєво підвищувати концентрацію в плазмі</w:t>
      </w:r>
      <w:r w:rsidR="00CD0522">
        <w:rPr>
          <w:rFonts w:ascii="Times New Roman" w:hAnsi="Times New Roman" w:cs="Times New Roman"/>
          <w:color w:val="000000" w:themeColor="text1"/>
          <w:lang w:val="uk-UA"/>
        </w:rPr>
        <w:t xml:space="preserve"> крові</w:t>
      </w:r>
      <w:r w:rsidRPr="00036007">
        <w:rPr>
          <w:rFonts w:ascii="Times New Roman" w:hAnsi="Times New Roman" w:cs="Times New Roman"/>
          <w:color w:val="000000" w:themeColor="text1"/>
          <w:lang w:val="uk-UA"/>
        </w:rPr>
        <w:t>, або протипоказані, або не рекомендуються. Окрім інгібіції CYP3A, концентрації гразапроревіру в плазмі крові також можуть бути значно підвищені інгібіторам</w:t>
      </w:r>
      <w:r w:rsidR="00CD0522">
        <w:rPr>
          <w:rFonts w:ascii="Times New Roman" w:hAnsi="Times New Roman" w:cs="Times New Roman"/>
          <w:color w:val="000000" w:themeColor="text1"/>
          <w:lang w:val="uk-UA"/>
        </w:rPr>
        <w:t xml:space="preserve">и OATP1B1 (включаючи інгібіторами </w:t>
      </w:r>
      <w:r w:rsidRPr="00036007">
        <w:rPr>
          <w:rFonts w:ascii="Times New Roman" w:hAnsi="Times New Roman" w:cs="Times New Roman"/>
          <w:color w:val="000000" w:themeColor="text1"/>
          <w:lang w:val="uk-UA"/>
        </w:rPr>
        <w:t>протеази, кобіцистат</w:t>
      </w:r>
      <w:r w:rsidR="00CD0522">
        <w:rPr>
          <w:rFonts w:ascii="Times New Roman" w:hAnsi="Times New Roman" w:cs="Times New Roman"/>
          <w:color w:val="000000" w:themeColor="text1"/>
          <w:lang w:val="uk-UA"/>
        </w:rPr>
        <w:t>ом</w:t>
      </w:r>
      <w:r w:rsidRPr="00036007">
        <w:rPr>
          <w:rFonts w:ascii="Times New Roman" w:hAnsi="Times New Roman" w:cs="Times New Roman"/>
          <w:color w:val="000000" w:themeColor="text1"/>
          <w:lang w:val="uk-UA"/>
        </w:rPr>
        <w:t>, циклоспорин</w:t>
      </w:r>
      <w:r w:rsidR="00CD0522">
        <w:rPr>
          <w:rFonts w:ascii="Times New Roman" w:hAnsi="Times New Roman" w:cs="Times New Roman"/>
          <w:color w:val="000000" w:themeColor="text1"/>
          <w:lang w:val="uk-UA"/>
        </w:rPr>
        <w:t>ом, разовою дозою рифампіцину</w:t>
      </w:r>
      <w:r w:rsidRPr="00036007">
        <w:rPr>
          <w:rFonts w:ascii="Times New Roman" w:hAnsi="Times New Roman" w:cs="Times New Roman"/>
          <w:color w:val="000000" w:themeColor="text1"/>
          <w:lang w:val="uk-UA"/>
        </w:rPr>
        <w:t xml:space="preserve">). Проте, </w:t>
      </w:r>
      <w:r w:rsidR="0036510A">
        <w:rPr>
          <w:rFonts w:ascii="Times New Roman" w:hAnsi="Times New Roman" w:cs="Times New Roman"/>
          <w:color w:val="000000" w:themeColor="text1"/>
          <w:lang w:val="uk-UA"/>
        </w:rPr>
        <w:t>засоби, що знижують кислотність не впливають на абсорбцію г</w:t>
      </w:r>
      <w:r w:rsidR="0036510A" w:rsidRPr="001931EC">
        <w:rPr>
          <w:rFonts w:ascii="Times New Roman" w:hAnsi="Times New Roman" w:cs="Times New Roman"/>
          <w:color w:val="000000" w:themeColor="text1"/>
          <w:lang w:val="uk-UA"/>
        </w:rPr>
        <w:t>разопревір</w:t>
      </w:r>
      <w:r w:rsidR="0036510A">
        <w:rPr>
          <w:rFonts w:ascii="Times New Roman" w:hAnsi="Times New Roman" w:cs="Times New Roman"/>
          <w:color w:val="000000" w:themeColor="text1"/>
          <w:lang w:val="uk-UA"/>
        </w:rPr>
        <w:t>у</w:t>
      </w:r>
      <w:r w:rsidR="0036510A" w:rsidRPr="001931EC">
        <w:rPr>
          <w:rFonts w:ascii="Times New Roman" w:hAnsi="Times New Roman" w:cs="Times New Roman"/>
          <w:color w:val="000000" w:themeColor="text1"/>
          <w:lang w:val="uk-UA"/>
        </w:rPr>
        <w:t xml:space="preserve"> та </w:t>
      </w:r>
      <w:r w:rsidR="0036510A">
        <w:rPr>
          <w:rFonts w:ascii="Times New Roman" w:hAnsi="Times New Roman" w:cs="Times New Roman"/>
          <w:color w:val="000000" w:themeColor="text1"/>
          <w:lang w:val="uk-UA"/>
        </w:rPr>
        <w:t>ельбасвіру</w:t>
      </w:r>
      <w:r w:rsidRPr="00036007">
        <w:rPr>
          <w:rFonts w:ascii="Times New Roman" w:hAnsi="Times New Roman" w:cs="Times New Roman"/>
          <w:color w:val="000000" w:themeColor="text1"/>
          <w:lang w:val="uk-UA"/>
        </w:rPr>
        <w:t>.</w:t>
      </w:r>
    </w:p>
    <w:p w14:paraId="60AFAC59" w14:textId="77777777" w:rsidR="0036510A" w:rsidRDefault="0036510A" w:rsidP="00F53078">
      <w:pPr>
        <w:tabs>
          <w:tab w:val="left" w:pos="1089"/>
        </w:tabs>
        <w:ind w:left="360"/>
        <w:jc w:val="both"/>
        <w:rPr>
          <w:rFonts w:ascii="Times New Roman" w:hAnsi="Times New Roman" w:cs="Times New Roman"/>
          <w:color w:val="000000" w:themeColor="text1"/>
          <w:lang w:val="uk-UA"/>
        </w:rPr>
      </w:pPr>
    </w:p>
    <w:p w14:paraId="5C266D43" w14:textId="7C169716" w:rsidR="00036007" w:rsidRPr="00036007" w:rsidRDefault="0036510A" w:rsidP="00F53078">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Потенціал взаємодії гразопревіру</w:t>
      </w:r>
      <w:r w:rsidR="00036007" w:rsidRPr="00036007">
        <w:rPr>
          <w:rFonts w:ascii="Times New Roman" w:hAnsi="Times New Roman" w:cs="Times New Roman"/>
          <w:color w:val="000000" w:themeColor="text1"/>
          <w:lang w:val="uk-UA"/>
        </w:rPr>
        <w:t xml:space="preserve"> ельба</w:t>
      </w:r>
      <w:r>
        <w:rPr>
          <w:rFonts w:ascii="Times New Roman" w:hAnsi="Times New Roman" w:cs="Times New Roman"/>
          <w:color w:val="000000" w:themeColor="text1"/>
          <w:lang w:val="uk-UA"/>
        </w:rPr>
        <w:t>свіру з іншими препаратвми</w:t>
      </w:r>
      <w:r w:rsidR="00036007" w:rsidRPr="00036007">
        <w:rPr>
          <w:rFonts w:ascii="Times New Roman" w:hAnsi="Times New Roman" w:cs="Times New Roman"/>
          <w:color w:val="000000" w:themeColor="text1"/>
          <w:lang w:val="uk-UA"/>
        </w:rPr>
        <w:t xml:space="preserve"> є відносно низьким, хоча гразопревір є слабким інгібітором CYP3A (приблизно на 30% збі</w:t>
      </w:r>
      <w:r>
        <w:rPr>
          <w:rFonts w:ascii="Times New Roman" w:hAnsi="Times New Roman" w:cs="Times New Roman"/>
          <w:color w:val="000000" w:themeColor="text1"/>
          <w:lang w:val="uk-UA"/>
        </w:rPr>
        <w:t xml:space="preserve">льшення експозиції мідазоламу), </w:t>
      </w:r>
      <w:r w:rsidR="00036007" w:rsidRPr="00036007">
        <w:rPr>
          <w:rFonts w:ascii="Times New Roman" w:hAnsi="Times New Roman" w:cs="Times New Roman"/>
          <w:color w:val="000000" w:themeColor="text1"/>
          <w:lang w:val="uk-UA"/>
        </w:rPr>
        <w:t>а ельба</w:t>
      </w:r>
      <w:r>
        <w:rPr>
          <w:rFonts w:ascii="Times New Roman" w:hAnsi="Times New Roman" w:cs="Times New Roman"/>
          <w:color w:val="000000" w:themeColor="text1"/>
          <w:lang w:val="uk-UA"/>
        </w:rPr>
        <w:t>свір</w:t>
      </w:r>
      <w:r w:rsidR="00036007" w:rsidRPr="00036007">
        <w:rPr>
          <w:rFonts w:ascii="Times New Roman" w:hAnsi="Times New Roman" w:cs="Times New Roman"/>
          <w:color w:val="000000" w:themeColor="text1"/>
          <w:lang w:val="uk-UA"/>
        </w:rPr>
        <w:t xml:space="preserve"> слабким інгібітором P</w:t>
      </w:r>
      <w:r w:rsidR="00FC6D8A">
        <w:rPr>
          <w:rFonts w:ascii="Times New Roman" w:hAnsi="Times New Roman" w:cs="Times New Roman"/>
          <w:color w:val="000000" w:themeColor="text1"/>
          <w:lang w:val="uk-UA"/>
        </w:rPr>
        <w:t>–</w:t>
      </w:r>
      <w:r w:rsidR="00036007" w:rsidRPr="00036007">
        <w:rPr>
          <w:rFonts w:ascii="Times New Roman" w:hAnsi="Times New Roman" w:cs="Times New Roman"/>
          <w:color w:val="000000" w:themeColor="text1"/>
          <w:lang w:val="uk-UA"/>
        </w:rPr>
        <w:t xml:space="preserve">gp. </w:t>
      </w:r>
      <w:r>
        <w:rPr>
          <w:rFonts w:ascii="Times New Roman" w:hAnsi="Times New Roman" w:cs="Times New Roman"/>
          <w:color w:val="000000" w:themeColor="text1"/>
          <w:lang w:val="uk-UA"/>
        </w:rPr>
        <w:t>Необхідно бути обережними п</w:t>
      </w:r>
      <w:r w:rsidR="00036007" w:rsidRPr="00036007">
        <w:rPr>
          <w:rFonts w:ascii="Times New Roman" w:hAnsi="Times New Roman" w:cs="Times New Roman"/>
          <w:color w:val="000000" w:themeColor="text1"/>
          <w:lang w:val="uk-UA"/>
        </w:rPr>
        <w:t xml:space="preserve">ри застосуванні лікарських засобів, які використовують </w:t>
      </w:r>
      <w:r>
        <w:rPr>
          <w:rFonts w:ascii="Times New Roman" w:hAnsi="Times New Roman" w:cs="Times New Roman"/>
          <w:color w:val="000000" w:themeColor="text1"/>
          <w:lang w:val="uk-UA"/>
        </w:rPr>
        <w:t xml:space="preserve">ізоферменти </w:t>
      </w:r>
      <w:r w:rsidR="00036007" w:rsidRPr="00036007">
        <w:rPr>
          <w:rFonts w:ascii="Times New Roman" w:hAnsi="Times New Roman" w:cs="Times New Roman"/>
          <w:color w:val="000000" w:themeColor="text1"/>
          <w:lang w:val="uk-UA"/>
        </w:rPr>
        <w:t xml:space="preserve">CYP3A та </w:t>
      </w:r>
      <w:r w:rsidR="004D2A4F">
        <w:rPr>
          <w:rFonts w:ascii="Times New Roman" w:hAnsi="Times New Roman" w:cs="Times New Roman"/>
          <w:color w:val="000000" w:themeColor="text1"/>
          <w:lang w:val="uk-UA"/>
        </w:rPr>
        <w:t xml:space="preserve">P-gp </w:t>
      </w:r>
      <w:r w:rsidRPr="00036007">
        <w:rPr>
          <w:rFonts w:ascii="Times New Roman" w:hAnsi="Times New Roman" w:cs="Times New Roman"/>
          <w:color w:val="000000" w:themeColor="text1"/>
          <w:lang w:val="uk-UA"/>
        </w:rPr>
        <w:t>(наприклад, такролімус, деякі статини, дабігатран, тикагрелор)</w:t>
      </w:r>
      <w:r>
        <w:rPr>
          <w:rFonts w:ascii="Times New Roman" w:hAnsi="Times New Roman" w:cs="Times New Roman"/>
          <w:color w:val="000000" w:themeColor="text1"/>
          <w:lang w:val="uk-UA"/>
        </w:rPr>
        <w:t xml:space="preserve"> при цьому </w:t>
      </w:r>
      <w:r w:rsidRPr="00036007">
        <w:rPr>
          <w:rFonts w:ascii="Times New Roman" w:hAnsi="Times New Roman" w:cs="Times New Roman"/>
          <w:color w:val="000000" w:themeColor="text1"/>
          <w:lang w:val="uk-UA"/>
        </w:rPr>
        <w:t>можуть знадобитися додаткові спостереження, зниження дози та / або ЕКГ</w:t>
      </w:r>
      <w:r>
        <w:rPr>
          <w:rFonts w:ascii="Times New Roman" w:hAnsi="Times New Roman" w:cs="Times New Roman"/>
          <w:color w:val="000000" w:themeColor="text1"/>
          <w:lang w:val="uk-UA"/>
        </w:rPr>
        <w:t xml:space="preserve">. </w:t>
      </w:r>
    </w:p>
    <w:p w14:paraId="49CE3078" w14:textId="77777777" w:rsidR="0036510A" w:rsidRDefault="0036510A" w:rsidP="00F53078">
      <w:pPr>
        <w:tabs>
          <w:tab w:val="left" w:pos="1089"/>
        </w:tabs>
        <w:ind w:left="360"/>
        <w:jc w:val="both"/>
        <w:rPr>
          <w:rFonts w:ascii="Times New Roman" w:hAnsi="Times New Roman" w:cs="Times New Roman"/>
          <w:color w:val="000000" w:themeColor="text1"/>
          <w:lang w:val="uk-UA"/>
        </w:rPr>
      </w:pPr>
    </w:p>
    <w:p w14:paraId="0F697688" w14:textId="7FDD5FE2" w:rsidR="00036007" w:rsidRDefault="00036007" w:rsidP="00F53078">
      <w:pPr>
        <w:tabs>
          <w:tab w:val="left" w:pos="1089"/>
        </w:tabs>
        <w:ind w:left="360"/>
        <w:jc w:val="both"/>
        <w:rPr>
          <w:rFonts w:ascii="Times New Roman" w:hAnsi="Times New Roman" w:cs="Times New Roman"/>
          <w:color w:val="000000" w:themeColor="text1"/>
          <w:lang w:val="uk-UA"/>
        </w:rPr>
      </w:pPr>
      <w:r w:rsidRPr="00036007">
        <w:rPr>
          <w:rFonts w:ascii="Times New Roman" w:hAnsi="Times New Roman" w:cs="Times New Roman"/>
          <w:color w:val="000000" w:themeColor="text1"/>
          <w:lang w:val="uk-UA"/>
        </w:rPr>
        <w:t>На підставі вищезазначених висновків існують обмеження щодо застосування антиретровірусних препаратів з ельба</w:t>
      </w:r>
      <w:r w:rsidR="0036510A">
        <w:rPr>
          <w:rFonts w:ascii="Times New Roman" w:hAnsi="Times New Roman" w:cs="Times New Roman"/>
          <w:color w:val="000000" w:themeColor="text1"/>
          <w:lang w:val="uk-UA"/>
        </w:rPr>
        <w:t xml:space="preserve">віром/гразопревіром. На </w:t>
      </w:r>
      <w:r w:rsidRPr="00036007">
        <w:rPr>
          <w:rFonts w:ascii="Times New Roman" w:hAnsi="Times New Roman" w:cs="Times New Roman"/>
          <w:color w:val="000000" w:themeColor="text1"/>
          <w:lang w:val="uk-UA"/>
        </w:rPr>
        <w:t xml:space="preserve">даний час </w:t>
      </w:r>
      <w:r w:rsidR="0036510A">
        <w:rPr>
          <w:rFonts w:ascii="Times New Roman" w:hAnsi="Times New Roman" w:cs="Times New Roman"/>
          <w:color w:val="000000" w:themeColor="text1"/>
          <w:lang w:val="uk-UA"/>
        </w:rPr>
        <w:t>можна  використовувати</w:t>
      </w:r>
      <w:r w:rsidR="0036510A" w:rsidRPr="00036007">
        <w:rPr>
          <w:rFonts w:ascii="Times New Roman" w:hAnsi="Times New Roman" w:cs="Times New Roman"/>
          <w:color w:val="000000" w:themeColor="text1"/>
          <w:lang w:val="uk-UA"/>
        </w:rPr>
        <w:t xml:space="preserve"> </w:t>
      </w:r>
      <w:r w:rsidRPr="00036007">
        <w:rPr>
          <w:rFonts w:ascii="Times New Roman" w:hAnsi="Times New Roman" w:cs="Times New Roman"/>
          <w:color w:val="000000" w:themeColor="text1"/>
          <w:lang w:val="uk-UA"/>
        </w:rPr>
        <w:t>антиретровірусні препарати, які</w:t>
      </w:r>
      <w:r w:rsidR="0036510A">
        <w:rPr>
          <w:rFonts w:ascii="Times New Roman" w:hAnsi="Times New Roman" w:cs="Times New Roman"/>
          <w:color w:val="000000" w:themeColor="text1"/>
          <w:lang w:val="uk-UA"/>
        </w:rPr>
        <w:t xml:space="preserve"> </w:t>
      </w:r>
      <w:r w:rsidRPr="00036007">
        <w:rPr>
          <w:rFonts w:ascii="Times New Roman" w:hAnsi="Times New Roman" w:cs="Times New Roman"/>
          <w:color w:val="000000" w:themeColor="text1"/>
          <w:lang w:val="uk-UA"/>
        </w:rPr>
        <w:t>є інгібіторами нуклеотидної зворотної транскриптази</w:t>
      </w:r>
      <w:r w:rsidR="0036510A">
        <w:rPr>
          <w:rFonts w:ascii="Times New Roman" w:hAnsi="Times New Roman" w:cs="Times New Roman"/>
          <w:color w:val="000000" w:themeColor="text1"/>
          <w:lang w:val="uk-UA"/>
        </w:rPr>
        <w:t>:</w:t>
      </w:r>
      <w:r w:rsidR="00C82151">
        <w:rPr>
          <w:rFonts w:ascii="Times New Roman" w:hAnsi="Times New Roman" w:cs="Times New Roman"/>
          <w:color w:val="000000" w:themeColor="text1"/>
          <w:lang w:val="uk-UA"/>
        </w:rPr>
        <w:t xml:space="preserve"> абакавір, ламівудин, тенофовір (TDF або TAF), емтріцітабін, рилпівірін, ралтегравір</w:t>
      </w:r>
      <w:r w:rsidRPr="00036007">
        <w:rPr>
          <w:rFonts w:ascii="Times New Roman" w:hAnsi="Times New Roman" w:cs="Times New Roman"/>
          <w:color w:val="000000" w:themeColor="text1"/>
          <w:lang w:val="uk-UA"/>
        </w:rPr>
        <w:t>, долутегрові</w:t>
      </w:r>
      <w:r w:rsidR="00C82151">
        <w:rPr>
          <w:rFonts w:ascii="Times New Roman" w:hAnsi="Times New Roman" w:cs="Times New Roman"/>
          <w:color w:val="000000" w:themeColor="text1"/>
          <w:lang w:val="uk-UA"/>
        </w:rPr>
        <w:t>р та маравірок</w:t>
      </w:r>
      <w:r w:rsidRPr="00036007">
        <w:rPr>
          <w:rFonts w:ascii="Times New Roman" w:hAnsi="Times New Roman" w:cs="Times New Roman"/>
          <w:color w:val="000000" w:themeColor="text1"/>
          <w:lang w:val="uk-UA"/>
        </w:rPr>
        <w:t xml:space="preserve"> (табл. 4А).</w:t>
      </w:r>
    </w:p>
    <w:p w14:paraId="72AF0690" w14:textId="77777777" w:rsidR="0033297E" w:rsidRDefault="0033297E" w:rsidP="00F53078">
      <w:pPr>
        <w:tabs>
          <w:tab w:val="left" w:pos="1089"/>
        </w:tabs>
        <w:ind w:left="360"/>
        <w:jc w:val="both"/>
        <w:rPr>
          <w:rFonts w:ascii="Times New Roman" w:hAnsi="Times New Roman" w:cs="Times New Roman"/>
          <w:color w:val="000000" w:themeColor="text1"/>
          <w:lang w:val="uk-UA"/>
        </w:rPr>
      </w:pPr>
    </w:p>
    <w:p w14:paraId="1ECA87BA" w14:textId="4BB56AC4" w:rsidR="0033297E" w:rsidRPr="0033297E" w:rsidRDefault="0033297E" w:rsidP="0033297E">
      <w:pPr>
        <w:tabs>
          <w:tab w:val="left" w:pos="1089"/>
        </w:tabs>
        <w:ind w:left="360"/>
        <w:rPr>
          <w:rFonts w:ascii="Times New Roman" w:hAnsi="Times New Roman" w:cs="Times New Roman"/>
          <w:b/>
          <w:color w:val="2E74B5" w:themeColor="accent1" w:themeShade="BF"/>
          <w:lang w:val="uk-UA"/>
        </w:rPr>
      </w:pPr>
      <w:r>
        <w:rPr>
          <w:rFonts w:ascii="Times New Roman" w:hAnsi="Times New Roman" w:cs="Times New Roman"/>
          <w:b/>
          <w:color w:val="2E74B5" w:themeColor="accent1" w:themeShade="BF"/>
          <w:lang w:val="uk-UA"/>
        </w:rPr>
        <w:t>Глекапревір і пібрен</w:t>
      </w:r>
      <w:r w:rsidRPr="0033297E">
        <w:rPr>
          <w:rFonts w:ascii="Times New Roman" w:hAnsi="Times New Roman" w:cs="Times New Roman"/>
          <w:b/>
          <w:color w:val="2E74B5" w:themeColor="accent1" w:themeShade="BF"/>
          <w:lang w:val="uk-UA"/>
        </w:rPr>
        <w:t>та</w:t>
      </w:r>
      <w:r>
        <w:rPr>
          <w:rFonts w:ascii="Times New Roman" w:hAnsi="Times New Roman" w:cs="Times New Roman"/>
          <w:b/>
          <w:color w:val="2E74B5" w:themeColor="accent1" w:themeShade="BF"/>
          <w:lang w:val="uk-UA"/>
        </w:rPr>
        <w:t>с</w:t>
      </w:r>
      <w:r w:rsidRPr="0033297E">
        <w:rPr>
          <w:rFonts w:ascii="Times New Roman" w:hAnsi="Times New Roman" w:cs="Times New Roman"/>
          <w:b/>
          <w:color w:val="2E74B5" w:themeColor="accent1" w:themeShade="BF"/>
          <w:lang w:val="uk-UA"/>
        </w:rPr>
        <w:t>вір</w:t>
      </w:r>
    </w:p>
    <w:p w14:paraId="39043037" w14:textId="77777777" w:rsidR="0033297E" w:rsidRDefault="0033297E" w:rsidP="0033297E">
      <w:pPr>
        <w:tabs>
          <w:tab w:val="left" w:pos="1089"/>
        </w:tabs>
        <w:ind w:left="360"/>
        <w:rPr>
          <w:rFonts w:ascii="Times New Roman" w:hAnsi="Times New Roman" w:cs="Times New Roman"/>
          <w:color w:val="000000" w:themeColor="text1"/>
          <w:lang w:val="uk-UA"/>
        </w:rPr>
      </w:pPr>
    </w:p>
    <w:p w14:paraId="5AC59D72" w14:textId="2A28486D" w:rsidR="0033297E" w:rsidRPr="0033297E" w:rsidRDefault="0033297E" w:rsidP="00F53078">
      <w:pPr>
        <w:tabs>
          <w:tab w:val="left" w:pos="1089"/>
        </w:tabs>
        <w:ind w:left="360"/>
        <w:jc w:val="both"/>
        <w:rPr>
          <w:rFonts w:ascii="Times New Roman" w:hAnsi="Times New Roman" w:cs="Times New Roman"/>
          <w:color w:val="000000" w:themeColor="text1"/>
          <w:lang w:val="uk-UA"/>
        </w:rPr>
      </w:pPr>
      <w:r w:rsidRPr="0033297E">
        <w:rPr>
          <w:rFonts w:ascii="Times New Roman" w:hAnsi="Times New Roman" w:cs="Times New Roman"/>
          <w:color w:val="000000" w:themeColor="text1"/>
          <w:lang w:val="uk-UA"/>
        </w:rPr>
        <w:t>Глекапревір і пібрентасвір</w:t>
      </w:r>
      <w:r>
        <w:rPr>
          <w:rFonts w:ascii="Times New Roman" w:hAnsi="Times New Roman" w:cs="Times New Roman"/>
          <w:color w:val="000000" w:themeColor="text1"/>
          <w:lang w:val="uk-UA"/>
        </w:rPr>
        <w:t xml:space="preserve"> </w:t>
      </w:r>
      <w:r w:rsidR="00B64DC5">
        <w:rPr>
          <w:rFonts w:ascii="Times New Roman" w:hAnsi="Times New Roman" w:cs="Times New Roman"/>
          <w:color w:val="000000" w:themeColor="text1"/>
          <w:lang w:val="uk-UA"/>
        </w:rPr>
        <w:t>доступні у фіксованому дозуванні</w:t>
      </w:r>
      <w:r w:rsidRPr="00B64DC5">
        <w:rPr>
          <w:rFonts w:ascii="Times New Roman" w:hAnsi="Times New Roman" w:cs="Times New Roman"/>
          <w:color w:val="000000" w:themeColor="text1"/>
          <w:lang w:val="uk-UA"/>
        </w:rPr>
        <w:t xml:space="preserve"> комбінації з двома препаратами</w:t>
      </w:r>
      <w:r w:rsidR="00B64DC5">
        <w:rPr>
          <w:rFonts w:ascii="Times New Roman" w:hAnsi="Times New Roman" w:cs="Times New Roman"/>
          <w:color w:val="000000" w:themeColor="text1"/>
          <w:lang w:val="uk-UA"/>
        </w:rPr>
        <w:t>, що місти</w:t>
      </w:r>
      <w:r w:rsidRPr="00B64DC5">
        <w:rPr>
          <w:rFonts w:ascii="Times New Roman" w:hAnsi="Times New Roman" w:cs="Times New Roman"/>
          <w:color w:val="000000" w:themeColor="text1"/>
          <w:lang w:val="uk-UA"/>
        </w:rPr>
        <w:t xml:space="preserve">ть 100 мг </w:t>
      </w:r>
      <w:r w:rsidR="00960644">
        <w:rPr>
          <w:rFonts w:ascii="Times New Roman" w:hAnsi="Times New Roman" w:cs="Times New Roman"/>
          <w:color w:val="000000" w:themeColor="text1"/>
          <w:lang w:val="uk-UA"/>
        </w:rPr>
        <w:t>глекапревіру</w:t>
      </w:r>
      <w:r w:rsidRPr="00B64DC5">
        <w:rPr>
          <w:rFonts w:ascii="Times New Roman" w:hAnsi="Times New Roman" w:cs="Times New Roman"/>
          <w:color w:val="000000" w:themeColor="text1"/>
          <w:lang w:val="uk-UA"/>
        </w:rPr>
        <w:t xml:space="preserve"> та 40 мг </w:t>
      </w:r>
      <w:r w:rsidR="00B64DC5" w:rsidRPr="00B64DC5">
        <w:rPr>
          <w:rFonts w:ascii="Times New Roman" w:hAnsi="Times New Roman" w:cs="Times New Roman"/>
          <w:color w:val="000000" w:themeColor="text1"/>
          <w:lang w:val="uk-UA"/>
        </w:rPr>
        <w:t>пібрентасвір</w:t>
      </w:r>
      <w:r w:rsidR="00B64DC5">
        <w:rPr>
          <w:rFonts w:ascii="Times New Roman" w:hAnsi="Times New Roman" w:cs="Times New Roman"/>
          <w:color w:val="000000" w:themeColor="text1"/>
          <w:lang w:val="uk-UA"/>
        </w:rPr>
        <w:t>у</w:t>
      </w:r>
      <w:r w:rsidRPr="00B64DC5">
        <w:rPr>
          <w:rFonts w:ascii="Times New Roman" w:hAnsi="Times New Roman" w:cs="Times New Roman"/>
          <w:color w:val="000000" w:themeColor="text1"/>
          <w:lang w:val="uk-UA"/>
        </w:rPr>
        <w:t xml:space="preserve">. </w:t>
      </w:r>
      <w:r w:rsidRPr="0033297E">
        <w:rPr>
          <w:rFonts w:ascii="Times New Roman" w:hAnsi="Times New Roman" w:cs="Times New Roman"/>
          <w:color w:val="000000" w:themeColor="text1"/>
          <w:lang w:val="uk-UA"/>
        </w:rPr>
        <w:t xml:space="preserve">Рекомендована доза </w:t>
      </w:r>
      <w:r w:rsidR="00FC6D8A">
        <w:rPr>
          <w:rFonts w:ascii="Times New Roman" w:hAnsi="Times New Roman" w:cs="Times New Roman"/>
          <w:color w:val="000000" w:themeColor="text1"/>
          <w:lang w:val="uk-UA"/>
        </w:rPr>
        <w:t>–</w:t>
      </w:r>
      <w:r w:rsidRPr="0033297E">
        <w:rPr>
          <w:rFonts w:ascii="Times New Roman" w:hAnsi="Times New Roman" w:cs="Times New Roman"/>
          <w:color w:val="000000" w:themeColor="text1"/>
          <w:lang w:val="uk-UA"/>
        </w:rPr>
        <w:t xml:space="preserve"> три таблетки, вживані перорально один раз на день з їжею, оскільки експозиція </w:t>
      </w:r>
      <w:r w:rsidR="00B64DC5">
        <w:rPr>
          <w:rFonts w:ascii="Times New Roman" w:hAnsi="Times New Roman" w:cs="Times New Roman"/>
          <w:color w:val="000000" w:themeColor="text1"/>
          <w:lang w:val="uk-UA"/>
        </w:rPr>
        <w:t xml:space="preserve">в плазми крові </w:t>
      </w:r>
      <w:r w:rsidR="00960644">
        <w:rPr>
          <w:rFonts w:ascii="Times New Roman" w:hAnsi="Times New Roman" w:cs="Times New Roman"/>
          <w:color w:val="000000" w:themeColor="text1"/>
          <w:lang w:val="uk-UA"/>
        </w:rPr>
        <w:t>глекапревіру</w:t>
      </w:r>
      <w:r w:rsidRPr="0033297E">
        <w:rPr>
          <w:rFonts w:ascii="Times New Roman" w:hAnsi="Times New Roman" w:cs="Times New Roman"/>
          <w:color w:val="000000" w:themeColor="text1"/>
          <w:lang w:val="uk-UA"/>
        </w:rPr>
        <w:t xml:space="preserve"> збільшується на 83% </w:t>
      </w:r>
      <w:r w:rsidR="00FC6D8A">
        <w:rPr>
          <w:rFonts w:ascii="Times New Roman" w:hAnsi="Times New Roman" w:cs="Times New Roman"/>
          <w:color w:val="000000" w:themeColor="text1"/>
          <w:lang w:val="uk-UA"/>
        </w:rPr>
        <w:t>–</w:t>
      </w:r>
      <w:r w:rsidRPr="0033297E">
        <w:rPr>
          <w:rFonts w:ascii="Times New Roman" w:hAnsi="Times New Roman" w:cs="Times New Roman"/>
          <w:color w:val="000000" w:themeColor="text1"/>
          <w:lang w:val="uk-UA"/>
        </w:rPr>
        <w:t>163% при ная</w:t>
      </w:r>
      <w:r w:rsidR="00B64DC5">
        <w:rPr>
          <w:rFonts w:ascii="Times New Roman" w:hAnsi="Times New Roman" w:cs="Times New Roman"/>
          <w:color w:val="000000" w:themeColor="text1"/>
          <w:lang w:val="uk-UA"/>
        </w:rPr>
        <w:t>вності їжі</w:t>
      </w:r>
      <w:r w:rsidR="002D6239">
        <w:rPr>
          <w:rFonts w:ascii="Times New Roman" w:hAnsi="Times New Roman" w:cs="Times New Roman"/>
          <w:color w:val="000000" w:themeColor="text1"/>
          <w:lang w:val="uk-UA"/>
        </w:rPr>
        <w:t>, порівнюючи</w:t>
      </w:r>
      <w:r w:rsidR="00B64DC5">
        <w:rPr>
          <w:rFonts w:ascii="Times New Roman" w:hAnsi="Times New Roman" w:cs="Times New Roman"/>
          <w:color w:val="000000" w:themeColor="text1"/>
          <w:lang w:val="uk-UA"/>
        </w:rPr>
        <w:t xml:space="preserve"> з прийомом </w:t>
      </w:r>
      <w:r w:rsidR="00C17CC4" w:rsidRPr="00C17CC4">
        <w:rPr>
          <w:rFonts w:ascii="Times New Roman" w:hAnsi="Times New Roman" w:cs="Times New Roman"/>
          <w:color w:val="000000" w:themeColor="text1"/>
          <w:lang w:val="uk-UA"/>
        </w:rPr>
        <w:t>нат</w:t>
      </w:r>
      <w:r w:rsidR="00B64DC5" w:rsidRPr="00C17CC4">
        <w:rPr>
          <w:rFonts w:ascii="Times New Roman" w:hAnsi="Times New Roman" w:cs="Times New Roman"/>
          <w:color w:val="000000" w:themeColor="text1"/>
          <w:lang w:val="uk-UA"/>
        </w:rPr>
        <w:t>ще</w:t>
      </w:r>
      <w:r w:rsidRPr="00C17CC4">
        <w:rPr>
          <w:rFonts w:ascii="Times New Roman" w:hAnsi="Times New Roman" w:cs="Times New Roman"/>
          <w:color w:val="000000" w:themeColor="text1"/>
          <w:lang w:val="uk-UA"/>
        </w:rPr>
        <w:t>.</w:t>
      </w:r>
    </w:p>
    <w:p w14:paraId="64BD9117" w14:textId="77777777" w:rsidR="00B64DC5" w:rsidRDefault="00B64DC5" w:rsidP="00F53078">
      <w:pPr>
        <w:tabs>
          <w:tab w:val="left" w:pos="1089"/>
        </w:tabs>
        <w:ind w:left="360"/>
        <w:jc w:val="both"/>
        <w:rPr>
          <w:rFonts w:ascii="Times New Roman" w:hAnsi="Times New Roman" w:cs="Times New Roman"/>
          <w:color w:val="000000" w:themeColor="text1"/>
          <w:lang w:val="uk-UA"/>
        </w:rPr>
      </w:pPr>
    </w:p>
    <w:p w14:paraId="6A360510" w14:textId="713D67F7" w:rsidR="0033297E" w:rsidRPr="0033297E" w:rsidRDefault="0033297E" w:rsidP="00F53078">
      <w:pPr>
        <w:tabs>
          <w:tab w:val="left" w:pos="1089"/>
        </w:tabs>
        <w:ind w:left="360"/>
        <w:jc w:val="both"/>
        <w:rPr>
          <w:rFonts w:ascii="Times New Roman" w:hAnsi="Times New Roman" w:cs="Times New Roman"/>
          <w:color w:val="000000" w:themeColor="text1"/>
          <w:lang w:val="uk-UA"/>
        </w:rPr>
      </w:pPr>
      <w:r w:rsidRPr="0033297E">
        <w:rPr>
          <w:rFonts w:ascii="Times New Roman" w:hAnsi="Times New Roman" w:cs="Times New Roman"/>
          <w:color w:val="000000" w:themeColor="text1"/>
          <w:lang w:val="uk-UA"/>
        </w:rPr>
        <w:t xml:space="preserve">Екскреція </w:t>
      </w:r>
      <w:r w:rsidR="00100A03">
        <w:rPr>
          <w:rFonts w:ascii="Times New Roman" w:hAnsi="Times New Roman" w:cs="Times New Roman"/>
          <w:color w:val="000000" w:themeColor="text1"/>
          <w:lang w:val="uk-UA"/>
        </w:rPr>
        <w:t>через жовчовивідні</w:t>
      </w:r>
      <w:r w:rsidRPr="0033297E">
        <w:rPr>
          <w:rFonts w:ascii="Times New Roman" w:hAnsi="Times New Roman" w:cs="Times New Roman"/>
          <w:color w:val="000000" w:themeColor="text1"/>
          <w:lang w:val="uk-UA"/>
        </w:rPr>
        <w:t xml:space="preserve"> шлях</w:t>
      </w:r>
      <w:r w:rsidR="00100A03">
        <w:rPr>
          <w:rFonts w:ascii="Times New Roman" w:hAnsi="Times New Roman" w:cs="Times New Roman"/>
          <w:color w:val="000000" w:themeColor="text1"/>
          <w:lang w:val="uk-UA"/>
        </w:rPr>
        <w:t xml:space="preserve">і є основним шляхом </w:t>
      </w:r>
      <w:r w:rsidR="005128A5">
        <w:rPr>
          <w:rFonts w:ascii="Times New Roman" w:hAnsi="Times New Roman" w:cs="Times New Roman"/>
          <w:color w:val="000000" w:themeColor="text1"/>
          <w:lang w:val="uk-UA"/>
        </w:rPr>
        <w:t>виведення</w:t>
      </w:r>
      <w:r w:rsidRPr="0033297E">
        <w:rPr>
          <w:rFonts w:ascii="Times New Roman" w:hAnsi="Times New Roman" w:cs="Times New Roman"/>
          <w:color w:val="000000" w:themeColor="text1"/>
          <w:lang w:val="uk-UA"/>
        </w:rPr>
        <w:t xml:space="preserve"> </w:t>
      </w:r>
      <w:r w:rsidR="00B64DC5">
        <w:rPr>
          <w:rFonts w:ascii="Times New Roman" w:hAnsi="Times New Roman" w:cs="Times New Roman"/>
          <w:color w:val="000000" w:themeColor="text1"/>
          <w:lang w:val="uk-UA"/>
        </w:rPr>
        <w:t>г</w:t>
      </w:r>
      <w:r w:rsidR="00B64DC5" w:rsidRPr="00B64DC5">
        <w:rPr>
          <w:rFonts w:ascii="Times New Roman" w:hAnsi="Times New Roman" w:cs="Times New Roman"/>
          <w:color w:val="000000" w:themeColor="text1"/>
          <w:lang w:val="uk-UA"/>
        </w:rPr>
        <w:t>лекапревір</w:t>
      </w:r>
      <w:r w:rsidR="00100A03">
        <w:rPr>
          <w:rFonts w:ascii="Times New Roman" w:hAnsi="Times New Roman" w:cs="Times New Roman"/>
          <w:color w:val="000000" w:themeColor="text1"/>
          <w:lang w:val="uk-UA"/>
        </w:rPr>
        <w:t>у</w:t>
      </w:r>
      <w:r w:rsidR="00B64DC5" w:rsidRPr="00B64DC5">
        <w:rPr>
          <w:rFonts w:ascii="Times New Roman" w:hAnsi="Times New Roman" w:cs="Times New Roman"/>
          <w:color w:val="000000" w:themeColor="text1"/>
          <w:lang w:val="uk-UA"/>
        </w:rPr>
        <w:t xml:space="preserve"> і пібрентасвір</w:t>
      </w:r>
      <w:r w:rsidR="00100A03">
        <w:rPr>
          <w:rFonts w:ascii="Times New Roman" w:hAnsi="Times New Roman" w:cs="Times New Roman"/>
          <w:color w:val="000000" w:themeColor="text1"/>
          <w:lang w:val="uk-UA"/>
        </w:rPr>
        <w:t>у</w:t>
      </w:r>
      <w:r w:rsidRPr="0033297E">
        <w:rPr>
          <w:rFonts w:ascii="Times New Roman" w:hAnsi="Times New Roman" w:cs="Times New Roman"/>
          <w:color w:val="000000" w:themeColor="text1"/>
          <w:lang w:val="uk-UA"/>
        </w:rPr>
        <w:t xml:space="preserve">. Період напіввиведення </w:t>
      </w:r>
      <w:r w:rsidR="00B64DC5">
        <w:rPr>
          <w:rFonts w:ascii="Times New Roman" w:hAnsi="Times New Roman" w:cs="Times New Roman"/>
          <w:color w:val="000000" w:themeColor="text1"/>
          <w:lang w:val="uk-UA"/>
        </w:rPr>
        <w:t>г</w:t>
      </w:r>
      <w:r w:rsidR="00B64DC5" w:rsidRPr="00B64DC5">
        <w:rPr>
          <w:rFonts w:ascii="Times New Roman" w:hAnsi="Times New Roman" w:cs="Times New Roman"/>
          <w:color w:val="000000" w:themeColor="text1"/>
          <w:lang w:val="uk-UA"/>
        </w:rPr>
        <w:t>лекапревір</w:t>
      </w:r>
      <w:r w:rsidR="00100A03">
        <w:rPr>
          <w:rFonts w:ascii="Times New Roman" w:hAnsi="Times New Roman" w:cs="Times New Roman"/>
          <w:color w:val="000000" w:themeColor="text1"/>
          <w:lang w:val="uk-UA"/>
        </w:rPr>
        <w:t>у</w:t>
      </w:r>
      <w:r w:rsidR="00B64DC5" w:rsidRPr="00B64DC5">
        <w:rPr>
          <w:rFonts w:ascii="Times New Roman" w:hAnsi="Times New Roman" w:cs="Times New Roman"/>
          <w:color w:val="000000" w:themeColor="text1"/>
          <w:lang w:val="uk-UA"/>
        </w:rPr>
        <w:t xml:space="preserve"> і пібрентасвір</w:t>
      </w:r>
      <w:r w:rsidR="00100A03">
        <w:rPr>
          <w:rFonts w:ascii="Times New Roman" w:hAnsi="Times New Roman" w:cs="Times New Roman"/>
          <w:color w:val="000000" w:themeColor="text1"/>
          <w:lang w:val="uk-UA"/>
        </w:rPr>
        <w:t xml:space="preserve">у </w:t>
      </w:r>
      <w:r w:rsidRPr="0033297E">
        <w:rPr>
          <w:rFonts w:ascii="Times New Roman" w:hAnsi="Times New Roman" w:cs="Times New Roman"/>
          <w:color w:val="000000" w:themeColor="text1"/>
          <w:lang w:val="uk-UA"/>
        </w:rPr>
        <w:t>становить відповідно 6 і 23 год</w:t>
      </w:r>
      <w:r>
        <w:rPr>
          <w:rFonts w:ascii="Times New Roman" w:hAnsi="Times New Roman" w:cs="Times New Roman"/>
          <w:color w:val="000000" w:themeColor="text1"/>
          <w:lang w:val="uk-UA"/>
        </w:rPr>
        <w:t>ини</w:t>
      </w:r>
      <w:r w:rsidRPr="0033297E">
        <w:rPr>
          <w:rFonts w:ascii="Times New Roman" w:hAnsi="Times New Roman" w:cs="Times New Roman"/>
          <w:color w:val="000000" w:themeColor="text1"/>
          <w:lang w:val="uk-UA"/>
        </w:rPr>
        <w:t>.</w:t>
      </w:r>
    </w:p>
    <w:p w14:paraId="383844BD" w14:textId="77777777" w:rsidR="00100A03" w:rsidRDefault="00100A03" w:rsidP="00F53078">
      <w:pPr>
        <w:tabs>
          <w:tab w:val="left" w:pos="1089"/>
        </w:tabs>
        <w:ind w:left="360"/>
        <w:jc w:val="both"/>
        <w:rPr>
          <w:rFonts w:ascii="Times New Roman" w:hAnsi="Times New Roman" w:cs="Times New Roman"/>
          <w:color w:val="000000" w:themeColor="text1"/>
          <w:lang w:val="uk-UA"/>
        </w:rPr>
      </w:pPr>
    </w:p>
    <w:p w14:paraId="3F9BAC43" w14:textId="23BDBB23" w:rsidR="0033297E" w:rsidRDefault="0033297E" w:rsidP="00F53078">
      <w:pPr>
        <w:tabs>
          <w:tab w:val="left" w:pos="1089"/>
        </w:tabs>
        <w:ind w:left="360"/>
        <w:jc w:val="both"/>
        <w:rPr>
          <w:rFonts w:ascii="Times New Roman" w:hAnsi="Times New Roman" w:cs="Times New Roman"/>
          <w:color w:val="000000" w:themeColor="text1"/>
          <w:lang w:val="uk-UA"/>
        </w:rPr>
      </w:pPr>
      <w:r w:rsidRPr="0033297E">
        <w:rPr>
          <w:rFonts w:ascii="Times New Roman" w:hAnsi="Times New Roman" w:cs="Times New Roman"/>
          <w:color w:val="000000" w:themeColor="text1"/>
          <w:lang w:val="uk-UA"/>
        </w:rPr>
        <w:t>Популяц</w:t>
      </w:r>
      <w:r w:rsidR="00100A03">
        <w:rPr>
          <w:rFonts w:ascii="Times New Roman" w:hAnsi="Times New Roman" w:cs="Times New Roman"/>
          <w:color w:val="000000" w:themeColor="text1"/>
          <w:lang w:val="uk-UA"/>
        </w:rPr>
        <w:t>ійний фармакокінетичний аналіз серед ВГС</w:t>
      </w:r>
      <w:r w:rsidR="00FC6D8A">
        <w:rPr>
          <w:rFonts w:ascii="Times New Roman" w:hAnsi="Times New Roman" w:cs="Times New Roman"/>
          <w:color w:val="000000" w:themeColor="text1"/>
          <w:lang w:val="uk-UA"/>
        </w:rPr>
        <w:t>–</w:t>
      </w:r>
      <w:r w:rsidRPr="0033297E">
        <w:rPr>
          <w:rFonts w:ascii="Times New Roman" w:hAnsi="Times New Roman" w:cs="Times New Roman"/>
          <w:color w:val="000000" w:themeColor="text1"/>
          <w:lang w:val="uk-UA"/>
        </w:rPr>
        <w:t xml:space="preserve">інфікованих пацієнтів показав, що після введення </w:t>
      </w:r>
      <w:r w:rsidR="00B64DC5">
        <w:rPr>
          <w:rFonts w:ascii="Times New Roman" w:hAnsi="Times New Roman" w:cs="Times New Roman"/>
          <w:color w:val="000000" w:themeColor="text1"/>
          <w:lang w:val="uk-UA"/>
        </w:rPr>
        <w:t>г</w:t>
      </w:r>
      <w:r w:rsidR="00B64DC5" w:rsidRPr="00B64DC5">
        <w:rPr>
          <w:rFonts w:ascii="Times New Roman" w:hAnsi="Times New Roman" w:cs="Times New Roman"/>
          <w:color w:val="000000" w:themeColor="text1"/>
          <w:lang w:val="uk-UA"/>
        </w:rPr>
        <w:t>лекапревір</w:t>
      </w:r>
      <w:r w:rsidR="00100A03">
        <w:rPr>
          <w:rFonts w:ascii="Times New Roman" w:hAnsi="Times New Roman" w:cs="Times New Roman"/>
          <w:color w:val="000000" w:themeColor="text1"/>
          <w:lang w:val="uk-UA"/>
        </w:rPr>
        <w:t>у</w:t>
      </w:r>
      <w:r w:rsidR="00B64DC5" w:rsidRPr="00B64DC5">
        <w:rPr>
          <w:rFonts w:ascii="Times New Roman" w:hAnsi="Times New Roman" w:cs="Times New Roman"/>
          <w:color w:val="000000" w:themeColor="text1"/>
          <w:lang w:val="uk-UA"/>
        </w:rPr>
        <w:t xml:space="preserve"> і пібрентасвір</w:t>
      </w:r>
      <w:r w:rsidR="00100A03">
        <w:rPr>
          <w:rFonts w:ascii="Times New Roman" w:hAnsi="Times New Roman" w:cs="Times New Roman"/>
          <w:color w:val="000000" w:themeColor="text1"/>
          <w:lang w:val="uk-UA"/>
        </w:rPr>
        <w:t>у серед</w:t>
      </w:r>
      <w:r w:rsidRPr="0033297E">
        <w:rPr>
          <w:rFonts w:ascii="Times New Roman" w:hAnsi="Times New Roman" w:cs="Times New Roman"/>
          <w:color w:val="000000" w:themeColor="text1"/>
          <w:lang w:val="uk-UA"/>
        </w:rPr>
        <w:t xml:space="preserve"> </w:t>
      </w:r>
      <w:r w:rsidR="00100A03">
        <w:rPr>
          <w:rFonts w:ascii="Times New Roman" w:hAnsi="Times New Roman" w:cs="Times New Roman"/>
          <w:color w:val="000000" w:themeColor="text1"/>
          <w:lang w:val="uk-UA"/>
        </w:rPr>
        <w:t>ВГС</w:t>
      </w:r>
      <w:r w:rsidR="00FC6D8A">
        <w:rPr>
          <w:rFonts w:ascii="Times New Roman" w:hAnsi="Times New Roman" w:cs="Times New Roman"/>
          <w:color w:val="000000" w:themeColor="text1"/>
          <w:lang w:val="uk-UA"/>
        </w:rPr>
        <w:t>–</w:t>
      </w:r>
      <w:r w:rsidR="00100A03" w:rsidRPr="0033297E">
        <w:rPr>
          <w:rFonts w:ascii="Times New Roman" w:hAnsi="Times New Roman" w:cs="Times New Roman"/>
          <w:color w:val="000000" w:themeColor="text1"/>
          <w:lang w:val="uk-UA"/>
        </w:rPr>
        <w:t>інфікованих пацієнтів</w:t>
      </w:r>
      <w:r w:rsidRPr="0033297E">
        <w:rPr>
          <w:rFonts w:ascii="Times New Roman" w:hAnsi="Times New Roman" w:cs="Times New Roman"/>
          <w:color w:val="000000" w:themeColor="text1"/>
          <w:lang w:val="uk-UA"/>
        </w:rPr>
        <w:t xml:space="preserve"> з компенсованим цирозом</w:t>
      </w:r>
      <w:r w:rsidR="00100A03">
        <w:rPr>
          <w:rFonts w:ascii="Times New Roman" w:hAnsi="Times New Roman" w:cs="Times New Roman"/>
          <w:color w:val="000000" w:themeColor="text1"/>
          <w:lang w:val="uk-UA"/>
        </w:rPr>
        <w:t xml:space="preserve"> </w:t>
      </w:r>
      <w:r w:rsidR="00100A03" w:rsidRPr="0033297E">
        <w:rPr>
          <w:rFonts w:ascii="Times New Roman" w:hAnsi="Times New Roman" w:cs="Times New Roman"/>
          <w:color w:val="000000" w:themeColor="text1"/>
          <w:lang w:val="uk-UA"/>
        </w:rPr>
        <w:t>(Child</w:t>
      </w:r>
      <w:r w:rsidR="00FC6D8A">
        <w:rPr>
          <w:rFonts w:ascii="Times New Roman" w:hAnsi="Times New Roman" w:cs="Times New Roman"/>
          <w:color w:val="000000" w:themeColor="text1"/>
          <w:lang w:val="uk-UA"/>
        </w:rPr>
        <w:t>–</w:t>
      </w:r>
      <w:r w:rsidR="00100A03" w:rsidRPr="0033297E">
        <w:rPr>
          <w:rFonts w:ascii="Times New Roman" w:hAnsi="Times New Roman" w:cs="Times New Roman"/>
          <w:color w:val="000000" w:themeColor="text1"/>
          <w:lang w:val="uk-UA"/>
        </w:rPr>
        <w:t>Pugh A)</w:t>
      </w:r>
      <w:r w:rsidRPr="0033297E">
        <w:rPr>
          <w:rFonts w:ascii="Times New Roman" w:hAnsi="Times New Roman" w:cs="Times New Roman"/>
          <w:color w:val="000000" w:themeColor="text1"/>
          <w:lang w:val="uk-UA"/>
        </w:rPr>
        <w:t xml:space="preserve">, експозиція </w:t>
      </w:r>
      <w:r w:rsidR="00960644">
        <w:rPr>
          <w:rFonts w:ascii="Times New Roman" w:hAnsi="Times New Roman" w:cs="Times New Roman"/>
          <w:color w:val="000000" w:themeColor="text1"/>
          <w:lang w:val="uk-UA"/>
        </w:rPr>
        <w:t>глекапревіру</w:t>
      </w:r>
      <w:r w:rsidRPr="0033297E">
        <w:rPr>
          <w:rFonts w:ascii="Times New Roman" w:hAnsi="Times New Roman" w:cs="Times New Roman"/>
          <w:color w:val="000000" w:themeColor="text1"/>
          <w:lang w:val="uk-UA"/>
        </w:rPr>
        <w:t xml:space="preserve"> була приблизно в </w:t>
      </w:r>
      <w:r w:rsidR="00100A03">
        <w:rPr>
          <w:rFonts w:ascii="Times New Roman" w:hAnsi="Times New Roman" w:cs="Times New Roman"/>
          <w:color w:val="000000" w:themeColor="text1"/>
          <w:lang w:val="uk-UA"/>
        </w:rPr>
        <w:t>2 рази вищою, тоді як вплив</w:t>
      </w:r>
      <w:r w:rsidRPr="0033297E">
        <w:rPr>
          <w:rFonts w:ascii="Times New Roman" w:hAnsi="Times New Roman" w:cs="Times New Roman"/>
          <w:color w:val="000000" w:themeColor="text1"/>
          <w:lang w:val="uk-UA"/>
        </w:rPr>
        <w:t xml:space="preserve"> </w:t>
      </w:r>
      <w:r w:rsidR="00100A03" w:rsidRPr="00B64DC5">
        <w:rPr>
          <w:rFonts w:ascii="Times New Roman" w:hAnsi="Times New Roman" w:cs="Times New Roman"/>
          <w:color w:val="000000" w:themeColor="text1"/>
          <w:lang w:val="uk-UA"/>
        </w:rPr>
        <w:t>пібрентасвір</w:t>
      </w:r>
      <w:r w:rsidR="00100A03">
        <w:rPr>
          <w:rFonts w:ascii="Times New Roman" w:hAnsi="Times New Roman" w:cs="Times New Roman"/>
          <w:color w:val="000000" w:themeColor="text1"/>
          <w:lang w:val="uk-UA"/>
        </w:rPr>
        <w:t>у</w:t>
      </w:r>
      <w:r w:rsidRPr="0033297E">
        <w:rPr>
          <w:rFonts w:ascii="Times New Roman" w:hAnsi="Times New Roman" w:cs="Times New Roman"/>
          <w:color w:val="000000" w:themeColor="text1"/>
          <w:lang w:val="uk-UA"/>
        </w:rPr>
        <w:t xml:space="preserve"> був подібним до пацієнтів без цирозу. </w:t>
      </w:r>
      <w:r w:rsidR="002D6239">
        <w:rPr>
          <w:rFonts w:ascii="Times New Roman" w:hAnsi="Times New Roman" w:cs="Times New Roman"/>
          <w:color w:val="000000" w:themeColor="text1"/>
          <w:lang w:val="uk-UA"/>
        </w:rPr>
        <w:t>Порівнюючи</w:t>
      </w:r>
      <w:r w:rsidRPr="0033297E">
        <w:rPr>
          <w:rFonts w:ascii="Times New Roman" w:hAnsi="Times New Roman" w:cs="Times New Roman"/>
          <w:color w:val="000000" w:themeColor="text1"/>
          <w:lang w:val="uk-UA"/>
        </w:rPr>
        <w:t xml:space="preserve"> з пацієнтами з нормальною печінковою функцією, </w:t>
      </w:r>
      <w:r w:rsidR="00100A03" w:rsidRPr="0033297E">
        <w:rPr>
          <w:rFonts w:ascii="Times New Roman" w:hAnsi="Times New Roman" w:cs="Times New Roman"/>
          <w:color w:val="000000" w:themeColor="text1"/>
          <w:lang w:val="uk-UA"/>
        </w:rPr>
        <w:t xml:space="preserve">AUC </w:t>
      </w:r>
      <w:r w:rsidR="00960644">
        <w:rPr>
          <w:rFonts w:ascii="Times New Roman" w:hAnsi="Times New Roman" w:cs="Times New Roman"/>
          <w:color w:val="000000" w:themeColor="text1"/>
          <w:lang w:val="uk-UA"/>
        </w:rPr>
        <w:t>глекапревіру</w:t>
      </w:r>
      <w:r w:rsidRPr="0033297E">
        <w:rPr>
          <w:rFonts w:ascii="Times New Roman" w:hAnsi="Times New Roman" w:cs="Times New Roman"/>
          <w:color w:val="000000" w:themeColor="text1"/>
          <w:lang w:val="uk-UA"/>
        </w:rPr>
        <w:t xml:space="preserve"> був на 33% вищий у пацієнтів з компенсованим цирозом (Child</w:t>
      </w:r>
      <w:r w:rsidR="00FC6D8A">
        <w:rPr>
          <w:rFonts w:ascii="Times New Roman" w:hAnsi="Times New Roman" w:cs="Times New Roman"/>
          <w:color w:val="000000" w:themeColor="text1"/>
          <w:lang w:val="uk-UA"/>
        </w:rPr>
        <w:t>–</w:t>
      </w:r>
      <w:r w:rsidRPr="0033297E">
        <w:rPr>
          <w:rFonts w:ascii="Times New Roman" w:hAnsi="Times New Roman" w:cs="Times New Roman"/>
          <w:color w:val="000000" w:themeColor="text1"/>
          <w:lang w:val="uk-UA"/>
        </w:rPr>
        <w:t>Pugh A), на 10</w:t>
      </w:r>
      <w:r w:rsidR="00100A03">
        <w:rPr>
          <w:rFonts w:ascii="Times New Roman" w:hAnsi="Times New Roman" w:cs="Times New Roman"/>
          <w:color w:val="000000" w:themeColor="text1"/>
          <w:lang w:val="uk-UA"/>
        </w:rPr>
        <w:t>0% вищий у тих, хто мав помірну</w:t>
      </w:r>
      <w:r w:rsidRPr="0033297E">
        <w:rPr>
          <w:rFonts w:ascii="Times New Roman" w:hAnsi="Times New Roman" w:cs="Times New Roman"/>
          <w:color w:val="000000" w:themeColor="text1"/>
          <w:lang w:val="uk-UA"/>
        </w:rPr>
        <w:t xml:space="preserve"> печінкову недостатність (Child</w:t>
      </w:r>
      <w:r w:rsidR="00FC6D8A">
        <w:rPr>
          <w:rFonts w:ascii="Times New Roman" w:hAnsi="Times New Roman" w:cs="Times New Roman"/>
          <w:color w:val="000000" w:themeColor="text1"/>
          <w:lang w:val="uk-UA"/>
        </w:rPr>
        <w:t>–</w:t>
      </w:r>
      <w:r w:rsidRPr="0033297E">
        <w:rPr>
          <w:rFonts w:ascii="Times New Roman" w:hAnsi="Times New Roman" w:cs="Times New Roman"/>
          <w:color w:val="000000" w:themeColor="text1"/>
          <w:lang w:val="uk-UA"/>
        </w:rPr>
        <w:t>Pugh</w:t>
      </w:r>
      <w:r w:rsidR="00100A03">
        <w:rPr>
          <w:rFonts w:ascii="Times New Roman" w:hAnsi="Times New Roman" w:cs="Times New Roman"/>
          <w:color w:val="000000" w:themeColor="text1"/>
          <w:lang w:val="uk-UA"/>
        </w:rPr>
        <w:t xml:space="preserve"> B), і збільшився до 11 разів у </w:t>
      </w:r>
      <w:r w:rsidR="00100A03" w:rsidRPr="0033297E">
        <w:rPr>
          <w:rFonts w:ascii="Times New Roman" w:hAnsi="Times New Roman" w:cs="Times New Roman"/>
          <w:color w:val="000000" w:themeColor="text1"/>
          <w:lang w:val="uk-UA"/>
        </w:rPr>
        <w:t xml:space="preserve">пацієнтів </w:t>
      </w:r>
      <w:r w:rsidRPr="0033297E">
        <w:rPr>
          <w:rFonts w:ascii="Times New Roman" w:hAnsi="Times New Roman" w:cs="Times New Roman"/>
          <w:color w:val="000000" w:themeColor="text1"/>
          <w:lang w:val="uk-UA"/>
        </w:rPr>
        <w:t>з важкими порушеннями печінки (Child</w:t>
      </w:r>
      <w:r w:rsidR="00FC6D8A">
        <w:rPr>
          <w:rFonts w:ascii="Times New Roman" w:hAnsi="Times New Roman" w:cs="Times New Roman"/>
          <w:color w:val="000000" w:themeColor="text1"/>
          <w:lang w:val="uk-UA"/>
        </w:rPr>
        <w:t>–</w:t>
      </w:r>
      <w:r w:rsidRPr="0033297E">
        <w:rPr>
          <w:rFonts w:ascii="Times New Roman" w:hAnsi="Times New Roman" w:cs="Times New Roman"/>
          <w:color w:val="000000" w:themeColor="text1"/>
          <w:lang w:val="uk-UA"/>
        </w:rPr>
        <w:t xml:space="preserve">Pugh C). Таким чином, </w:t>
      </w:r>
      <w:r w:rsidR="00B64DC5">
        <w:rPr>
          <w:rFonts w:ascii="Times New Roman" w:hAnsi="Times New Roman" w:cs="Times New Roman"/>
          <w:color w:val="000000" w:themeColor="text1"/>
          <w:lang w:val="uk-UA"/>
        </w:rPr>
        <w:t>г</w:t>
      </w:r>
      <w:r w:rsidR="00B64DC5" w:rsidRPr="00B64DC5">
        <w:rPr>
          <w:rFonts w:ascii="Times New Roman" w:hAnsi="Times New Roman" w:cs="Times New Roman"/>
          <w:color w:val="000000" w:themeColor="text1"/>
          <w:lang w:val="uk-UA"/>
        </w:rPr>
        <w:t>лекапревір і пібрентасвір</w:t>
      </w:r>
      <w:r w:rsidR="00B64DC5">
        <w:rPr>
          <w:rFonts w:ascii="Times New Roman" w:hAnsi="Times New Roman" w:cs="Times New Roman"/>
          <w:color w:val="000000" w:themeColor="text1"/>
          <w:lang w:val="uk-UA"/>
        </w:rPr>
        <w:t xml:space="preserve"> </w:t>
      </w:r>
      <w:r w:rsidRPr="0033297E">
        <w:rPr>
          <w:rFonts w:ascii="Times New Roman" w:hAnsi="Times New Roman" w:cs="Times New Roman"/>
          <w:color w:val="000000" w:themeColor="text1"/>
          <w:lang w:val="uk-UA"/>
        </w:rPr>
        <w:t xml:space="preserve">протипоказаний пацієнтам </w:t>
      </w:r>
      <w:r w:rsidR="00100A03">
        <w:rPr>
          <w:rFonts w:ascii="Times New Roman" w:hAnsi="Times New Roman" w:cs="Times New Roman"/>
          <w:color w:val="000000" w:themeColor="text1"/>
          <w:lang w:val="uk-UA"/>
        </w:rPr>
        <w:t xml:space="preserve">з цирозом класу </w:t>
      </w:r>
      <w:r w:rsidRPr="0033297E">
        <w:rPr>
          <w:rFonts w:ascii="Times New Roman" w:hAnsi="Times New Roman" w:cs="Times New Roman"/>
          <w:color w:val="000000" w:themeColor="text1"/>
          <w:lang w:val="uk-UA"/>
        </w:rPr>
        <w:t>Child</w:t>
      </w:r>
      <w:r w:rsidR="00FC6D8A">
        <w:rPr>
          <w:rFonts w:ascii="Times New Roman" w:hAnsi="Times New Roman" w:cs="Times New Roman"/>
          <w:color w:val="000000" w:themeColor="text1"/>
          <w:lang w:val="uk-UA"/>
        </w:rPr>
        <w:t>–</w:t>
      </w:r>
      <w:r w:rsidRPr="0033297E">
        <w:rPr>
          <w:rFonts w:ascii="Times New Roman" w:hAnsi="Times New Roman" w:cs="Times New Roman"/>
          <w:color w:val="000000" w:themeColor="text1"/>
          <w:lang w:val="uk-UA"/>
        </w:rPr>
        <w:t>Pugh B або C.</w:t>
      </w:r>
    </w:p>
    <w:p w14:paraId="16AE2513" w14:textId="77777777" w:rsidR="00B909D3" w:rsidRDefault="00B909D3" w:rsidP="00F53078">
      <w:pPr>
        <w:tabs>
          <w:tab w:val="left" w:pos="1089"/>
        </w:tabs>
        <w:ind w:left="360"/>
        <w:jc w:val="both"/>
        <w:rPr>
          <w:rFonts w:ascii="Times New Roman" w:hAnsi="Times New Roman" w:cs="Times New Roman"/>
          <w:color w:val="000000" w:themeColor="text1"/>
          <w:lang w:val="uk-UA"/>
        </w:rPr>
      </w:pPr>
    </w:p>
    <w:p w14:paraId="10A40777" w14:textId="702443E0" w:rsidR="00B909D3" w:rsidRPr="00B909D3" w:rsidRDefault="008F67B7" w:rsidP="00F53078">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Застосування </w:t>
      </w:r>
      <w:r w:rsidR="00960644">
        <w:rPr>
          <w:rFonts w:ascii="Times New Roman" w:hAnsi="Times New Roman" w:cs="Times New Roman"/>
          <w:color w:val="000000" w:themeColor="text1"/>
          <w:lang w:val="uk-UA"/>
        </w:rPr>
        <w:t>глекапревіру</w:t>
      </w:r>
      <w:r>
        <w:rPr>
          <w:rFonts w:ascii="Times New Roman" w:hAnsi="Times New Roman" w:cs="Times New Roman"/>
          <w:color w:val="000000" w:themeColor="text1"/>
          <w:lang w:val="uk-UA"/>
        </w:rPr>
        <w:t>/</w:t>
      </w:r>
      <w:r w:rsidR="004564CD">
        <w:rPr>
          <w:rFonts w:ascii="Times New Roman" w:hAnsi="Times New Roman" w:cs="Times New Roman"/>
          <w:color w:val="000000" w:themeColor="text1"/>
          <w:lang w:val="uk-UA"/>
        </w:rPr>
        <w:t>пібрентасвір</w:t>
      </w:r>
      <w:r>
        <w:rPr>
          <w:rFonts w:ascii="Times New Roman" w:hAnsi="Times New Roman" w:cs="Times New Roman"/>
          <w:color w:val="000000" w:themeColor="text1"/>
          <w:lang w:val="uk-UA"/>
        </w:rPr>
        <w:t>у вивчали серед ВГС</w:t>
      </w:r>
      <w:r w:rsidR="00FC6D8A">
        <w:rPr>
          <w:rFonts w:ascii="Times New Roman" w:hAnsi="Times New Roman" w:cs="Times New Roman"/>
          <w:color w:val="000000" w:themeColor="text1"/>
          <w:lang w:val="uk-UA"/>
        </w:rPr>
        <w:t>–</w:t>
      </w:r>
      <w:r>
        <w:rPr>
          <w:rFonts w:ascii="Times New Roman" w:hAnsi="Times New Roman" w:cs="Times New Roman"/>
          <w:color w:val="000000" w:themeColor="text1"/>
          <w:lang w:val="uk-UA"/>
        </w:rPr>
        <w:t xml:space="preserve">негативних осіб з легкою, середньою, важкою або </w:t>
      </w:r>
      <w:r w:rsidR="005C66E8">
        <w:rPr>
          <w:rFonts w:ascii="Times New Roman" w:hAnsi="Times New Roman" w:cs="Times New Roman"/>
          <w:color w:val="000000" w:themeColor="text1"/>
          <w:lang w:val="uk-UA"/>
        </w:rPr>
        <w:t>термінальн</w:t>
      </w:r>
      <w:r>
        <w:rPr>
          <w:rFonts w:ascii="Times New Roman" w:hAnsi="Times New Roman" w:cs="Times New Roman"/>
          <w:color w:val="000000" w:themeColor="text1"/>
          <w:lang w:val="uk-UA"/>
        </w:rPr>
        <w:t>ою</w:t>
      </w:r>
      <w:r w:rsidR="00B909D3" w:rsidRPr="00B909D3">
        <w:rPr>
          <w:rFonts w:ascii="Times New Roman" w:hAnsi="Times New Roman" w:cs="Times New Roman"/>
          <w:color w:val="000000" w:themeColor="text1"/>
          <w:lang w:val="uk-UA"/>
        </w:rPr>
        <w:t xml:space="preserve"> стадією нир</w:t>
      </w:r>
      <w:r>
        <w:rPr>
          <w:rFonts w:ascii="Times New Roman" w:hAnsi="Times New Roman" w:cs="Times New Roman"/>
          <w:color w:val="000000" w:themeColor="text1"/>
          <w:lang w:val="uk-UA"/>
        </w:rPr>
        <w:t>кової недостатності, які не знаходилися на</w:t>
      </w:r>
      <w:r w:rsidR="00B909D3" w:rsidRPr="00B909D3">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діалізі</w:t>
      </w:r>
      <w:r w:rsidR="00B909D3" w:rsidRPr="00B909D3">
        <w:rPr>
          <w:rFonts w:ascii="Times New Roman" w:hAnsi="Times New Roman" w:cs="Times New Roman"/>
          <w:color w:val="000000" w:themeColor="text1"/>
          <w:lang w:val="uk-UA"/>
        </w:rPr>
        <w:t>, і в порівнянні з тими, що мають нормальну функцію нирок. AUC</w:t>
      </w:r>
      <w:r>
        <w:rPr>
          <w:rFonts w:ascii="Times New Roman" w:hAnsi="Times New Roman" w:cs="Times New Roman"/>
          <w:color w:val="000000" w:themeColor="text1"/>
          <w:lang w:val="uk-UA"/>
        </w:rPr>
        <w:t xml:space="preserve"> була збільшена</w:t>
      </w:r>
      <w:r w:rsidR="00B909D3" w:rsidRPr="00B909D3">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 xml:space="preserve">у менш ніж </w:t>
      </w:r>
      <w:r w:rsidR="00B909D3" w:rsidRPr="00B909D3">
        <w:rPr>
          <w:rFonts w:ascii="Times New Roman" w:hAnsi="Times New Roman" w:cs="Times New Roman"/>
          <w:color w:val="000000" w:themeColor="text1"/>
          <w:lang w:val="uk-UA"/>
        </w:rPr>
        <w:t>56%</w:t>
      </w:r>
      <w:r>
        <w:rPr>
          <w:rFonts w:ascii="Times New Roman" w:hAnsi="Times New Roman" w:cs="Times New Roman"/>
          <w:color w:val="000000" w:themeColor="text1"/>
          <w:lang w:val="uk-UA"/>
        </w:rPr>
        <w:t xml:space="preserve"> пацієнтів</w:t>
      </w:r>
      <w:r w:rsidR="00B909D3" w:rsidRPr="00B909D3">
        <w:rPr>
          <w:rFonts w:ascii="Times New Roman" w:hAnsi="Times New Roman" w:cs="Times New Roman"/>
          <w:color w:val="000000" w:themeColor="text1"/>
          <w:lang w:val="uk-UA"/>
        </w:rPr>
        <w:t xml:space="preserve">, що не було клінічно значущим. </w:t>
      </w:r>
      <w:r w:rsidR="003B4424" w:rsidRPr="00B909D3">
        <w:rPr>
          <w:rFonts w:ascii="Times New Roman" w:hAnsi="Times New Roman" w:cs="Times New Roman"/>
          <w:color w:val="000000" w:themeColor="text1"/>
          <w:lang w:val="uk-UA"/>
        </w:rPr>
        <w:t xml:space="preserve">AUC </w:t>
      </w:r>
      <w:r w:rsidR="00960644">
        <w:rPr>
          <w:rFonts w:ascii="Times New Roman" w:hAnsi="Times New Roman" w:cs="Times New Roman"/>
          <w:color w:val="000000" w:themeColor="text1"/>
          <w:lang w:val="uk-UA"/>
        </w:rPr>
        <w:t>глекапревіру</w:t>
      </w:r>
      <w:r w:rsidR="00B909D3" w:rsidRPr="00B909D3">
        <w:rPr>
          <w:rFonts w:ascii="Times New Roman" w:hAnsi="Times New Roman" w:cs="Times New Roman"/>
          <w:color w:val="000000" w:themeColor="text1"/>
          <w:lang w:val="uk-UA"/>
        </w:rPr>
        <w:t>/</w:t>
      </w:r>
      <w:r w:rsidR="003B4424">
        <w:rPr>
          <w:rFonts w:ascii="Times New Roman" w:hAnsi="Times New Roman" w:cs="Times New Roman"/>
          <w:color w:val="000000" w:themeColor="text1"/>
          <w:lang w:val="uk-UA"/>
        </w:rPr>
        <w:t>пібрентасвіру була схожа у пацієнтів на діалізі і без нього</w:t>
      </w:r>
      <w:r w:rsidR="00B909D3" w:rsidRPr="00B909D3">
        <w:rPr>
          <w:rFonts w:ascii="Times New Roman" w:hAnsi="Times New Roman" w:cs="Times New Roman"/>
          <w:color w:val="000000" w:themeColor="text1"/>
          <w:lang w:val="uk-UA"/>
        </w:rPr>
        <w:t>.</w:t>
      </w:r>
    </w:p>
    <w:p w14:paraId="126844D1" w14:textId="77777777" w:rsidR="003B4424" w:rsidRDefault="003B4424" w:rsidP="00F53078">
      <w:pPr>
        <w:tabs>
          <w:tab w:val="left" w:pos="1089"/>
        </w:tabs>
        <w:ind w:left="360"/>
        <w:jc w:val="both"/>
        <w:rPr>
          <w:rFonts w:ascii="Times New Roman" w:hAnsi="Times New Roman" w:cs="Times New Roman"/>
          <w:color w:val="000000" w:themeColor="text1"/>
          <w:lang w:val="uk-UA"/>
        </w:rPr>
      </w:pPr>
    </w:p>
    <w:p w14:paraId="7FBF1893" w14:textId="6771F870" w:rsidR="00B909D3" w:rsidRPr="00B909D3" w:rsidRDefault="00B909D3" w:rsidP="00F53078">
      <w:pPr>
        <w:tabs>
          <w:tab w:val="left" w:pos="1089"/>
        </w:tabs>
        <w:ind w:left="360"/>
        <w:jc w:val="both"/>
        <w:rPr>
          <w:rFonts w:ascii="Times New Roman" w:hAnsi="Times New Roman" w:cs="Times New Roman"/>
          <w:color w:val="000000" w:themeColor="text1"/>
          <w:lang w:val="uk-UA"/>
        </w:rPr>
      </w:pPr>
      <w:r w:rsidRPr="00B909D3">
        <w:rPr>
          <w:rFonts w:ascii="Times New Roman" w:hAnsi="Times New Roman" w:cs="Times New Roman"/>
          <w:color w:val="000000" w:themeColor="text1"/>
          <w:lang w:val="uk-UA"/>
        </w:rPr>
        <w:t xml:space="preserve">Безпека </w:t>
      </w:r>
      <w:r w:rsidR="00960644">
        <w:rPr>
          <w:rFonts w:ascii="Times New Roman" w:hAnsi="Times New Roman" w:cs="Times New Roman"/>
          <w:color w:val="000000" w:themeColor="text1"/>
          <w:lang w:val="uk-UA"/>
        </w:rPr>
        <w:t>глекапревіру</w:t>
      </w:r>
      <w:r w:rsidR="003B4424">
        <w:rPr>
          <w:rFonts w:ascii="Times New Roman" w:hAnsi="Times New Roman" w:cs="Times New Roman"/>
          <w:color w:val="000000" w:themeColor="text1"/>
          <w:lang w:val="uk-UA"/>
        </w:rPr>
        <w:t xml:space="preserve"> та пібрентасвіру </w:t>
      </w:r>
      <w:r w:rsidRPr="00B909D3">
        <w:rPr>
          <w:rFonts w:ascii="Times New Roman" w:hAnsi="Times New Roman" w:cs="Times New Roman"/>
          <w:color w:val="000000" w:themeColor="text1"/>
          <w:lang w:val="uk-UA"/>
        </w:rPr>
        <w:t>була оцінена в клінічних досл</w:t>
      </w:r>
      <w:r w:rsidR="003B4424">
        <w:rPr>
          <w:rFonts w:ascii="Times New Roman" w:hAnsi="Times New Roman" w:cs="Times New Roman"/>
          <w:color w:val="000000" w:themeColor="text1"/>
          <w:lang w:val="uk-UA"/>
        </w:rPr>
        <w:t xml:space="preserve">ідженнях II і III фази. </w:t>
      </w:r>
      <w:r w:rsidR="005128A5">
        <w:rPr>
          <w:rFonts w:ascii="Times New Roman" w:hAnsi="Times New Roman" w:cs="Times New Roman"/>
          <w:color w:val="000000" w:themeColor="text1"/>
          <w:lang w:val="uk-UA"/>
        </w:rPr>
        <w:t>Біль голови</w:t>
      </w:r>
      <w:r w:rsidR="003B4424">
        <w:rPr>
          <w:rFonts w:ascii="Times New Roman" w:hAnsi="Times New Roman" w:cs="Times New Roman"/>
          <w:color w:val="000000" w:themeColor="text1"/>
          <w:lang w:val="uk-UA"/>
        </w:rPr>
        <w:t xml:space="preserve"> та втома були найчастішими побічними реакціями</w:t>
      </w:r>
      <w:r w:rsidRPr="00B909D3">
        <w:rPr>
          <w:rFonts w:ascii="Times New Roman" w:hAnsi="Times New Roman" w:cs="Times New Roman"/>
          <w:color w:val="000000" w:themeColor="text1"/>
          <w:lang w:val="uk-UA"/>
        </w:rPr>
        <w:t>.</w:t>
      </w:r>
    </w:p>
    <w:p w14:paraId="0D54ACC8" w14:textId="77777777" w:rsidR="003B4424" w:rsidRDefault="003B4424" w:rsidP="00F53078">
      <w:pPr>
        <w:tabs>
          <w:tab w:val="left" w:pos="1089"/>
        </w:tabs>
        <w:ind w:left="360"/>
        <w:jc w:val="both"/>
        <w:rPr>
          <w:rFonts w:ascii="Times New Roman" w:hAnsi="Times New Roman" w:cs="Times New Roman"/>
          <w:color w:val="000000" w:themeColor="text1"/>
          <w:lang w:val="uk-UA"/>
        </w:rPr>
      </w:pPr>
    </w:p>
    <w:p w14:paraId="611EB005" w14:textId="1DCD6E5E" w:rsidR="00B909D3" w:rsidRPr="00B909D3" w:rsidRDefault="003B4424" w:rsidP="00F53078">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Глекапреві</w:t>
      </w:r>
      <w:r w:rsidR="00B909D3" w:rsidRPr="00B909D3">
        <w:rPr>
          <w:rFonts w:ascii="Times New Roman" w:hAnsi="Times New Roman" w:cs="Times New Roman"/>
          <w:color w:val="000000" w:themeColor="text1"/>
          <w:lang w:val="uk-UA"/>
        </w:rPr>
        <w:t xml:space="preserve">р та </w:t>
      </w:r>
      <w:r w:rsidR="004564CD">
        <w:rPr>
          <w:rFonts w:ascii="Times New Roman" w:hAnsi="Times New Roman" w:cs="Times New Roman"/>
          <w:color w:val="000000" w:themeColor="text1"/>
          <w:lang w:val="uk-UA"/>
        </w:rPr>
        <w:t>пібрентасвір</w:t>
      </w:r>
      <w:r>
        <w:rPr>
          <w:rFonts w:ascii="Times New Roman" w:hAnsi="Times New Roman" w:cs="Times New Roman"/>
          <w:color w:val="000000" w:themeColor="text1"/>
          <w:lang w:val="uk-UA"/>
        </w:rPr>
        <w:t xml:space="preserve"> </w:t>
      </w:r>
      <w:r w:rsidR="00B909D3" w:rsidRPr="00B909D3">
        <w:rPr>
          <w:rFonts w:ascii="Times New Roman" w:hAnsi="Times New Roman" w:cs="Times New Roman"/>
          <w:color w:val="000000" w:themeColor="text1"/>
          <w:lang w:val="uk-UA"/>
        </w:rPr>
        <w:t>є інгібіторами P</w:t>
      </w:r>
      <w:r w:rsidR="00FC6D8A">
        <w:rPr>
          <w:rFonts w:ascii="Times New Roman" w:hAnsi="Times New Roman" w:cs="Times New Roman"/>
          <w:color w:val="000000" w:themeColor="text1"/>
          <w:lang w:val="uk-UA"/>
        </w:rPr>
        <w:t>–</w:t>
      </w:r>
      <w:r w:rsidR="00B909D3" w:rsidRPr="00B909D3">
        <w:rPr>
          <w:rFonts w:ascii="Times New Roman" w:hAnsi="Times New Roman" w:cs="Times New Roman"/>
          <w:color w:val="000000" w:themeColor="text1"/>
          <w:lang w:val="uk-UA"/>
        </w:rPr>
        <w:t xml:space="preserve">gp, BCRP і OATP1B1 і OATP1B3. Спільне введення </w:t>
      </w:r>
      <w:r w:rsidR="00960644">
        <w:rPr>
          <w:rFonts w:ascii="Times New Roman" w:hAnsi="Times New Roman" w:cs="Times New Roman"/>
          <w:color w:val="000000" w:themeColor="text1"/>
          <w:lang w:val="uk-UA"/>
        </w:rPr>
        <w:t>глекапревіру</w:t>
      </w:r>
      <w:r>
        <w:rPr>
          <w:rFonts w:ascii="Times New Roman" w:hAnsi="Times New Roman" w:cs="Times New Roman"/>
          <w:color w:val="000000" w:themeColor="text1"/>
          <w:lang w:val="uk-UA"/>
        </w:rPr>
        <w:t>/пібрентасвіру</w:t>
      </w:r>
      <w:r w:rsidR="00B909D3" w:rsidRPr="00B909D3">
        <w:rPr>
          <w:rFonts w:ascii="Times New Roman" w:hAnsi="Times New Roman" w:cs="Times New Roman"/>
          <w:color w:val="000000" w:themeColor="text1"/>
          <w:lang w:val="uk-UA"/>
        </w:rPr>
        <w:t xml:space="preserve"> може збільшити концентрацію препаратів, які є </w:t>
      </w:r>
      <w:r w:rsidR="00B909D3" w:rsidRPr="00B909D3">
        <w:rPr>
          <w:rFonts w:ascii="Times New Roman" w:hAnsi="Times New Roman" w:cs="Times New Roman"/>
          <w:color w:val="000000" w:themeColor="text1"/>
          <w:lang w:val="uk-UA"/>
        </w:rPr>
        <w:lastRenderedPageBreak/>
        <w:t xml:space="preserve">субстратами </w:t>
      </w:r>
      <w:r w:rsidR="004D2A4F">
        <w:rPr>
          <w:rFonts w:ascii="Times New Roman" w:hAnsi="Times New Roman" w:cs="Times New Roman"/>
          <w:color w:val="000000" w:themeColor="text1"/>
          <w:lang w:val="uk-UA"/>
        </w:rPr>
        <w:t xml:space="preserve">P-gp </w:t>
      </w:r>
      <w:r w:rsidR="00B909D3" w:rsidRPr="00B909D3">
        <w:rPr>
          <w:rFonts w:ascii="Times New Roman" w:hAnsi="Times New Roman" w:cs="Times New Roman"/>
          <w:color w:val="000000" w:themeColor="text1"/>
          <w:lang w:val="uk-UA"/>
        </w:rPr>
        <w:t>(наприклад, дабігатран</w:t>
      </w:r>
      <w:r w:rsidR="00FC6D8A">
        <w:rPr>
          <w:rFonts w:ascii="Times New Roman" w:hAnsi="Times New Roman" w:cs="Times New Roman"/>
          <w:color w:val="000000" w:themeColor="text1"/>
          <w:lang w:val="uk-UA"/>
        </w:rPr>
        <w:t>–</w:t>
      </w:r>
      <w:r w:rsidR="00B909D3" w:rsidRPr="00B909D3">
        <w:rPr>
          <w:rFonts w:ascii="Times New Roman" w:hAnsi="Times New Roman" w:cs="Times New Roman"/>
          <w:color w:val="000000" w:themeColor="text1"/>
          <w:lang w:val="uk-UA"/>
        </w:rPr>
        <w:t xml:space="preserve">етексаліт, який протипоказаний через </w:t>
      </w:r>
      <w:r w:rsidRPr="00B909D3">
        <w:rPr>
          <w:rFonts w:ascii="Times New Roman" w:hAnsi="Times New Roman" w:cs="Times New Roman"/>
          <w:color w:val="000000" w:themeColor="text1"/>
          <w:lang w:val="uk-UA"/>
        </w:rPr>
        <w:t xml:space="preserve">збільшення </w:t>
      </w:r>
      <w:r>
        <w:rPr>
          <w:rFonts w:ascii="Times New Roman" w:hAnsi="Times New Roman" w:cs="Times New Roman"/>
          <w:color w:val="000000" w:themeColor="text1"/>
          <w:lang w:val="uk-UA"/>
        </w:rPr>
        <w:t xml:space="preserve">у </w:t>
      </w:r>
      <w:r w:rsidR="00B909D3" w:rsidRPr="00B909D3">
        <w:rPr>
          <w:rFonts w:ascii="Times New Roman" w:hAnsi="Times New Roman" w:cs="Times New Roman"/>
          <w:color w:val="000000" w:themeColor="text1"/>
          <w:lang w:val="uk-UA"/>
        </w:rPr>
        <w:t>2,4 рази</w:t>
      </w:r>
      <w:r>
        <w:rPr>
          <w:rFonts w:ascii="Times New Roman" w:hAnsi="Times New Roman" w:cs="Times New Roman"/>
          <w:color w:val="000000" w:themeColor="text1"/>
          <w:lang w:val="uk-UA"/>
        </w:rPr>
        <w:t xml:space="preserve"> при</w:t>
      </w:r>
      <w:r w:rsidR="00B909D3" w:rsidRPr="00B909D3">
        <w:rPr>
          <w:rFonts w:ascii="Times New Roman" w:hAnsi="Times New Roman" w:cs="Times New Roman"/>
          <w:color w:val="000000" w:themeColor="text1"/>
          <w:lang w:val="uk-UA"/>
        </w:rPr>
        <w:t xml:space="preserve"> експозиції да</w:t>
      </w:r>
      <w:r>
        <w:rPr>
          <w:rFonts w:ascii="Times New Roman" w:hAnsi="Times New Roman" w:cs="Times New Roman"/>
          <w:color w:val="000000" w:themeColor="text1"/>
          <w:lang w:val="uk-UA"/>
        </w:rPr>
        <w:t>бігатрану), BCRP (наприклад, роз</w:t>
      </w:r>
      <w:r w:rsidR="00B909D3" w:rsidRPr="00B909D3">
        <w:rPr>
          <w:rFonts w:ascii="Times New Roman" w:hAnsi="Times New Roman" w:cs="Times New Roman"/>
          <w:color w:val="000000" w:themeColor="text1"/>
          <w:lang w:val="uk-UA"/>
        </w:rPr>
        <w:t>увастатин, який вима</w:t>
      </w:r>
      <w:r>
        <w:rPr>
          <w:rFonts w:ascii="Times New Roman" w:hAnsi="Times New Roman" w:cs="Times New Roman"/>
          <w:color w:val="000000" w:themeColor="text1"/>
          <w:lang w:val="uk-UA"/>
        </w:rPr>
        <w:t>гає зменшення дози) або OATP1B1/</w:t>
      </w:r>
      <w:r w:rsidR="00B909D3" w:rsidRPr="00B909D3">
        <w:rPr>
          <w:rFonts w:ascii="Times New Roman" w:hAnsi="Times New Roman" w:cs="Times New Roman"/>
          <w:color w:val="000000" w:themeColor="text1"/>
          <w:lang w:val="uk-UA"/>
        </w:rPr>
        <w:t>3 (наприклад, аторвастатин або симвастатин, які протипоказані). Для інших су</w:t>
      </w:r>
      <w:r>
        <w:rPr>
          <w:rFonts w:ascii="Times New Roman" w:hAnsi="Times New Roman" w:cs="Times New Roman"/>
          <w:color w:val="000000" w:themeColor="text1"/>
          <w:lang w:val="uk-UA"/>
        </w:rPr>
        <w:t>бстратів P</w:t>
      </w:r>
      <w:r w:rsidR="00FC6D8A">
        <w:rPr>
          <w:rFonts w:ascii="Times New Roman" w:hAnsi="Times New Roman" w:cs="Times New Roman"/>
          <w:color w:val="000000" w:themeColor="text1"/>
          <w:lang w:val="uk-UA"/>
        </w:rPr>
        <w:t>–</w:t>
      </w:r>
      <w:r>
        <w:rPr>
          <w:rFonts w:ascii="Times New Roman" w:hAnsi="Times New Roman" w:cs="Times New Roman"/>
          <w:color w:val="000000" w:themeColor="text1"/>
          <w:lang w:val="uk-UA"/>
        </w:rPr>
        <w:t xml:space="preserve">gp, BCRP або OATP1B1/3 слід розглядати можливість </w:t>
      </w:r>
      <w:r w:rsidR="00B909D3" w:rsidRPr="00B909D3">
        <w:rPr>
          <w:rFonts w:ascii="Times New Roman" w:hAnsi="Times New Roman" w:cs="Times New Roman"/>
          <w:color w:val="000000" w:themeColor="text1"/>
          <w:lang w:val="uk-UA"/>
        </w:rPr>
        <w:t>коригування дози.</w:t>
      </w:r>
    </w:p>
    <w:p w14:paraId="4CAA8FB6" w14:textId="77777777" w:rsidR="003B4424" w:rsidRDefault="003B4424" w:rsidP="00F53078">
      <w:pPr>
        <w:tabs>
          <w:tab w:val="left" w:pos="1089"/>
        </w:tabs>
        <w:ind w:left="360"/>
        <w:jc w:val="both"/>
        <w:rPr>
          <w:rFonts w:ascii="Times New Roman" w:hAnsi="Times New Roman" w:cs="Times New Roman"/>
          <w:color w:val="000000" w:themeColor="text1"/>
          <w:lang w:val="uk-UA"/>
        </w:rPr>
      </w:pPr>
    </w:p>
    <w:p w14:paraId="715389F4" w14:textId="4D280C1B" w:rsidR="00B909D3" w:rsidRPr="00B909D3" w:rsidRDefault="003B4424" w:rsidP="00F53078">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Концентрації </w:t>
      </w:r>
      <w:r w:rsidR="00960644">
        <w:rPr>
          <w:rFonts w:ascii="Times New Roman" w:hAnsi="Times New Roman" w:cs="Times New Roman"/>
          <w:color w:val="000000" w:themeColor="text1"/>
          <w:lang w:val="uk-UA"/>
        </w:rPr>
        <w:t>глекапревіру</w:t>
      </w:r>
      <w:r>
        <w:rPr>
          <w:rFonts w:ascii="Times New Roman" w:hAnsi="Times New Roman" w:cs="Times New Roman"/>
          <w:color w:val="000000" w:themeColor="text1"/>
          <w:lang w:val="uk-UA"/>
        </w:rPr>
        <w:t>/</w:t>
      </w:r>
      <w:r w:rsidR="004564CD">
        <w:rPr>
          <w:rFonts w:ascii="Times New Roman" w:hAnsi="Times New Roman" w:cs="Times New Roman"/>
          <w:color w:val="000000" w:themeColor="text1"/>
          <w:lang w:val="uk-UA"/>
        </w:rPr>
        <w:t>пібрентасвір</w:t>
      </w:r>
      <w:r>
        <w:rPr>
          <w:rFonts w:ascii="Times New Roman" w:hAnsi="Times New Roman" w:cs="Times New Roman"/>
          <w:color w:val="000000" w:themeColor="text1"/>
          <w:lang w:val="uk-UA"/>
        </w:rPr>
        <w:t>у</w:t>
      </w:r>
      <w:r w:rsidR="00B909D3" w:rsidRPr="00B909D3">
        <w:rPr>
          <w:rFonts w:ascii="Times New Roman" w:hAnsi="Times New Roman" w:cs="Times New Roman"/>
          <w:color w:val="000000" w:themeColor="text1"/>
          <w:lang w:val="uk-UA"/>
        </w:rPr>
        <w:t xml:space="preserve"> можуть знижуватися сильними препаратами, що індукують </w:t>
      </w:r>
      <w:r w:rsidR="004D2A4F">
        <w:rPr>
          <w:rFonts w:ascii="Times New Roman" w:hAnsi="Times New Roman" w:cs="Times New Roman"/>
          <w:color w:val="000000" w:themeColor="text1"/>
          <w:lang w:val="uk-UA"/>
        </w:rPr>
        <w:t xml:space="preserve">P-gp </w:t>
      </w:r>
      <w:r w:rsidR="00B909D3" w:rsidRPr="00B909D3">
        <w:rPr>
          <w:rFonts w:ascii="Times New Roman" w:hAnsi="Times New Roman" w:cs="Times New Roman"/>
          <w:color w:val="000000" w:themeColor="text1"/>
          <w:lang w:val="uk-UA"/>
        </w:rPr>
        <w:t>та CYP3A, таки</w:t>
      </w:r>
      <w:r w:rsidR="005128A5">
        <w:rPr>
          <w:rFonts w:ascii="Times New Roman" w:hAnsi="Times New Roman" w:cs="Times New Roman"/>
          <w:color w:val="000000" w:themeColor="text1"/>
          <w:lang w:val="uk-UA"/>
        </w:rPr>
        <w:t>ми</w:t>
      </w:r>
      <w:r w:rsidR="00B909D3" w:rsidRPr="00B909D3">
        <w:rPr>
          <w:rFonts w:ascii="Times New Roman" w:hAnsi="Times New Roman" w:cs="Times New Roman"/>
          <w:color w:val="000000" w:themeColor="text1"/>
          <w:lang w:val="uk-UA"/>
        </w:rPr>
        <w:t xml:space="preserve"> як рифампіцин, карбамазепін, звіробій або фенітоїн, що призводить до зниження терапевтичного ефекту або втрати вірусологічно</w:t>
      </w:r>
      <w:r>
        <w:rPr>
          <w:rFonts w:ascii="Times New Roman" w:hAnsi="Times New Roman" w:cs="Times New Roman"/>
          <w:color w:val="000000" w:themeColor="text1"/>
          <w:lang w:val="uk-UA"/>
        </w:rPr>
        <w:t>ї відповіді. Спільне</w:t>
      </w:r>
      <w:r w:rsidR="00B909D3" w:rsidRPr="00B909D3">
        <w:rPr>
          <w:rFonts w:ascii="Times New Roman" w:hAnsi="Times New Roman" w:cs="Times New Roman"/>
          <w:color w:val="000000" w:themeColor="text1"/>
          <w:lang w:val="uk-UA"/>
        </w:rPr>
        <w:t xml:space="preserve"> введення цих чи інших потужних індукторів є протипоказан</w:t>
      </w:r>
      <w:r w:rsidR="005128A5">
        <w:rPr>
          <w:rFonts w:ascii="Times New Roman" w:hAnsi="Times New Roman" w:cs="Times New Roman"/>
          <w:color w:val="000000" w:themeColor="text1"/>
          <w:lang w:val="uk-UA"/>
        </w:rPr>
        <w:t>им</w:t>
      </w:r>
      <w:r w:rsidR="00B909D3" w:rsidRPr="00B909D3">
        <w:rPr>
          <w:rFonts w:ascii="Times New Roman" w:hAnsi="Times New Roman" w:cs="Times New Roman"/>
          <w:color w:val="000000" w:themeColor="text1"/>
          <w:lang w:val="uk-UA"/>
        </w:rPr>
        <w:t xml:space="preserve">. </w:t>
      </w:r>
      <w:r w:rsidR="00B909D3" w:rsidRPr="00525692">
        <w:rPr>
          <w:rFonts w:ascii="Times New Roman" w:hAnsi="Times New Roman" w:cs="Times New Roman"/>
          <w:color w:val="000000" w:themeColor="text1"/>
          <w:lang w:val="uk-UA"/>
        </w:rPr>
        <w:t>Подібний ефект</w:t>
      </w:r>
      <w:r w:rsidR="00B909D3" w:rsidRPr="00B909D3">
        <w:rPr>
          <w:rFonts w:ascii="Times New Roman" w:hAnsi="Times New Roman" w:cs="Times New Roman"/>
          <w:color w:val="000000" w:themeColor="text1"/>
          <w:lang w:val="uk-UA"/>
        </w:rPr>
        <w:t xml:space="preserve"> не можна виключати з помірними індукторами, такими як окскарбазепін та еслікарбазепін, і одночасне введення цих препаратів не рекомендується. Супутні препарати, які інгібують </w:t>
      </w:r>
      <w:r w:rsidR="004D2A4F">
        <w:rPr>
          <w:rFonts w:ascii="Times New Roman" w:hAnsi="Times New Roman" w:cs="Times New Roman"/>
          <w:color w:val="000000" w:themeColor="text1"/>
          <w:lang w:val="uk-UA"/>
        </w:rPr>
        <w:t xml:space="preserve">P-gp </w:t>
      </w:r>
      <w:r w:rsidR="00B909D3" w:rsidRPr="00B909D3">
        <w:rPr>
          <w:rFonts w:ascii="Times New Roman" w:hAnsi="Times New Roman" w:cs="Times New Roman"/>
          <w:color w:val="000000" w:themeColor="text1"/>
          <w:lang w:val="uk-UA"/>
        </w:rPr>
        <w:t>та BCRP, мо</w:t>
      </w:r>
      <w:r>
        <w:rPr>
          <w:rFonts w:ascii="Times New Roman" w:hAnsi="Times New Roman" w:cs="Times New Roman"/>
          <w:color w:val="000000" w:themeColor="text1"/>
          <w:lang w:val="uk-UA"/>
        </w:rPr>
        <w:t>жуть посилювати експозицію</w:t>
      </w:r>
      <w:r w:rsidR="00B909D3" w:rsidRPr="00B909D3">
        <w:rPr>
          <w:rFonts w:ascii="Times New Roman" w:hAnsi="Times New Roman" w:cs="Times New Roman"/>
          <w:color w:val="000000" w:themeColor="text1"/>
          <w:lang w:val="uk-UA"/>
        </w:rPr>
        <w:t xml:space="preserve"> глекапревір</w:t>
      </w:r>
      <w:r>
        <w:rPr>
          <w:rFonts w:ascii="Times New Roman" w:hAnsi="Times New Roman" w:cs="Times New Roman"/>
          <w:color w:val="000000" w:themeColor="text1"/>
          <w:lang w:val="uk-UA"/>
        </w:rPr>
        <w:t>у/</w:t>
      </w:r>
      <w:r w:rsidR="004564CD">
        <w:rPr>
          <w:rFonts w:ascii="Times New Roman" w:hAnsi="Times New Roman" w:cs="Times New Roman"/>
          <w:color w:val="000000" w:themeColor="text1"/>
          <w:lang w:val="uk-UA"/>
        </w:rPr>
        <w:t>пібрентасвір</w:t>
      </w:r>
      <w:r>
        <w:rPr>
          <w:rFonts w:ascii="Times New Roman" w:hAnsi="Times New Roman" w:cs="Times New Roman"/>
          <w:color w:val="000000" w:themeColor="text1"/>
          <w:lang w:val="uk-UA"/>
        </w:rPr>
        <w:t>у</w:t>
      </w:r>
      <w:r w:rsidR="00B909D3" w:rsidRPr="00B909D3">
        <w:rPr>
          <w:rFonts w:ascii="Times New Roman" w:hAnsi="Times New Roman" w:cs="Times New Roman"/>
          <w:color w:val="000000" w:themeColor="text1"/>
          <w:lang w:val="uk-UA"/>
        </w:rPr>
        <w:t>.</w:t>
      </w:r>
      <w:r>
        <w:rPr>
          <w:rFonts w:ascii="Times New Roman" w:hAnsi="Times New Roman" w:cs="Times New Roman"/>
          <w:color w:val="000000" w:themeColor="text1"/>
          <w:lang w:val="uk-UA"/>
        </w:rPr>
        <w:t xml:space="preserve"> Аналогічно, інгібітори OATP1B1/</w:t>
      </w:r>
      <w:r w:rsidR="00B909D3" w:rsidRPr="00B909D3">
        <w:rPr>
          <w:rFonts w:ascii="Times New Roman" w:hAnsi="Times New Roman" w:cs="Times New Roman"/>
          <w:color w:val="000000" w:themeColor="text1"/>
          <w:lang w:val="uk-UA"/>
        </w:rPr>
        <w:t>3, такі як циклоспорин, дарунавір та лопінавір, також можуть збільшувати концентрації глекапревіру.</w:t>
      </w:r>
    </w:p>
    <w:p w14:paraId="2CE04330" w14:textId="6A02FC37" w:rsidR="00B909D3" w:rsidRPr="00B909D3" w:rsidRDefault="003B4424" w:rsidP="00F53078">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Потенційний</w:t>
      </w:r>
      <w:r w:rsidR="00B909D3" w:rsidRPr="00B909D3">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вплив</w:t>
      </w:r>
      <w:r w:rsidRPr="00B909D3">
        <w:rPr>
          <w:rFonts w:ascii="Times New Roman" w:hAnsi="Times New Roman" w:cs="Times New Roman"/>
          <w:color w:val="000000" w:themeColor="text1"/>
          <w:lang w:val="uk-UA"/>
        </w:rPr>
        <w:t xml:space="preserve"> </w:t>
      </w:r>
      <w:r w:rsidR="00960644">
        <w:rPr>
          <w:rFonts w:ascii="Times New Roman" w:hAnsi="Times New Roman" w:cs="Times New Roman"/>
          <w:color w:val="000000" w:themeColor="text1"/>
          <w:lang w:val="uk-UA"/>
        </w:rPr>
        <w:t>глекапревіру</w:t>
      </w:r>
      <w:r>
        <w:rPr>
          <w:rFonts w:ascii="Times New Roman" w:hAnsi="Times New Roman" w:cs="Times New Roman"/>
          <w:color w:val="000000" w:themeColor="text1"/>
          <w:lang w:val="uk-UA"/>
        </w:rPr>
        <w:t>/</w:t>
      </w:r>
      <w:r w:rsidR="004564CD">
        <w:rPr>
          <w:rFonts w:ascii="Times New Roman" w:hAnsi="Times New Roman" w:cs="Times New Roman"/>
          <w:color w:val="000000" w:themeColor="text1"/>
          <w:lang w:val="uk-UA"/>
        </w:rPr>
        <w:t>пібрентасвіру</w:t>
      </w:r>
      <w:r>
        <w:rPr>
          <w:rFonts w:ascii="Times New Roman" w:hAnsi="Times New Roman" w:cs="Times New Roman"/>
          <w:color w:val="000000" w:themeColor="text1"/>
          <w:lang w:val="uk-UA"/>
        </w:rPr>
        <w:t xml:space="preserve"> </w:t>
      </w:r>
      <w:r w:rsidR="00525692">
        <w:rPr>
          <w:rFonts w:ascii="Times New Roman" w:hAnsi="Times New Roman" w:cs="Times New Roman"/>
          <w:color w:val="000000" w:themeColor="text1"/>
          <w:lang w:val="uk-UA"/>
        </w:rPr>
        <w:t>на інших лікарських засобів</w:t>
      </w:r>
      <w:r w:rsidR="00B909D3" w:rsidRPr="00B909D3">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 xml:space="preserve">є відносно низьким, хоча </w:t>
      </w:r>
      <w:r w:rsidR="00960644">
        <w:rPr>
          <w:rFonts w:ascii="Times New Roman" w:hAnsi="Times New Roman" w:cs="Times New Roman"/>
          <w:color w:val="000000" w:themeColor="text1"/>
          <w:lang w:val="uk-UA"/>
        </w:rPr>
        <w:t>глекапревір</w:t>
      </w:r>
      <w:r w:rsidR="00B909D3" w:rsidRPr="00B909D3">
        <w:rPr>
          <w:rFonts w:ascii="Times New Roman" w:hAnsi="Times New Roman" w:cs="Times New Roman"/>
          <w:color w:val="000000" w:themeColor="text1"/>
          <w:lang w:val="uk-UA"/>
        </w:rPr>
        <w:t xml:space="preserve"> є слабким інгібітором CYP3A (приб</w:t>
      </w:r>
      <w:r>
        <w:rPr>
          <w:rFonts w:ascii="Times New Roman" w:hAnsi="Times New Roman" w:cs="Times New Roman"/>
          <w:color w:val="000000" w:themeColor="text1"/>
          <w:lang w:val="uk-UA"/>
        </w:rPr>
        <w:t>лизно на 27% збільшення експозиції</w:t>
      </w:r>
      <w:r w:rsidR="00B909D3" w:rsidRPr="00B909D3">
        <w:rPr>
          <w:rFonts w:ascii="Times New Roman" w:hAnsi="Times New Roman" w:cs="Times New Roman"/>
          <w:color w:val="000000" w:themeColor="text1"/>
          <w:lang w:val="uk-UA"/>
        </w:rPr>
        <w:t xml:space="preserve"> мідазоламу). При </w:t>
      </w:r>
      <w:r>
        <w:rPr>
          <w:rFonts w:ascii="Times New Roman" w:hAnsi="Times New Roman" w:cs="Times New Roman"/>
          <w:color w:val="000000" w:themeColor="text1"/>
          <w:lang w:val="uk-UA"/>
        </w:rPr>
        <w:t xml:space="preserve">сумісному </w:t>
      </w:r>
      <w:r w:rsidR="00B909D3" w:rsidRPr="00B909D3">
        <w:rPr>
          <w:rFonts w:ascii="Times New Roman" w:hAnsi="Times New Roman" w:cs="Times New Roman"/>
          <w:color w:val="000000" w:themeColor="text1"/>
          <w:lang w:val="uk-UA"/>
        </w:rPr>
        <w:t xml:space="preserve">застосуванні препаратів, що </w:t>
      </w:r>
      <w:r>
        <w:rPr>
          <w:rFonts w:ascii="Times New Roman" w:hAnsi="Times New Roman" w:cs="Times New Roman"/>
          <w:color w:val="000000" w:themeColor="text1"/>
          <w:lang w:val="uk-UA"/>
        </w:rPr>
        <w:t>використовують CYP3A</w:t>
      </w:r>
      <w:r w:rsidR="0040613B">
        <w:rPr>
          <w:rFonts w:ascii="Times New Roman" w:hAnsi="Times New Roman" w:cs="Times New Roman"/>
          <w:color w:val="000000" w:themeColor="text1"/>
          <w:lang w:val="uk-UA"/>
        </w:rPr>
        <w:t xml:space="preserve"> (наприклад, такролімус</w:t>
      </w:r>
      <w:r w:rsidR="0040613B" w:rsidRPr="00B909D3">
        <w:rPr>
          <w:rFonts w:ascii="Times New Roman" w:hAnsi="Times New Roman" w:cs="Times New Roman"/>
          <w:color w:val="000000" w:themeColor="text1"/>
          <w:lang w:val="uk-UA"/>
        </w:rPr>
        <w:t>)</w:t>
      </w:r>
      <w:r w:rsidR="00B909D3" w:rsidRPr="00B909D3">
        <w:rPr>
          <w:rFonts w:ascii="Times New Roman" w:hAnsi="Times New Roman" w:cs="Times New Roman"/>
          <w:color w:val="000000" w:themeColor="text1"/>
          <w:lang w:val="uk-UA"/>
        </w:rPr>
        <w:t xml:space="preserve">, </w:t>
      </w:r>
      <w:r w:rsidR="0040613B">
        <w:rPr>
          <w:rFonts w:ascii="Times New Roman" w:hAnsi="Times New Roman" w:cs="Times New Roman"/>
          <w:color w:val="000000" w:themeColor="text1"/>
          <w:lang w:val="uk-UA"/>
        </w:rPr>
        <w:t>необхідно проявляти</w:t>
      </w:r>
      <w:r w:rsidR="0040613B" w:rsidRPr="00B909D3">
        <w:rPr>
          <w:rFonts w:ascii="Times New Roman" w:hAnsi="Times New Roman" w:cs="Times New Roman"/>
          <w:color w:val="000000" w:themeColor="text1"/>
          <w:lang w:val="uk-UA"/>
        </w:rPr>
        <w:t xml:space="preserve"> деяку обережність </w:t>
      </w:r>
      <w:r w:rsidR="0040613B">
        <w:rPr>
          <w:rFonts w:ascii="Times New Roman" w:hAnsi="Times New Roman" w:cs="Times New Roman"/>
          <w:color w:val="000000" w:themeColor="text1"/>
          <w:lang w:val="uk-UA"/>
        </w:rPr>
        <w:t>через вузький терапевтичний індекс, так само як і з</w:t>
      </w:r>
      <w:r w:rsidR="00B909D3" w:rsidRPr="00B909D3">
        <w:rPr>
          <w:rFonts w:ascii="Times New Roman" w:hAnsi="Times New Roman" w:cs="Times New Roman"/>
          <w:color w:val="000000" w:themeColor="text1"/>
          <w:lang w:val="uk-UA"/>
        </w:rPr>
        <w:t xml:space="preserve"> </w:t>
      </w:r>
      <w:r w:rsidR="0040613B">
        <w:rPr>
          <w:rFonts w:ascii="Times New Roman" w:hAnsi="Times New Roman" w:cs="Times New Roman"/>
          <w:color w:val="000000" w:themeColor="text1"/>
          <w:lang w:val="uk-UA"/>
        </w:rPr>
        <w:t>лікарськими препаратами</w:t>
      </w:r>
      <w:r w:rsidR="00525692">
        <w:rPr>
          <w:rFonts w:ascii="Times New Roman" w:hAnsi="Times New Roman" w:cs="Times New Roman"/>
          <w:color w:val="000000" w:themeColor="text1"/>
          <w:lang w:val="uk-UA"/>
        </w:rPr>
        <w:t>,</w:t>
      </w:r>
      <w:r w:rsidR="0040613B">
        <w:rPr>
          <w:rFonts w:ascii="Times New Roman" w:hAnsi="Times New Roman" w:cs="Times New Roman"/>
          <w:color w:val="000000" w:themeColor="text1"/>
          <w:lang w:val="uk-UA"/>
        </w:rPr>
        <w:t xml:space="preserve"> </w:t>
      </w:r>
      <w:r w:rsidR="00525692">
        <w:rPr>
          <w:rFonts w:ascii="Times New Roman" w:hAnsi="Times New Roman" w:cs="Times New Roman"/>
          <w:color w:val="000000" w:themeColor="text1"/>
          <w:lang w:val="uk-UA"/>
        </w:rPr>
        <w:t>такими</w:t>
      </w:r>
      <w:r w:rsidR="00B909D3" w:rsidRPr="00B909D3">
        <w:rPr>
          <w:rFonts w:ascii="Times New Roman" w:hAnsi="Times New Roman" w:cs="Times New Roman"/>
          <w:color w:val="000000" w:themeColor="text1"/>
          <w:lang w:val="uk-UA"/>
        </w:rPr>
        <w:t xml:space="preserve"> </w:t>
      </w:r>
      <w:r w:rsidR="0040613B">
        <w:rPr>
          <w:rFonts w:ascii="Times New Roman" w:hAnsi="Times New Roman" w:cs="Times New Roman"/>
          <w:color w:val="000000" w:themeColor="text1"/>
          <w:lang w:val="uk-UA"/>
        </w:rPr>
        <w:t xml:space="preserve">як </w:t>
      </w:r>
      <w:r w:rsidR="00B909D3" w:rsidRPr="00B909D3">
        <w:rPr>
          <w:rFonts w:ascii="Times New Roman" w:hAnsi="Times New Roman" w:cs="Times New Roman"/>
          <w:color w:val="000000" w:themeColor="text1"/>
          <w:lang w:val="uk-UA"/>
        </w:rPr>
        <w:t>кветиапін, тоді як пацієнтам з більш високими дозами може знадобитися додатковий контр</w:t>
      </w:r>
      <w:r w:rsidR="0040613B">
        <w:rPr>
          <w:rFonts w:ascii="Times New Roman" w:hAnsi="Times New Roman" w:cs="Times New Roman"/>
          <w:color w:val="000000" w:themeColor="text1"/>
          <w:lang w:val="uk-UA"/>
        </w:rPr>
        <w:t>оль, зменшення дози та/</w:t>
      </w:r>
      <w:r w:rsidR="00B909D3" w:rsidRPr="00B909D3">
        <w:rPr>
          <w:rFonts w:ascii="Times New Roman" w:hAnsi="Times New Roman" w:cs="Times New Roman"/>
          <w:color w:val="000000" w:themeColor="text1"/>
          <w:lang w:val="uk-UA"/>
        </w:rPr>
        <w:t>або ЕКГ.</w:t>
      </w:r>
    </w:p>
    <w:p w14:paraId="3D7610DB" w14:textId="77777777" w:rsidR="0040613B" w:rsidRDefault="0040613B" w:rsidP="00F53078">
      <w:pPr>
        <w:tabs>
          <w:tab w:val="left" w:pos="1089"/>
        </w:tabs>
        <w:ind w:left="360"/>
        <w:jc w:val="both"/>
        <w:rPr>
          <w:rFonts w:ascii="Times New Roman" w:hAnsi="Times New Roman" w:cs="Times New Roman"/>
          <w:color w:val="000000" w:themeColor="text1"/>
          <w:lang w:val="uk-UA"/>
        </w:rPr>
      </w:pPr>
    </w:p>
    <w:p w14:paraId="327E517E" w14:textId="477D9352" w:rsidR="00B909D3" w:rsidRPr="00B909D3" w:rsidRDefault="00B909D3" w:rsidP="00F53078">
      <w:pPr>
        <w:tabs>
          <w:tab w:val="left" w:pos="1089"/>
        </w:tabs>
        <w:ind w:left="360"/>
        <w:jc w:val="both"/>
        <w:rPr>
          <w:rFonts w:ascii="Times New Roman" w:hAnsi="Times New Roman" w:cs="Times New Roman"/>
          <w:color w:val="000000" w:themeColor="text1"/>
          <w:lang w:val="uk-UA"/>
        </w:rPr>
      </w:pPr>
      <w:r w:rsidRPr="00B909D3">
        <w:rPr>
          <w:rFonts w:ascii="Times New Roman" w:hAnsi="Times New Roman" w:cs="Times New Roman"/>
          <w:color w:val="000000" w:themeColor="text1"/>
          <w:lang w:val="uk-UA"/>
        </w:rPr>
        <w:t>Для ж</w:t>
      </w:r>
      <w:r w:rsidR="00960644">
        <w:rPr>
          <w:rFonts w:ascii="Times New Roman" w:hAnsi="Times New Roman" w:cs="Times New Roman"/>
          <w:color w:val="000000" w:themeColor="text1"/>
          <w:lang w:val="uk-UA"/>
        </w:rPr>
        <w:t xml:space="preserve">інок </w:t>
      </w:r>
      <w:r w:rsidR="00525692">
        <w:rPr>
          <w:rFonts w:ascii="Times New Roman" w:hAnsi="Times New Roman" w:cs="Times New Roman"/>
          <w:color w:val="000000" w:themeColor="text1"/>
          <w:lang w:val="uk-UA"/>
        </w:rPr>
        <w:t>репродуктив</w:t>
      </w:r>
      <w:r w:rsidR="00960644">
        <w:rPr>
          <w:rFonts w:ascii="Times New Roman" w:hAnsi="Times New Roman" w:cs="Times New Roman"/>
          <w:color w:val="000000" w:themeColor="text1"/>
          <w:lang w:val="uk-UA"/>
        </w:rPr>
        <w:t xml:space="preserve">ного віку </w:t>
      </w:r>
      <w:r w:rsidR="00525692">
        <w:rPr>
          <w:rFonts w:ascii="Times New Roman" w:hAnsi="Times New Roman" w:cs="Times New Roman"/>
          <w:color w:val="000000" w:themeColor="text1"/>
          <w:lang w:val="uk-UA"/>
        </w:rPr>
        <w:t>одночасне</w:t>
      </w:r>
      <w:r w:rsidRPr="00B909D3">
        <w:rPr>
          <w:rFonts w:ascii="Times New Roman" w:hAnsi="Times New Roman" w:cs="Times New Roman"/>
          <w:color w:val="000000" w:themeColor="text1"/>
          <w:lang w:val="uk-UA"/>
        </w:rPr>
        <w:t xml:space="preserve"> застосування контрацептивів, що містять етинілестрадіол, протипоказане через ризик підвищення АЛТ. Прогестоген</w:t>
      </w:r>
      <w:r w:rsidR="00FC6D8A">
        <w:rPr>
          <w:rFonts w:ascii="Times New Roman" w:hAnsi="Times New Roman" w:cs="Times New Roman"/>
          <w:color w:val="000000" w:themeColor="text1"/>
          <w:lang w:val="uk-UA"/>
        </w:rPr>
        <w:t>–</w:t>
      </w:r>
      <w:r w:rsidRPr="00B909D3">
        <w:rPr>
          <w:rFonts w:ascii="Times New Roman" w:hAnsi="Times New Roman" w:cs="Times New Roman"/>
          <w:color w:val="000000" w:themeColor="text1"/>
          <w:lang w:val="uk-UA"/>
        </w:rPr>
        <w:t>контрацепція допускається.</w:t>
      </w:r>
    </w:p>
    <w:p w14:paraId="3C55B143" w14:textId="77777777" w:rsidR="00960644" w:rsidRDefault="00960644" w:rsidP="00F53078">
      <w:pPr>
        <w:tabs>
          <w:tab w:val="left" w:pos="1089"/>
        </w:tabs>
        <w:ind w:left="360"/>
        <w:jc w:val="both"/>
        <w:rPr>
          <w:rFonts w:ascii="Times New Roman" w:hAnsi="Times New Roman" w:cs="Times New Roman"/>
          <w:color w:val="000000" w:themeColor="text1"/>
          <w:lang w:val="uk-UA"/>
        </w:rPr>
      </w:pPr>
    </w:p>
    <w:p w14:paraId="31D11428" w14:textId="0E648848" w:rsidR="00B909D3" w:rsidRDefault="00960644" w:rsidP="00F53078">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Як і в інших ПППД</w:t>
      </w:r>
      <w:r w:rsidR="00B909D3" w:rsidRPr="00B909D3">
        <w:rPr>
          <w:rFonts w:ascii="Times New Roman" w:hAnsi="Times New Roman" w:cs="Times New Roman"/>
          <w:color w:val="000000" w:themeColor="text1"/>
          <w:lang w:val="uk-UA"/>
        </w:rPr>
        <w:t xml:space="preserve">, розчинність </w:t>
      </w:r>
      <w:r>
        <w:rPr>
          <w:rFonts w:ascii="Times New Roman" w:hAnsi="Times New Roman" w:cs="Times New Roman"/>
          <w:color w:val="000000" w:themeColor="text1"/>
          <w:lang w:val="uk-UA"/>
        </w:rPr>
        <w:t>глекапревіру</w:t>
      </w:r>
      <w:r w:rsidR="00B909D3" w:rsidRPr="00B909D3">
        <w:rPr>
          <w:rFonts w:ascii="Times New Roman" w:hAnsi="Times New Roman" w:cs="Times New Roman"/>
          <w:color w:val="000000" w:themeColor="text1"/>
          <w:lang w:val="uk-UA"/>
        </w:rPr>
        <w:t xml:space="preserve"> зменшується при збільшенні рН. </w:t>
      </w:r>
      <w:r w:rsidR="00B909D3" w:rsidRPr="008A50B6">
        <w:rPr>
          <w:rFonts w:ascii="Times New Roman" w:hAnsi="Times New Roman" w:cs="Times New Roman"/>
          <w:color w:val="000000" w:themeColor="text1"/>
          <w:lang w:val="uk-UA"/>
        </w:rPr>
        <w:t>C</w:t>
      </w:r>
      <w:r w:rsidR="00B909D3" w:rsidRPr="008A50B6">
        <w:rPr>
          <w:rFonts w:ascii="Times New Roman" w:hAnsi="Times New Roman" w:cs="Times New Roman"/>
          <w:b/>
          <w:color w:val="000000" w:themeColor="text1"/>
          <w:vertAlign w:val="subscript"/>
          <w:lang w:val="uk-UA"/>
        </w:rPr>
        <w:t>max</w:t>
      </w:r>
      <w:r w:rsidRPr="008A50B6">
        <w:rPr>
          <w:rFonts w:ascii="Times New Roman" w:hAnsi="Times New Roman" w:cs="Times New Roman"/>
          <w:color w:val="000000" w:themeColor="text1"/>
          <w:lang w:val="uk-UA"/>
        </w:rPr>
        <w:t xml:space="preserve"> глекапревір</w:t>
      </w:r>
      <w:r w:rsidR="00B909D3" w:rsidRPr="008A50B6">
        <w:rPr>
          <w:rFonts w:ascii="Times New Roman" w:hAnsi="Times New Roman" w:cs="Times New Roman"/>
          <w:color w:val="000000" w:themeColor="text1"/>
          <w:lang w:val="uk-UA"/>
        </w:rPr>
        <w:t xml:space="preserve"> зменшується в середньому на 64% при одночасному застосуванні з омепразолом</w:t>
      </w:r>
      <w:r w:rsidR="00B909D3" w:rsidRPr="00B909D3">
        <w:rPr>
          <w:rFonts w:ascii="Times New Roman" w:hAnsi="Times New Roman" w:cs="Times New Roman"/>
          <w:color w:val="000000" w:themeColor="text1"/>
          <w:lang w:val="uk-UA"/>
        </w:rPr>
        <w:t xml:space="preserve"> у </w:t>
      </w:r>
      <w:r>
        <w:rPr>
          <w:rFonts w:ascii="Times New Roman" w:hAnsi="Times New Roman" w:cs="Times New Roman"/>
          <w:color w:val="000000" w:themeColor="text1"/>
          <w:lang w:val="uk-UA"/>
        </w:rPr>
        <w:t>дозуванні 40 мг. Інструкція</w:t>
      </w:r>
      <w:r w:rsidR="00B909D3" w:rsidRPr="00B909D3">
        <w:rPr>
          <w:rFonts w:ascii="Times New Roman" w:hAnsi="Times New Roman" w:cs="Times New Roman"/>
          <w:color w:val="000000" w:themeColor="text1"/>
          <w:lang w:val="uk-UA"/>
        </w:rPr>
        <w:t xml:space="preserve"> зазначає, що не рекомендується змінювати дозу. Проте </w:t>
      </w:r>
      <w:r>
        <w:rPr>
          <w:rFonts w:ascii="Times New Roman" w:hAnsi="Times New Roman" w:cs="Times New Roman"/>
          <w:color w:val="000000" w:themeColor="text1"/>
          <w:lang w:val="uk-UA"/>
        </w:rPr>
        <w:t>призначення</w:t>
      </w:r>
      <w:r w:rsidR="00B909D3" w:rsidRPr="00B909D3">
        <w:rPr>
          <w:rFonts w:ascii="Times New Roman" w:hAnsi="Times New Roman" w:cs="Times New Roman"/>
          <w:color w:val="000000" w:themeColor="text1"/>
          <w:lang w:val="uk-UA"/>
        </w:rPr>
        <w:t xml:space="preserve"> доз</w:t>
      </w:r>
      <w:r>
        <w:rPr>
          <w:rFonts w:ascii="Times New Roman" w:hAnsi="Times New Roman" w:cs="Times New Roman"/>
          <w:color w:val="000000" w:themeColor="text1"/>
          <w:lang w:val="uk-UA"/>
        </w:rPr>
        <w:t>ування</w:t>
      </w:r>
      <w:r w:rsidR="00B909D3" w:rsidRPr="00B909D3">
        <w:rPr>
          <w:rFonts w:ascii="Times New Roman" w:hAnsi="Times New Roman" w:cs="Times New Roman"/>
          <w:color w:val="000000" w:themeColor="text1"/>
          <w:lang w:val="uk-UA"/>
        </w:rPr>
        <w:t xml:space="preserve"> омепразолу, що перевищує 40 мг або екв</w:t>
      </w:r>
      <w:r>
        <w:rPr>
          <w:rFonts w:ascii="Times New Roman" w:hAnsi="Times New Roman" w:cs="Times New Roman"/>
          <w:color w:val="000000" w:themeColor="text1"/>
          <w:lang w:val="uk-UA"/>
        </w:rPr>
        <w:t>івалентного</w:t>
      </w:r>
      <w:r w:rsidR="00B909D3" w:rsidRPr="00B909D3">
        <w:rPr>
          <w:rFonts w:ascii="Times New Roman" w:hAnsi="Times New Roman" w:cs="Times New Roman"/>
          <w:color w:val="000000" w:themeColor="text1"/>
          <w:lang w:val="uk-UA"/>
        </w:rPr>
        <w:t xml:space="preserve"> (табл. 5), з </w:t>
      </w:r>
      <w:r>
        <w:rPr>
          <w:rFonts w:ascii="Times New Roman" w:hAnsi="Times New Roman" w:cs="Times New Roman"/>
          <w:color w:val="000000" w:themeColor="text1"/>
          <w:lang w:val="uk-UA"/>
        </w:rPr>
        <w:t>глекапревір</w:t>
      </w:r>
      <w:r w:rsidR="00B909D3" w:rsidRPr="00B909D3">
        <w:rPr>
          <w:rFonts w:ascii="Times New Roman" w:hAnsi="Times New Roman" w:cs="Times New Roman"/>
          <w:color w:val="000000" w:themeColor="text1"/>
          <w:lang w:val="uk-UA"/>
        </w:rPr>
        <w:t xml:space="preserve">ом та пібрастасвіром </w:t>
      </w:r>
      <w:r>
        <w:rPr>
          <w:rFonts w:ascii="Times New Roman" w:hAnsi="Times New Roman" w:cs="Times New Roman"/>
          <w:color w:val="000000" w:themeColor="text1"/>
          <w:lang w:val="uk-UA"/>
        </w:rPr>
        <w:t>ще не вивчене і може</w:t>
      </w:r>
      <w:r w:rsidR="00B909D3" w:rsidRPr="00B909D3">
        <w:rPr>
          <w:rFonts w:ascii="Times New Roman" w:hAnsi="Times New Roman" w:cs="Times New Roman"/>
          <w:color w:val="000000" w:themeColor="text1"/>
          <w:lang w:val="uk-UA"/>
        </w:rPr>
        <w:t xml:space="preserve"> призвести до більшо</w:t>
      </w:r>
      <w:r>
        <w:rPr>
          <w:rFonts w:ascii="Times New Roman" w:hAnsi="Times New Roman" w:cs="Times New Roman"/>
          <w:color w:val="000000" w:themeColor="text1"/>
          <w:lang w:val="uk-UA"/>
        </w:rPr>
        <w:t>го зниження концентрації глекапревіру</w:t>
      </w:r>
      <w:r w:rsidR="00B909D3" w:rsidRPr="00B909D3">
        <w:rPr>
          <w:rFonts w:ascii="Times New Roman" w:hAnsi="Times New Roman" w:cs="Times New Roman"/>
          <w:color w:val="000000" w:themeColor="text1"/>
          <w:lang w:val="uk-UA"/>
        </w:rPr>
        <w:t>.</w:t>
      </w:r>
    </w:p>
    <w:p w14:paraId="41CCF5F7" w14:textId="77777777" w:rsidR="00960644" w:rsidRDefault="00960644" w:rsidP="00F53078">
      <w:pPr>
        <w:tabs>
          <w:tab w:val="left" w:pos="1089"/>
        </w:tabs>
        <w:ind w:left="360"/>
        <w:jc w:val="both"/>
        <w:rPr>
          <w:rFonts w:ascii="Times New Roman" w:hAnsi="Times New Roman" w:cs="Times New Roman"/>
          <w:color w:val="000000" w:themeColor="text1"/>
          <w:lang w:val="uk-UA"/>
        </w:rPr>
      </w:pPr>
    </w:p>
    <w:p w14:paraId="6F04ED54" w14:textId="5747471A" w:rsidR="00960644" w:rsidRDefault="00195898" w:rsidP="00F53078">
      <w:pPr>
        <w:tabs>
          <w:tab w:val="left" w:pos="1089"/>
        </w:tabs>
        <w:ind w:left="360"/>
        <w:jc w:val="both"/>
        <w:rPr>
          <w:rFonts w:ascii="Times New Roman" w:hAnsi="Times New Roman" w:cs="Times New Roman"/>
          <w:color w:val="000000" w:themeColor="text1"/>
          <w:lang w:val="uk-UA"/>
        </w:rPr>
      </w:pPr>
      <w:r w:rsidRPr="00195898">
        <w:rPr>
          <w:rFonts w:ascii="Times New Roman" w:hAnsi="Times New Roman" w:cs="Times New Roman"/>
          <w:color w:val="000000" w:themeColor="text1"/>
          <w:lang w:val="uk-UA"/>
        </w:rPr>
        <w:t xml:space="preserve">У </w:t>
      </w:r>
      <w:r w:rsidR="00AD2793" w:rsidRPr="00195898">
        <w:rPr>
          <w:rFonts w:ascii="Times New Roman" w:hAnsi="Times New Roman" w:cs="Times New Roman"/>
          <w:color w:val="000000" w:themeColor="text1"/>
          <w:lang w:val="uk-UA"/>
        </w:rPr>
        <w:t xml:space="preserve">пацієнтів </w:t>
      </w:r>
      <w:r w:rsidR="00AD2793">
        <w:rPr>
          <w:rFonts w:ascii="Times New Roman" w:hAnsi="Times New Roman" w:cs="Times New Roman"/>
          <w:color w:val="000000" w:themeColor="text1"/>
          <w:lang w:val="uk-UA"/>
        </w:rPr>
        <w:t>з ко</w:t>
      </w:r>
      <w:r w:rsidR="00AD2793" w:rsidRPr="00195898">
        <w:rPr>
          <w:rFonts w:ascii="Times New Roman" w:hAnsi="Times New Roman" w:cs="Times New Roman"/>
          <w:color w:val="000000" w:themeColor="text1"/>
          <w:lang w:val="uk-UA"/>
        </w:rPr>
        <w:t>інфекцією</w:t>
      </w:r>
      <w:r w:rsidRPr="00195898">
        <w:rPr>
          <w:rFonts w:ascii="Times New Roman" w:hAnsi="Times New Roman" w:cs="Times New Roman"/>
          <w:color w:val="000000" w:themeColor="text1"/>
          <w:lang w:val="uk-UA"/>
        </w:rPr>
        <w:t xml:space="preserve"> ВІЛ</w:t>
      </w:r>
      <w:r w:rsidR="00FC6D8A">
        <w:rPr>
          <w:rFonts w:ascii="Times New Roman" w:hAnsi="Times New Roman" w:cs="Times New Roman"/>
          <w:color w:val="000000" w:themeColor="text1"/>
          <w:lang w:val="uk-UA"/>
        </w:rPr>
        <w:t>–</w:t>
      </w:r>
      <w:r w:rsidR="00AD2793">
        <w:rPr>
          <w:rFonts w:ascii="Times New Roman" w:hAnsi="Times New Roman" w:cs="Times New Roman"/>
          <w:color w:val="000000" w:themeColor="text1"/>
          <w:lang w:val="uk-UA"/>
        </w:rPr>
        <w:t>ВГС через механізми, описані вище, глікапревір/пібрентасвір протипоказані зі</w:t>
      </w:r>
      <w:r w:rsidRPr="00195898">
        <w:rPr>
          <w:rFonts w:ascii="Times New Roman" w:hAnsi="Times New Roman" w:cs="Times New Roman"/>
          <w:color w:val="000000" w:themeColor="text1"/>
          <w:lang w:val="uk-UA"/>
        </w:rPr>
        <w:t xml:space="preserve"> </w:t>
      </w:r>
      <w:r w:rsidR="00AD2793">
        <w:rPr>
          <w:rFonts w:ascii="Times New Roman" w:hAnsi="Times New Roman" w:cs="Times New Roman"/>
          <w:color w:val="000000" w:themeColor="text1"/>
          <w:lang w:val="uk-UA"/>
        </w:rPr>
        <w:t>схемами</w:t>
      </w:r>
      <w:r w:rsidRPr="00195898">
        <w:rPr>
          <w:rFonts w:ascii="Times New Roman" w:hAnsi="Times New Roman" w:cs="Times New Roman"/>
          <w:color w:val="000000" w:themeColor="text1"/>
          <w:lang w:val="uk-UA"/>
        </w:rPr>
        <w:t>, що міс</w:t>
      </w:r>
      <w:r w:rsidR="00AD2793">
        <w:rPr>
          <w:rFonts w:ascii="Times New Roman" w:hAnsi="Times New Roman" w:cs="Times New Roman"/>
          <w:color w:val="000000" w:themeColor="text1"/>
          <w:lang w:val="uk-UA"/>
        </w:rPr>
        <w:t>тять атазанавір, і не рекомендую</w:t>
      </w:r>
      <w:r w:rsidRPr="00195898">
        <w:rPr>
          <w:rFonts w:ascii="Times New Roman" w:hAnsi="Times New Roman" w:cs="Times New Roman"/>
          <w:color w:val="000000" w:themeColor="text1"/>
          <w:lang w:val="uk-UA"/>
        </w:rPr>
        <w:t>ться з іншими інгібіторами протеази ВІЛ. Подібним чином</w:t>
      </w:r>
      <w:r w:rsidR="00AD2793">
        <w:rPr>
          <w:rFonts w:ascii="Times New Roman" w:hAnsi="Times New Roman" w:cs="Times New Roman"/>
          <w:color w:val="000000" w:themeColor="text1"/>
          <w:lang w:val="uk-UA"/>
        </w:rPr>
        <w:t>, не нуклеозидні</w:t>
      </w:r>
      <w:r w:rsidRPr="00195898">
        <w:rPr>
          <w:rFonts w:ascii="Times New Roman" w:hAnsi="Times New Roman" w:cs="Times New Roman"/>
          <w:color w:val="000000" w:themeColor="text1"/>
          <w:lang w:val="uk-UA"/>
        </w:rPr>
        <w:t xml:space="preserve"> інгібітори зворотної транскриптази, </w:t>
      </w:r>
      <w:r w:rsidR="00187E20">
        <w:rPr>
          <w:rFonts w:ascii="Times New Roman" w:hAnsi="Times New Roman" w:cs="Times New Roman"/>
          <w:color w:val="000000" w:themeColor="text1"/>
          <w:lang w:val="uk-UA"/>
        </w:rPr>
        <w:t>ефавіренц</w:t>
      </w:r>
      <w:r w:rsidRPr="00195898">
        <w:rPr>
          <w:rFonts w:ascii="Times New Roman" w:hAnsi="Times New Roman" w:cs="Times New Roman"/>
          <w:color w:val="000000" w:themeColor="text1"/>
          <w:lang w:val="uk-UA"/>
        </w:rPr>
        <w:t>, етруїн і невірапін, не рекомендуються чере</w:t>
      </w:r>
      <w:r w:rsidR="00AD2793">
        <w:rPr>
          <w:rFonts w:ascii="Times New Roman" w:hAnsi="Times New Roman" w:cs="Times New Roman"/>
          <w:color w:val="000000" w:themeColor="text1"/>
          <w:lang w:val="uk-UA"/>
        </w:rPr>
        <w:t xml:space="preserve">з очікуване зменшення </w:t>
      </w:r>
      <w:r w:rsidR="00AD2793">
        <w:rPr>
          <w:rFonts w:ascii="Times New Roman" w:hAnsi="Times New Roman" w:cs="Times New Roman"/>
          <w:color w:val="000000" w:themeColor="text1"/>
          <w:lang w:val="en-US"/>
        </w:rPr>
        <w:t>AUC</w:t>
      </w:r>
      <w:r w:rsidRPr="00195898">
        <w:rPr>
          <w:rFonts w:ascii="Times New Roman" w:hAnsi="Times New Roman" w:cs="Times New Roman"/>
          <w:color w:val="000000" w:themeColor="text1"/>
          <w:lang w:val="uk-UA"/>
        </w:rPr>
        <w:t xml:space="preserve"> глекапревір</w:t>
      </w:r>
      <w:r w:rsidR="00AD2793">
        <w:rPr>
          <w:rFonts w:ascii="Times New Roman" w:hAnsi="Times New Roman" w:cs="Times New Roman"/>
          <w:color w:val="000000" w:themeColor="text1"/>
          <w:lang w:val="uk-UA"/>
        </w:rPr>
        <w:t>у/</w:t>
      </w:r>
      <w:r w:rsidRPr="00195898">
        <w:rPr>
          <w:rFonts w:ascii="Times New Roman" w:hAnsi="Times New Roman" w:cs="Times New Roman"/>
          <w:color w:val="000000" w:themeColor="text1"/>
          <w:lang w:val="uk-UA"/>
        </w:rPr>
        <w:t>пібранасвір</w:t>
      </w:r>
      <w:r w:rsidR="00AD2793">
        <w:rPr>
          <w:rFonts w:ascii="Times New Roman" w:hAnsi="Times New Roman" w:cs="Times New Roman"/>
          <w:color w:val="000000" w:themeColor="text1"/>
          <w:lang w:val="uk-UA"/>
        </w:rPr>
        <w:t>у</w:t>
      </w:r>
      <w:r w:rsidRPr="00195898">
        <w:rPr>
          <w:rFonts w:ascii="Times New Roman" w:hAnsi="Times New Roman" w:cs="Times New Roman"/>
          <w:color w:val="000000" w:themeColor="text1"/>
          <w:lang w:val="uk-UA"/>
        </w:rPr>
        <w:t xml:space="preserve">. Всі інші антиретровірусні препарати можуть </w:t>
      </w:r>
      <w:r w:rsidR="00AD2793">
        <w:rPr>
          <w:rFonts w:ascii="Times New Roman" w:hAnsi="Times New Roman" w:cs="Times New Roman"/>
          <w:color w:val="000000" w:themeColor="text1"/>
          <w:lang w:val="uk-UA"/>
        </w:rPr>
        <w:t>прийматися спільно</w:t>
      </w:r>
      <w:r w:rsidRPr="00195898">
        <w:rPr>
          <w:rFonts w:ascii="Times New Roman" w:hAnsi="Times New Roman" w:cs="Times New Roman"/>
          <w:color w:val="000000" w:themeColor="text1"/>
          <w:lang w:val="uk-UA"/>
        </w:rPr>
        <w:t>, у тому числі кобіцистат при застосуванні з інгібітором інтегрази елвітегравір.</w:t>
      </w:r>
    </w:p>
    <w:p w14:paraId="400FD351" w14:textId="77777777" w:rsidR="00195898" w:rsidRDefault="00195898" w:rsidP="00B909D3">
      <w:pPr>
        <w:tabs>
          <w:tab w:val="left" w:pos="1089"/>
        </w:tabs>
        <w:ind w:left="360"/>
        <w:rPr>
          <w:rFonts w:ascii="Times New Roman" w:hAnsi="Times New Roman" w:cs="Times New Roman"/>
          <w:color w:val="000000" w:themeColor="text1"/>
          <w:lang w:val="uk-UA"/>
        </w:rPr>
      </w:pPr>
    </w:p>
    <w:tbl>
      <w:tblPr>
        <w:tblStyle w:val="a6"/>
        <w:tblW w:w="0" w:type="auto"/>
        <w:tblInd w:w="360" w:type="dxa"/>
        <w:tblLook w:val="04A0" w:firstRow="1" w:lastRow="0" w:firstColumn="1" w:lastColumn="0" w:noHBand="0" w:noVBand="1"/>
      </w:tblPr>
      <w:tblGrid>
        <w:gridCol w:w="9546"/>
      </w:tblGrid>
      <w:tr w:rsidR="00195898" w:rsidRPr="00652F9A" w14:paraId="03E21C37" w14:textId="77777777" w:rsidTr="009C0881">
        <w:tc>
          <w:tcPr>
            <w:tcW w:w="9906" w:type="dxa"/>
            <w:shd w:val="clear" w:color="auto" w:fill="DEEAF6" w:themeFill="accent1" w:themeFillTint="33"/>
          </w:tcPr>
          <w:p w14:paraId="1175412C" w14:textId="77777777" w:rsidR="009C0881" w:rsidRPr="008624D2" w:rsidRDefault="009C0881" w:rsidP="009C0881">
            <w:pPr>
              <w:tabs>
                <w:tab w:val="left" w:pos="1089"/>
              </w:tabs>
              <w:rPr>
                <w:rFonts w:ascii="Times New Roman" w:hAnsi="Times New Roman" w:cs="Times New Roman"/>
                <w:b/>
                <w:color w:val="5B9BD5" w:themeColor="accent1"/>
                <w:lang w:val="uk-UA"/>
              </w:rPr>
            </w:pPr>
            <w:r w:rsidRPr="008624D2">
              <w:rPr>
                <w:rFonts w:ascii="Times New Roman" w:hAnsi="Times New Roman" w:cs="Times New Roman"/>
                <w:b/>
                <w:color w:val="5B9BD5" w:themeColor="accent1"/>
                <w:lang w:val="uk-UA"/>
              </w:rPr>
              <w:t>Рекомендації</w:t>
            </w:r>
          </w:p>
          <w:p w14:paraId="5A51DF8B" w14:textId="50198DA3" w:rsidR="009C0881" w:rsidRPr="009C0881" w:rsidRDefault="00350FCD" w:rsidP="00015E3B">
            <w:pPr>
              <w:pStyle w:val="a9"/>
              <w:numPr>
                <w:ilvl w:val="0"/>
                <w:numId w:val="4"/>
              </w:numPr>
              <w:tabs>
                <w:tab w:val="left" w:pos="1089"/>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М</w:t>
            </w:r>
            <w:r w:rsidRPr="009C0881">
              <w:rPr>
                <w:rFonts w:ascii="Times New Roman" w:hAnsi="Times New Roman" w:cs="Times New Roman"/>
                <w:color w:val="000000" w:themeColor="text1"/>
                <w:lang w:val="uk-UA"/>
              </w:rPr>
              <w:t xml:space="preserve">ожливі </w:t>
            </w:r>
            <w:r w:rsidR="008624D2">
              <w:rPr>
                <w:rFonts w:ascii="Times New Roman" w:hAnsi="Times New Roman" w:cs="Times New Roman"/>
                <w:color w:val="000000" w:themeColor="text1"/>
                <w:lang w:val="uk-UA"/>
              </w:rPr>
              <w:t>ч</w:t>
            </w:r>
            <w:r w:rsidR="009C0881" w:rsidRPr="009C0881">
              <w:rPr>
                <w:rFonts w:ascii="Times New Roman" w:hAnsi="Times New Roman" w:cs="Times New Roman"/>
                <w:color w:val="000000" w:themeColor="text1"/>
                <w:lang w:val="uk-UA"/>
              </w:rPr>
              <w:t>ис</w:t>
            </w:r>
            <w:r w:rsidR="008624D2">
              <w:rPr>
                <w:rFonts w:ascii="Times New Roman" w:hAnsi="Times New Roman" w:cs="Times New Roman"/>
                <w:color w:val="000000" w:themeColor="text1"/>
                <w:lang w:val="uk-UA"/>
              </w:rPr>
              <w:t>ленні та комплексні</w:t>
            </w:r>
            <w:r w:rsidR="009C0881" w:rsidRPr="009C0881">
              <w:rPr>
                <w:rFonts w:ascii="Times New Roman" w:hAnsi="Times New Roman" w:cs="Times New Roman"/>
                <w:color w:val="000000" w:themeColor="text1"/>
                <w:lang w:val="uk-UA"/>
              </w:rPr>
              <w:t xml:space="preserve"> взаємодії </w:t>
            </w:r>
            <w:r w:rsidR="00525692">
              <w:rPr>
                <w:rFonts w:ascii="Times New Roman" w:hAnsi="Times New Roman" w:cs="Times New Roman"/>
                <w:color w:val="000000" w:themeColor="text1"/>
                <w:lang w:val="uk-UA"/>
              </w:rPr>
              <w:t xml:space="preserve">між </w:t>
            </w:r>
            <w:r w:rsidR="008624D2">
              <w:rPr>
                <w:rFonts w:ascii="Times New Roman" w:hAnsi="Times New Roman" w:cs="Times New Roman"/>
                <w:color w:val="000000" w:themeColor="text1"/>
                <w:lang w:val="uk-UA"/>
              </w:rPr>
              <w:t xml:space="preserve">ПППД </w:t>
            </w:r>
            <w:r w:rsidR="00525692">
              <w:rPr>
                <w:rFonts w:ascii="Times New Roman" w:hAnsi="Times New Roman" w:cs="Times New Roman"/>
                <w:color w:val="000000" w:themeColor="text1"/>
                <w:lang w:val="uk-UA"/>
              </w:rPr>
              <w:t xml:space="preserve">та </w:t>
            </w:r>
            <w:r w:rsidR="008624D2">
              <w:rPr>
                <w:rFonts w:ascii="Times New Roman" w:hAnsi="Times New Roman" w:cs="Times New Roman"/>
                <w:color w:val="000000" w:themeColor="text1"/>
                <w:lang w:val="uk-UA"/>
              </w:rPr>
              <w:t xml:space="preserve">іншими </w:t>
            </w:r>
            <w:r w:rsidR="009C0881" w:rsidRPr="009C0881">
              <w:rPr>
                <w:rFonts w:ascii="Times New Roman" w:hAnsi="Times New Roman" w:cs="Times New Roman"/>
                <w:color w:val="000000" w:themeColor="text1"/>
                <w:lang w:val="uk-UA"/>
              </w:rPr>
              <w:t>лік</w:t>
            </w:r>
            <w:r w:rsidR="008624D2">
              <w:rPr>
                <w:rFonts w:ascii="Times New Roman" w:hAnsi="Times New Roman" w:cs="Times New Roman"/>
                <w:color w:val="000000" w:themeColor="text1"/>
                <w:lang w:val="uk-UA"/>
              </w:rPr>
              <w:t xml:space="preserve">арськими </w:t>
            </w:r>
            <w:r w:rsidR="00525692">
              <w:rPr>
                <w:rFonts w:ascii="Times New Roman" w:hAnsi="Times New Roman" w:cs="Times New Roman"/>
                <w:color w:val="000000" w:themeColor="text1"/>
                <w:lang w:val="uk-UA"/>
              </w:rPr>
              <w:t>засобами</w:t>
            </w:r>
            <w:r w:rsidR="009C0881" w:rsidRPr="009C0881">
              <w:rPr>
                <w:rFonts w:ascii="Times New Roman" w:hAnsi="Times New Roman" w:cs="Times New Roman"/>
                <w:color w:val="000000" w:themeColor="text1"/>
                <w:lang w:val="uk-UA"/>
              </w:rPr>
              <w:t xml:space="preserve">. Отже, для </w:t>
            </w:r>
            <w:r w:rsidR="00525692">
              <w:rPr>
                <w:rFonts w:ascii="Times New Roman" w:hAnsi="Times New Roman" w:cs="Times New Roman"/>
                <w:color w:val="000000" w:themeColor="text1"/>
                <w:lang w:val="uk-UA"/>
              </w:rPr>
              <w:t>у</w:t>
            </w:r>
            <w:r w:rsidR="009C0881" w:rsidRPr="009C0881">
              <w:rPr>
                <w:rFonts w:ascii="Times New Roman" w:hAnsi="Times New Roman" w:cs="Times New Roman"/>
                <w:color w:val="000000" w:themeColor="text1"/>
                <w:lang w:val="uk-UA"/>
              </w:rPr>
              <w:t>сіх пацієнті</w:t>
            </w:r>
            <w:r w:rsidR="009C0881">
              <w:rPr>
                <w:rFonts w:ascii="Times New Roman" w:hAnsi="Times New Roman" w:cs="Times New Roman"/>
                <w:color w:val="000000" w:themeColor="text1"/>
                <w:lang w:val="uk-UA"/>
              </w:rPr>
              <w:t>в, які проходять лікування з ПППД</w:t>
            </w:r>
            <w:r w:rsidR="008624D2">
              <w:rPr>
                <w:rFonts w:ascii="Times New Roman" w:hAnsi="Times New Roman" w:cs="Times New Roman"/>
                <w:color w:val="000000" w:themeColor="text1"/>
                <w:lang w:val="uk-UA"/>
              </w:rPr>
              <w:t>, необхідно проводити</w:t>
            </w:r>
            <w:r w:rsidR="009C0881" w:rsidRPr="009C0881">
              <w:rPr>
                <w:rFonts w:ascii="Times New Roman" w:hAnsi="Times New Roman" w:cs="Times New Roman"/>
                <w:color w:val="000000" w:themeColor="text1"/>
                <w:lang w:val="uk-UA"/>
              </w:rPr>
              <w:t xml:space="preserve"> ретельну оцінку ризику взаємодії між лікарськими засобами до початку терапії та перед початком </w:t>
            </w:r>
            <w:r w:rsidR="00F7496C">
              <w:rPr>
                <w:rFonts w:ascii="Times New Roman" w:hAnsi="Times New Roman" w:cs="Times New Roman"/>
                <w:color w:val="000000" w:themeColor="text1"/>
                <w:lang w:val="uk-UA"/>
              </w:rPr>
              <w:t xml:space="preserve">прийому </w:t>
            </w:r>
            <w:r w:rsidR="009C0881" w:rsidRPr="009C0881">
              <w:rPr>
                <w:rFonts w:ascii="Times New Roman" w:hAnsi="Times New Roman" w:cs="Times New Roman"/>
                <w:color w:val="000000" w:themeColor="text1"/>
                <w:lang w:val="uk-UA"/>
              </w:rPr>
              <w:t xml:space="preserve">інших лікарських засобів, виходячи з інформації </w:t>
            </w:r>
            <w:r w:rsidR="00F7496C">
              <w:rPr>
                <w:rFonts w:ascii="Times New Roman" w:hAnsi="Times New Roman" w:cs="Times New Roman"/>
                <w:color w:val="000000" w:themeColor="text1"/>
                <w:lang w:val="uk-UA"/>
              </w:rPr>
              <w:t xml:space="preserve">щодо кожного окремого препарату </w:t>
            </w:r>
            <w:r w:rsidR="009C0881" w:rsidRPr="009C0881">
              <w:rPr>
                <w:rFonts w:ascii="Times New Roman" w:hAnsi="Times New Roman" w:cs="Times New Roman"/>
                <w:color w:val="000000" w:themeColor="text1"/>
                <w:lang w:val="uk-UA"/>
              </w:rPr>
              <w:t>(зведені дані про основні взаємодії можна знайти в Таблицях 4А</w:t>
            </w:r>
            <w:r w:rsidR="00FC6D8A">
              <w:rPr>
                <w:rFonts w:ascii="Times New Roman" w:hAnsi="Times New Roman" w:cs="Times New Roman"/>
                <w:color w:val="000000" w:themeColor="text1"/>
                <w:lang w:val="uk-UA"/>
              </w:rPr>
              <w:t>–</w:t>
            </w:r>
            <w:r w:rsidR="009C0881" w:rsidRPr="009C0881">
              <w:rPr>
                <w:rFonts w:ascii="Times New Roman" w:hAnsi="Times New Roman" w:cs="Times New Roman"/>
                <w:color w:val="000000" w:themeColor="text1"/>
                <w:lang w:val="uk-UA"/>
              </w:rPr>
              <w:t>G в цьому документі; ключовим Інтернет</w:t>
            </w:r>
            <w:r w:rsidR="00FC6D8A">
              <w:rPr>
                <w:rFonts w:ascii="Times New Roman" w:hAnsi="Times New Roman" w:cs="Times New Roman"/>
                <w:color w:val="000000" w:themeColor="text1"/>
                <w:lang w:val="uk-UA"/>
              </w:rPr>
              <w:t>–</w:t>
            </w:r>
            <w:r w:rsidR="009C0881" w:rsidRPr="009C0881">
              <w:rPr>
                <w:rFonts w:ascii="Times New Roman" w:hAnsi="Times New Roman" w:cs="Times New Roman"/>
                <w:color w:val="000000" w:themeColor="text1"/>
                <w:lang w:val="uk-UA"/>
              </w:rPr>
              <w:t>ресурсом є</w:t>
            </w:r>
            <w:r w:rsidR="00187E20">
              <w:rPr>
                <w:rFonts w:ascii="Times New Roman" w:hAnsi="Times New Roman" w:cs="Times New Roman"/>
                <w:color w:val="000000" w:themeColor="text1"/>
                <w:lang w:val="uk-UA"/>
              </w:rPr>
              <w:t>:</w:t>
            </w:r>
            <w:r w:rsidR="009C0881" w:rsidRPr="009C0881">
              <w:rPr>
                <w:rFonts w:ascii="Times New Roman" w:hAnsi="Times New Roman" w:cs="Times New Roman"/>
                <w:color w:val="000000" w:themeColor="text1"/>
                <w:lang w:val="uk-UA"/>
              </w:rPr>
              <w:t xml:space="preserve"> www.hep</w:t>
            </w:r>
            <w:r w:rsidR="00FC6D8A">
              <w:rPr>
                <w:rFonts w:ascii="Times New Roman" w:hAnsi="Times New Roman" w:cs="Times New Roman"/>
                <w:color w:val="000000" w:themeColor="text1"/>
                <w:lang w:val="uk-UA"/>
              </w:rPr>
              <w:t>–</w:t>
            </w:r>
            <w:r w:rsidR="009C0881" w:rsidRPr="009C0881">
              <w:rPr>
                <w:rFonts w:ascii="Times New Roman" w:hAnsi="Times New Roman" w:cs="Times New Roman"/>
                <w:color w:val="000000" w:themeColor="text1"/>
                <w:lang w:val="uk-UA"/>
              </w:rPr>
              <w:t>druginteractions.org, де рекомендації оновлюються</w:t>
            </w:r>
            <w:r w:rsidR="00F7496C">
              <w:rPr>
                <w:rFonts w:ascii="Times New Roman" w:hAnsi="Times New Roman" w:cs="Times New Roman"/>
                <w:color w:val="000000" w:themeColor="text1"/>
                <w:lang w:val="uk-UA"/>
              </w:rPr>
              <w:t xml:space="preserve"> </w:t>
            </w:r>
            <w:r w:rsidR="00F7496C" w:rsidRPr="009C0881">
              <w:rPr>
                <w:rFonts w:ascii="Times New Roman" w:hAnsi="Times New Roman" w:cs="Times New Roman"/>
                <w:color w:val="000000" w:themeColor="text1"/>
                <w:lang w:val="uk-UA"/>
              </w:rPr>
              <w:t>регулярно</w:t>
            </w:r>
            <w:r w:rsidR="009C0881" w:rsidRPr="009C0881">
              <w:rPr>
                <w:rFonts w:ascii="Times New Roman" w:hAnsi="Times New Roman" w:cs="Times New Roman"/>
                <w:color w:val="000000" w:themeColor="text1"/>
                <w:lang w:val="uk-UA"/>
              </w:rPr>
              <w:t xml:space="preserve">) </w:t>
            </w:r>
            <w:r w:rsidR="009C0881" w:rsidRPr="00C02163">
              <w:rPr>
                <w:rFonts w:ascii="Times New Roman" w:hAnsi="Times New Roman" w:cs="Times New Roman"/>
                <w:b/>
                <w:color w:val="000000" w:themeColor="text1"/>
                <w:lang w:val="uk-UA"/>
              </w:rPr>
              <w:t>(A1).</w:t>
            </w:r>
          </w:p>
          <w:p w14:paraId="11F9B7EF" w14:textId="3930D1D1" w:rsidR="009C0881" w:rsidRPr="009C0881" w:rsidRDefault="009C0881" w:rsidP="00015E3B">
            <w:pPr>
              <w:pStyle w:val="a9"/>
              <w:numPr>
                <w:ilvl w:val="0"/>
                <w:numId w:val="4"/>
              </w:numPr>
              <w:tabs>
                <w:tab w:val="left" w:pos="1089"/>
              </w:tabs>
              <w:jc w:val="both"/>
              <w:rPr>
                <w:rFonts w:ascii="Times New Roman" w:hAnsi="Times New Roman" w:cs="Times New Roman"/>
                <w:color w:val="000000" w:themeColor="text1"/>
                <w:lang w:val="uk-UA"/>
              </w:rPr>
            </w:pPr>
            <w:r w:rsidRPr="009C0881">
              <w:rPr>
                <w:rFonts w:ascii="Times New Roman" w:hAnsi="Times New Roman" w:cs="Times New Roman"/>
                <w:color w:val="000000" w:themeColor="text1"/>
                <w:lang w:val="uk-UA"/>
              </w:rPr>
              <w:t xml:space="preserve">Взаємодія лікарських засобів </w:t>
            </w:r>
            <w:r w:rsidR="00F7496C">
              <w:rPr>
                <w:rFonts w:ascii="Times New Roman" w:hAnsi="Times New Roman" w:cs="Times New Roman"/>
                <w:color w:val="000000" w:themeColor="text1"/>
                <w:lang w:val="uk-UA"/>
              </w:rPr>
              <w:t>є ключовим фактором</w:t>
            </w:r>
            <w:r w:rsidRPr="009C0881">
              <w:rPr>
                <w:rFonts w:ascii="Times New Roman" w:hAnsi="Times New Roman" w:cs="Times New Roman"/>
                <w:color w:val="000000" w:themeColor="text1"/>
                <w:lang w:val="uk-UA"/>
              </w:rPr>
              <w:t xml:space="preserve"> у ліку</w:t>
            </w:r>
            <w:r w:rsidR="00525692">
              <w:rPr>
                <w:rFonts w:ascii="Times New Roman" w:hAnsi="Times New Roman" w:cs="Times New Roman"/>
                <w:color w:val="000000" w:themeColor="text1"/>
                <w:lang w:val="uk-UA"/>
              </w:rPr>
              <w:t>ванні хворих з  коінфекцією ВІЛ/</w:t>
            </w:r>
            <w:r w:rsidR="001B5931">
              <w:rPr>
                <w:rFonts w:ascii="Times New Roman" w:hAnsi="Times New Roman" w:cs="Times New Roman"/>
                <w:color w:val="000000" w:themeColor="text1"/>
                <w:lang w:val="uk-UA"/>
              </w:rPr>
              <w:t>ВГС</w:t>
            </w:r>
            <w:r w:rsidRPr="009C0881">
              <w:rPr>
                <w:rFonts w:ascii="Times New Roman" w:hAnsi="Times New Roman" w:cs="Times New Roman"/>
                <w:color w:val="000000" w:themeColor="text1"/>
                <w:lang w:val="uk-UA"/>
              </w:rPr>
              <w:t xml:space="preserve">, і </w:t>
            </w:r>
            <w:r w:rsidR="001B5931">
              <w:rPr>
                <w:rFonts w:ascii="Times New Roman" w:hAnsi="Times New Roman" w:cs="Times New Roman"/>
                <w:color w:val="000000" w:themeColor="text1"/>
                <w:lang w:val="uk-UA"/>
              </w:rPr>
              <w:t xml:space="preserve">потрібно </w:t>
            </w:r>
            <w:r w:rsidRPr="009C0881">
              <w:rPr>
                <w:rFonts w:ascii="Times New Roman" w:hAnsi="Times New Roman" w:cs="Times New Roman"/>
                <w:color w:val="000000" w:themeColor="text1"/>
                <w:lang w:val="uk-UA"/>
              </w:rPr>
              <w:t xml:space="preserve">приділяти пильну увагу </w:t>
            </w:r>
            <w:r w:rsidR="001B5931">
              <w:rPr>
                <w:rFonts w:ascii="Times New Roman" w:hAnsi="Times New Roman" w:cs="Times New Roman"/>
                <w:color w:val="000000" w:themeColor="text1"/>
                <w:lang w:val="uk-UA"/>
              </w:rPr>
              <w:t>ПППД,</w:t>
            </w:r>
            <w:r w:rsidRPr="009C0881">
              <w:rPr>
                <w:rFonts w:ascii="Times New Roman" w:hAnsi="Times New Roman" w:cs="Times New Roman"/>
                <w:color w:val="000000" w:themeColor="text1"/>
                <w:lang w:val="uk-UA"/>
              </w:rPr>
              <w:t xml:space="preserve"> які протипоказані, </w:t>
            </w:r>
            <w:r w:rsidRPr="009C0881">
              <w:rPr>
                <w:rFonts w:ascii="Times New Roman" w:hAnsi="Times New Roman" w:cs="Times New Roman"/>
                <w:color w:val="000000" w:themeColor="text1"/>
                <w:lang w:val="uk-UA"/>
              </w:rPr>
              <w:lastRenderedPageBreak/>
              <w:t>не рекомендова</w:t>
            </w:r>
            <w:r w:rsidR="001B5931">
              <w:rPr>
                <w:rFonts w:ascii="Times New Roman" w:hAnsi="Times New Roman" w:cs="Times New Roman"/>
                <w:color w:val="000000" w:themeColor="text1"/>
                <w:lang w:val="uk-UA"/>
              </w:rPr>
              <w:t xml:space="preserve">ні або вимагають корекції дози у випадку використання інших препаратів </w:t>
            </w:r>
            <w:r w:rsidRPr="00BD6E1C">
              <w:rPr>
                <w:rFonts w:ascii="Times New Roman" w:hAnsi="Times New Roman" w:cs="Times New Roman"/>
                <w:b/>
                <w:color w:val="000000" w:themeColor="text1"/>
                <w:lang w:val="uk-UA"/>
              </w:rPr>
              <w:t>(A1).</w:t>
            </w:r>
          </w:p>
          <w:p w14:paraId="5FCE2EB1" w14:textId="6FB4E556" w:rsidR="00195898" w:rsidRPr="009C0881" w:rsidRDefault="009C0881" w:rsidP="00EE40FE">
            <w:pPr>
              <w:pStyle w:val="a9"/>
              <w:numPr>
                <w:ilvl w:val="0"/>
                <w:numId w:val="4"/>
              </w:numPr>
              <w:tabs>
                <w:tab w:val="left" w:pos="1089"/>
              </w:tabs>
              <w:jc w:val="both"/>
              <w:rPr>
                <w:rFonts w:ascii="Times New Roman" w:hAnsi="Times New Roman" w:cs="Times New Roman"/>
                <w:color w:val="000000" w:themeColor="text1"/>
                <w:lang w:val="uk-UA"/>
              </w:rPr>
            </w:pPr>
            <w:r w:rsidRPr="009C0881">
              <w:rPr>
                <w:rFonts w:ascii="Times New Roman" w:hAnsi="Times New Roman" w:cs="Times New Roman"/>
                <w:color w:val="000000" w:themeColor="text1"/>
                <w:lang w:val="uk-UA"/>
              </w:rPr>
              <w:t>Пацієн</w:t>
            </w:r>
            <w:r w:rsidR="001B5931">
              <w:rPr>
                <w:rFonts w:ascii="Times New Roman" w:hAnsi="Times New Roman" w:cs="Times New Roman"/>
                <w:color w:val="000000" w:themeColor="text1"/>
                <w:lang w:val="uk-UA"/>
              </w:rPr>
              <w:t>ти повинні бути поінформовані щодо важливості</w:t>
            </w:r>
            <w:r w:rsidRPr="009C0881">
              <w:rPr>
                <w:rFonts w:ascii="Times New Roman" w:hAnsi="Times New Roman" w:cs="Times New Roman"/>
                <w:color w:val="000000" w:themeColor="text1"/>
                <w:lang w:val="uk-UA"/>
              </w:rPr>
              <w:t xml:space="preserve"> дотрим</w:t>
            </w:r>
            <w:r w:rsidR="001B5931">
              <w:rPr>
                <w:rFonts w:ascii="Times New Roman" w:hAnsi="Times New Roman" w:cs="Times New Roman"/>
                <w:color w:val="000000" w:themeColor="text1"/>
                <w:lang w:val="uk-UA"/>
              </w:rPr>
              <w:t>ання терапії, дотримувитися</w:t>
            </w:r>
            <w:r w:rsidRPr="009C0881">
              <w:rPr>
                <w:rFonts w:ascii="Times New Roman" w:hAnsi="Times New Roman" w:cs="Times New Roman"/>
                <w:color w:val="000000" w:themeColor="text1"/>
                <w:lang w:val="uk-UA"/>
              </w:rPr>
              <w:t xml:space="preserve"> рекомендаці</w:t>
            </w:r>
            <w:r w:rsidR="001B5931">
              <w:rPr>
                <w:rFonts w:ascii="Times New Roman" w:hAnsi="Times New Roman" w:cs="Times New Roman"/>
                <w:color w:val="000000" w:themeColor="text1"/>
                <w:lang w:val="uk-UA"/>
              </w:rPr>
              <w:t>й щодо дозування та повідомляти про застосува</w:t>
            </w:r>
            <w:r w:rsidRPr="009C0881">
              <w:rPr>
                <w:rFonts w:ascii="Times New Roman" w:hAnsi="Times New Roman" w:cs="Times New Roman"/>
                <w:color w:val="000000" w:themeColor="text1"/>
                <w:lang w:val="uk-UA"/>
              </w:rPr>
              <w:t xml:space="preserve">ння інших </w:t>
            </w:r>
            <w:r w:rsidR="00EE40FE">
              <w:rPr>
                <w:rFonts w:ascii="Times New Roman" w:hAnsi="Times New Roman" w:cs="Times New Roman"/>
                <w:color w:val="000000" w:themeColor="text1"/>
                <w:lang w:val="uk-UA"/>
              </w:rPr>
              <w:t xml:space="preserve">лікарських засобів </w:t>
            </w:r>
            <w:r w:rsidRPr="009C0881">
              <w:rPr>
                <w:rFonts w:ascii="Times New Roman" w:hAnsi="Times New Roman" w:cs="Times New Roman"/>
                <w:color w:val="000000" w:themeColor="text1"/>
                <w:lang w:val="uk-UA"/>
              </w:rPr>
              <w:t xml:space="preserve">та </w:t>
            </w:r>
            <w:r w:rsidR="00187E20">
              <w:rPr>
                <w:rFonts w:ascii="Times New Roman" w:hAnsi="Times New Roman" w:cs="Times New Roman"/>
                <w:color w:val="000000" w:themeColor="text1"/>
                <w:lang w:val="uk-UA"/>
              </w:rPr>
              <w:t>наркотиків</w:t>
            </w:r>
            <w:r w:rsidRPr="009C0881">
              <w:rPr>
                <w:rFonts w:ascii="Times New Roman" w:hAnsi="Times New Roman" w:cs="Times New Roman"/>
                <w:color w:val="000000" w:themeColor="text1"/>
                <w:lang w:val="uk-UA"/>
              </w:rPr>
              <w:t xml:space="preserve"> </w:t>
            </w:r>
            <w:r w:rsidRPr="00BD6E1C">
              <w:rPr>
                <w:rFonts w:ascii="Times New Roman" w:hAnsi="Times New Roman" w:cs="Times New Roman"/>
                <w:b/>
                <w:color w:val="000000" w:themeColor="text1"/>
                <w:lang w:val="uk-UA"/>
              </w:rPr>
              <w:t>(A1)</w:t>
            </w:r>
            <w:r w:rsidRPr="009C0881">
              <w:rPr>
                <w:rFonts w:ascii="Times New Roman" w:hAnsi="Times New Roman" w:cs="Times New Roman"/>
                <w:color w:val="000000" w:themeColor="text1"/>
                <w:lang w:val="uk-UA"/>
              </w:rPr>
              <w:t xml:space="preserve"> .</w:t>
            </w:r>
          </w:p>
        </w:tc>
      </w:tr>
    </w:tbl>
    <w:p w14:paraId="3A2A90C9" w14:textId="77777777" w:rsidR="00195898" w:rsidRPr="00BA3BD8" w:rsidRDefault="00195898" w:rsidP="00B909D3">
      <w:pPr>
        <w:tabs>
          <w:tab w:val="left" w:pos="1089"/>
        </w:tabs>
        <w:ind w:left="360"/>
        <w:rPr>
          <w:rFonts w:ascii="Times New Roman" w:hAnsi="Times New Roman" w:cs="Times New Roman"/>
          <w:color w:val="000000" w:themeColor="text1"/>
          <w:lang w:val="uk-UA"/>
        </w:rPr>
      </w:pPr>
    </w:p>
    <w:p w14:paraId="0017C2FE" w14:textId="77777777" w:rsidR="00D579BF" w:rsidRDefault="00D579BF" w:rsidP="00D579BF">
      <w:pPr>
        <w:tabs>
          <w:tab w:val="left" w:pos="1089"/>
        </w:tabs>
        <w:rPr>
          <w:rFonts w:ascii="Times New Roman" w:hAnsi="Times New Roman" w:cs="Times New Roman"/>
          <w:b/>
          <w:color w:val="000000" w:themeColor="text1"/>
          <w:lang w:val="uk-UA"/>
        </w:rPr>
      </w:pPr>
    </w:p>
    <w:p w14:paraId="49738090" w14:textId="61166EDD" w:rsidR="000C487E" w:rsidRPr="000C487E" w:rsidRDefault="000C487E" w:rsidP="000C487E">
      <w:pPr>
        <w:tabs>
          <w:tab w:val="left" w:pos="1089"/>
        </w:tabs>
        <w:ind w:left="360"/>
        <w:rPr>
          <w:rFonts w:ascii="Times New Roman" w:hAnsi="Times New Roman" w:cs="Times New Roman"/>
          <w:b/>
          <w:color w:val="5B9BD5" w:themeColor="accent1"/>
          <w:lang w:val="uk-UA"/>
        </w:rPr>
      </w:pPr>
      <w:r w:rsidRPr="000C487E">
        <w:rPr>
          <w:rFonts w:ascii="Times New Roman" w:hAnsi="Times New Roman" w:cs="Times New Roman"/>
          <w:b/>
          <w:color w:val="5B9BD5" w:themeColor="accent1"/>
          <w:lang w:val="uk-UA"/>
        </w:rPr>
        <w:t>Лікування хронічного гепатиту С, у тому числі пацієнтів без цирозу, та пацієнтів з  компенсованим (Child</w:t>
      </w:r>
      <w:r w:rsidR="00FC6D8A">
        <w:rPr>
          <w:rFonts w:ascii="Times New Roman" w:hAnsi="Times New Roman" w:cs="Times New Roman"/>
          <w:b/>
          <w:color w:val="5B9BD5" w:themeColor="accent1"/>
          <w:lang w:val="uk-UA"/>
        </w:rPr>
        <w:t>–</w:t>
      </w:r>
      <w:r w:rsidRPr="000C487E">
        <w:rPr>
          <w:rFonts w:ascii="Times New Roman" w:hAnsi="Times New Roman" w:cs="Times New Roman"/>
          <w:b/>
          <w:color w:val="5B9BD5" w:themeColor="accent1"/>
          <w:lang w:val="uk-UA"/>
        </w:rPr>
        <w:t>Pugh A) цирозом</w:t>
      </w:r>
    </w:p>
    <w:p w14:paraId="785B208A" w14:textId="77777777" w:rsidR="000C487E" w:rsidRDefault="000C487E" w:rsidP="000C487E">
      <w:pPr>
        <w:tabs>
          <w:tab w:val="left" w:pos="1089"/>
        </w:tabs>
        <w:ind w:left="360"/>
        <w:rPr>
          <w:rFonts w:ascii="Times New Roman" w:hAnsi="Times New Roman" w:cs="Times New Roman"/>
          <w:color w:val="000000" w:themeColor="text1"/>
          <w:lang w:val="uk-UA"/>
        </w:rPr>
      </w:pPr>
    </w:p>
    <w:p w14:paraId="6F17F4BE" w14:textId="6C4A078D" w:rsidR="000C487E" w:rsidRDefault="000C487E" w:rsidP="00F53078">
      <w:pPr>
        <w:tabs>
          <w:tab w:val="left" w:pos="1089"/>
        </w:tabs>
        <w:ind w:left="360"/>
        <w:jc w:val="both"/>
        <w:rPr>
          <w:rFonts w:ascii="Times New Roman" w:hAnsi="Times New Roman" w:cs="Times New Roman"/>
          <w:color w:val="000000" w:themeColor="text1"/>
          <w:lang w:val="uk-UA"/>
        </w:rPr>
      </w:pPr>
      <w:r w:rsidRPr="000C487E">
        <w:rPr>
          <w:rFonts w:ascii="Times New Roman" w:hAnsi="Times New Roman" w:cs="Times New Roman"/>
          <w:color w:val="000000" w:themeColor="text1"/>
          <w:lang w:val="uk-UA"/>
        </w:rPr>
        <w:t>У 2018 році</w:t>
      </w:r>
      <w:r w:rsidR="00AC6D39">
        <w:rPr>
          <w:rFonts w:ascii="Times New Roman" w:hAnsi="Times New Roman" w:cs="Times New Roman"/>
          <w:color w:val="000000" w:themeColor="text1"/>
          <w:lang w:val="uk-UA"/>
        </w:rPr>
        <w:t xml:space="preserve"> через високу ефективність, простоту прийому та легку переносимість</w:t>
      </w:r>
      <w:r w:rsidRPr="000C487E">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схеми лікування</w:t>
      </w:r>
      <w:r w:rsidR="00AC6D39">
        <w:rPr>
          <w:rFonts w:ascii="Times New Roman" w:hAnsi="Times New Roman" w:cs="Times New Roman"/>
          <w:color w:val="000000" w:themeColor="text1"/>
          <w:lang w:val="uk-UA"/>
        </w:rPr>
        <w:t>, що не містять</w:t>
      </w:r>
      <w:r>
        <w:rPr>
          <w:rFonts w:ascii="Times New Roman" w:hAnsi="Times New Roman" w:cs="Times New Roman"/>
          <w:color w:val="000000" w:themeColor="text1"/>
          <w:lang w:val="uk-UA"/>
        </w:rPr>
        <w:t xml:space="preserve"> інтерферон (IFN) </w:t>
      </w:r>
      <w:r w:rsidRPr="000C487E">
        <w:rPr>
          <w:rFonts w:ascii="Times New Roman" w:hAnsi="Times New Roman" w:cs="Times New Roman"/>
          <w:color w:val="000000" w:themeColor="text1"/>
          <w:lang w:val="uk-UA"/>
        </w:rPr>
        <w:t>і рибавірин</w:t>
      </w:r>
      <w:r w:rsidR="00AC6D39">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 xml:space="preserve">вважаються </w:t>
      </w:r>
      <w:r w:rsidRPr="000C487E">
        <w:rPr>
          <w:rFonts w:ascii="Times New Roman" w:hAnsi="Times New Roman" w:cs="Times New Roman"/>
          <w:color w:val="000000" w:themeColor="text1"/>
          <w:lang w:val="uk-UA"/>
        </w:rPr>
        <w:t xml:space="preserve">найкращими варіантами </w:t>
      </w:r>
      <w:r w:rsidR="00AC6D39">
        <w:rPr>
          <w:rFonts w:ascii="Times New Roman" w:hAnsi="Times New Roman" w:cs="Times New Roman"/>
          <w:color w:val="000000" w:themeColor="text1"/>
          <w:lang w:val="uk-UA"/>
        </w:rPr>
        <w:t xml:space="preserve">для лікування пацієнтів </w:t>
      </w:r>
      <w:r w:rsidRPr="000C487E">
        <w:rPr>
          <w:rFonts w:ascii="Times New Roman" w:hAnsi="Times New Roman" w:cs="Times New Roman"/>
          <w:color w:val="000000" w:themeColor="text1"/>
          <w:lang w:val="uk-UA"/>
        </w:rPr>
        <w:t xml:space="preserve">без цирозу, </w:t>
      </w:r>
      <w:r w:rsidR="003A7967">
        <w:rPr>
          <w:rFonts w:ascii="Times New Roman" w:hAnsi="Times New Roman" w:cs="Times New Roman"/>
          <w:color w:val="000000" w:themeColor="text1"/>
          <w:lang w:val="uk-UA"/>
        </w:rPr>
        <w:t>з компенсованим (</w:t>
      </w:r>
      <w:r w:rsidR="003A7967" w:rsidRPr="000C487E">
        <w:rPr>
          <w:rFonts w:ascii="Times New Roman" w:hAnsi="Times New Roman" w:cs="Times New Roman"/>
          <w:color w:val="000000" w:themeColor="text1"/>
          <w:lang w:val="uk-UA"/>
        </w:rPr>
        <w:t>Child</w:t>
      </w:r>
      <w:r w:rsidR="00FC6D8A">
        <w:rPr>
          <w:rFonts w:ascii="Times New Roman" w:hAnsi="Times New Roman" w:cs="Times New Roman"/>
          <w:color w:val="000000" w:themeColor="text1"/>
          <w:lang w:val="uk-UA"/>
        </w:rPr>
        <w:t>–</w:t>
      </w:r>
      <w:r w:rsidR="003A7967" w:rsidRPr="000C487E">
        <w:rPr>
          <w:rFonts w:ascii="Times New Roman" w:hAnsi="Times New Roman" w:cs="Times New Roman"/>
          <w:color w:val="000000" w:themeColor="text1"/>
          <w:lang w:val="uk-UA"/>
        </w:rPr>
        <w:t>Pugh A</w:t>
      </w:r>
      <w:r w:rsidR="003A7967">
        <w:rPr>
          <w:rFonts w:ascii="Times New Roman" w:hAnsi="Times New Roman" w:cs="Times New Roman"/>
          <w:color w:val="000000" w:themeColor="text1"/>
          <w:lang w:val="uk-UA"/>
        </w:rPr>
        <w:t>)</w:t>
      </w:r>
      <w:r w:rsidR="003A7967" w:rsidRPr="000C487E">
        <w:rPr>
          <w:rFonts w:ascii="Times New Roman" w:hAnsi="Times New Roman" w:cs="Times New Roman"/>
          <w:color w:val="000000" w:themeColor="text1"/>
          <w:lang w:val="uk-UA"/>
        </w:rPr>
        <w:t xml:space="preserve"> </w:t>
      </w:r>
      <w:r w:rsidR="003A7967">
        <w:rPr>
          <w:rFonts w:ascii="Times New Roman" w:hAnsi="Times New Roman" w:cs="Times New Roman"/>
          <w:color w:val="000000" w:themeColor="text1"/>
          <w:lang w:val="uk-UA"/>
        </w:rPr>
        <w:t>і декомпенсованим (</w:t>
      </w:r>
      <w:r w:rsidR="003A7967" w:rsidRPr="000C487E">
        <w:rPr>
          <w:rFonts w:ascii="Times New Roman" w:hAnsi="Times New Roman" w:cs="Times New Roman"/>
          <w:color w:val="000000" w:themeColor="text1"/>
          <w:lang w:val="uk-UA"/>
        </w:rPr>
        <w:t>Child</w:t>
      </w:r>
      <w:r w:rsidR="00FC6D8A">
        <w:rPr>
          <w:rFonts w:ascii="Times New Roman" w:hAnsi="Times New Roman" w:cs="Times New Roman"/>
          <w:color w:val="000000" w:themeColor="text1"/>
          <w:lang w:val="uk-UA"/>
        </w:rPr>
        <w:t>–</w:t>
      </w:r>
      <w:r w:rsidR="003A7967" w:rsidRPr="000C487E">
        <w:rPr>
          <w:rFonts w:ascii="Times New Roman" w:hAnsi="Times New Roman" w:cs="Times New Roman"/>
          <w:color w:val="000000" w:themeColor="text1"/>
          <w:lang w:val="uk-UA"/>
        </w:rPr>
        <w:t>Pugh B і C</w:t>
      </w:r>
      <w:r w:rsidR="003A7967">
        <w:rPr>
          <w:rFonts w:ascii="Times New Roman" w:hAnsi="Times New Roman" w:cs="Times New Roman"/>
          <w:color w:val="000000" w:themeColor="text1"/>
          <w:lang w:val="uk-UA"/>
        </w:rPr>
        <w:t>)</w:t>
      </w:r>
      <w:r w:rsidR="00AC6D39">
        <w:rPr>
          <w:rFonts w:ascii="Times New Roman" w:hAnsi="Times New Roman" w:cs="Times New Roman"/>
          <w:color w:val="000000" w:themeColor="text1"/>
          <w:lang w:val="uk-UA"/>
        </w:rPr>
        <w:t xml:space="preserve"> цирозом,</w:t>
      </w:r>
      <w:r w:rsidR="003A7967">
        <w:rPr>
          <w:rFonts w:ascii="Times New Roman" w:hAnsi="Times New Roman" w:cs="Times New Roman"/>
          <w:color w:val="000000" w:themeColor="text1"/>
          <w:lang w:val="uk-UA"/>
        </w:rPr>
        <w:t xml:space="preserve"> </w:t>
      </w:r>
      <w:r w:rsidR="00DC3BDB">
        <w:rPr>
          <w:rFonts w:ascii="Times New Roman" w:hAnsi="Times New Roman" w:cs="Times New Roman"/>
          <w:color w:val="000000" w:themeColor="text1"/>
          <w:lang w:val="uk-UA"/>
        </w:rPr>
        <w:t xml:space="preserve">включаючи як </w:t>
      </w:r>
      <w:r w:rsidR="00DC3BDB">
        <w:rPr>
          <w:rFonts w:ascii="Times New Roman" w:hAnsi="Times New Roman" w:cs="Times New Roman"/>
          <w:color w:val="000000" w:themeColor="text1"/>
          <w:lang w:val="it-IT"/>
        </w:rPr>
        <w:t>“</w:t>
      </w:r>
      <w:r w:rsidR="00AC6D39">
        <w:rPr>
          <w:rFonts w:ascii="Times New Roman" w:hAnsi="Times New Roman" w:cs="Times New Roman"/>
          <w:color w:val="000000" w:themeColor="text1"/>
          <w:lang w:val="uk-UA"/>
        </w:rPr>
        <w:t>н</w:t>
      </w:r>
      <w:r w:rsidR="00DC3BDB">
        <w:rPr>
          <w:rFonts w:ascii="Times New Roman" w:hAnsi="Times New Roman" w:cs="Times New Roman"/>
          <w:color w:val="000000" w:themeColor="text1"/>
          <w:lang w:val="uk-UA"/>
        </w:rPr>
        <w:t>аївних</w:t>
      </w:r>
      <w:r w:rsidR="00DC3BDB">
        <w:rPr>
          <w:rFonts w:ascii="Times New Roman" w:hAnsi="Times New Roman" w:cs="Times New Roman"/>
          <w:color w:val="000000" w:themeColor="text1"/>
          <w:lang w:val="it-IT"/>
        </w:rPr>
        <w:t>”</w:t>
      </w:r>
      <w:r w:rsidR="00AC6D39">
        <w:rPr>
          <w:rFonts w:ascii="Times New Roman" w:hAnsi="Times New Roman" w:cs="Times New Roman"/>
          <w:color w:val="000000" w:themeColor="text1"/>
          <w:lang w:val="uk-UA"/>
        </w:rPr>
        <w:t xml:space="preserve"> щодо лікування пацієнтів (визначається як особи, які ніколи не отримували лікування від ВГС) </w:t>
      </w:r>
      <w:r w:rsidR="00DC3BDB">
        <w:rPr>
          <w:rFonts w:ascii="Times New Roman" w:hAnsi="Times New Roman" w:cs="Times New Roman"/>
          <w:color w:val="000000" w:themeColor="text1"/>
          <w:lang w:val="uk-UA"/>
        </w:rPr>
        <w:t xml:space="preserve">та </w:t>
      </w:r>
      <w:r w:rsidR="00652F9A">
        <w:rPr>
          <w:rFonts w:ascii="Times New Roman" w:hAnsi="Times New Roman" w:cs="Times New Roman"/>
          <w:color w:val="000000" w:themeColor="text1"/>
          <w:lang w:val="uk-UA"/>
        </w:rPr>
        <w:t xml:space="preserve">пацієнтів з досвідом </w:t>
      </w:r>
      <w:r w:rsidR="00592376">
        <w:rPr>
          <w:rFonts w:ascii="Times New Roman" w:hAnsi="Times New Roman" w:cs="Times New Roman"/>
          <w:color w:val="000000" w:themeColor="text1"/>
          <w:lang w:val="uk-UA"/>
        </w:rPr>
        <w:t xml:space="preserve">лікування (визначається як пацієнти, які попередньо отримали лікування пегільованим інтерфероном та рибавірином, пегільованим інфтерфероном, рибавірином та софосбувіром або софосбувіром і рибавірином). </w:t>
      </w:r>
    </w:p>
    <w:p w14:paraId="3EA6D28E" w14:textId="77777777" w:rsidR="003A7967" w:rsidRPr="000C487E" w:rsidRDefault="003A7967" w:rsidP="00F53078">
      <w:pPr>
        <w:tabs>
          <w:tab w:val="left" w:pos="1089"/>
        </w:tabs>
        <w:ind w:left="360"/>
        <w:jc w:val="both"/>
        <w:rPr>
          <w:rFonts w:ascii="Times New Roman" w:hAnsi="Times New Roman" w:cs="Times New Roman"/>
          <w:color w:val="000000" w:themeColor="text1"/>
          <w:lang w:val="uk-UA"/>
        </w:rPr>
      </w:pPr>
    </w:p>
    <w:p w14:paraId="05151477" w14:textId="04F055E7" w:rsidR="000C487E" w:rsidRPr="000C487E" w:rsidRDefault="000C487E" w:rsidP="00EE40FE">
      <w:pPr>
        <w:tabs>
          <w:tab w:val="left" w:pos="1089"/>
        </w:tabs>
        <w:ind w:left="360"/>
        <w:jc w:val="both"/>
        <w:rPr>
          <w:rFonts w:ascii="Times New Roman" w:hAnsi="Times New Roman" w:cs="Times New Roman"/>
          <w:color w:val="000000" w:themeColor="text1"/>
          <w:lang w:val="uk-UA"/>
        </w:rPr>
      </w:pPr>
      <w:r w:rsidRPr="000C487E">
        <w:rPr>
          <w:rFonts w:ascii="Times New Roman" w:hAnsi="Times New Roman" w:cs="Times New Roman"/>
          <w:color w:val="000000" w:themeColor="text1"/>
          <w:lang w:val="uk-UA"/>
        </w:rPr>
        <w:t>П</w:t>
      </w:r>
      <w:r w:rsidR="00F326C6">
        <w:rPr>
          <w:rFonts w:ascii="Times New Roman" w:hAnsi="Times New Roman" w:cs="Times New Roman"/>
          <w:color w:val="000000" w:themeColor="text1"/>
          <w:lang w:val="uk-UA"/>
        </w:rPr>
        <w:t>ризначення лікув</w:t>
      </w:r>
      <w:r w:rsidR="001C2B65">
        <w:rPr>
          <w:rFonts w:ascii="Times New Roman" w:hAnsi="Times New Roman" w:cs="Times New Roman"/>
          <w:color w:val="000000" w:themeColor="text1"/>
          <w:lang w:val="uk-UA"/>
        </w:rPr>
        <w:t>а</w:t>
      </w:r>
      <w:r w:rsidR="00F326C6">
        <w:rPr>
          <w:rFonts w:ascii="Times New Roman" w:hAnsi="Times New Roman" w:cs="Times New Roman"/>
          <w:color w:val="000000" w:themeColor="text1"/>
          <w:lang w:val="uk-UA"/>
        </w:rPr>
        <w:t>ння</w:t>
      </w:r>
      <w:r w:rsidRPr="000C487E">
        <w:rPr>
          <w:rFonts w:ascii="Times New Roman" w:hAnsi="Times New Roman" w:cs="Times New Roman"/>
          <w:color w:val="000000" w:themeColor="text1"/>
          <w:lang w:val="uk-UA"/>
        </w:rPr>
        <w:t xml:space="preserve"> залеж</w:t>
      </w:r>
      <w:r w:rsidR="001C2B65">
        <w:rPr>
          <w:rFonts w:ascii="Times New Roman" w:hAnsi="Times New Roman" w:cs="Times New Roman"/>
          <w:color w:val="000000" w:themeColor="text1"/>
          <w:lang w:val="uk-UA"/>
        </w:rPr>
        <w:t>и</w:t>
      </w:r>
      <w:r w:rsidRPr="000C487E">
        <w:rPr>
          <w:rFonts w:ascii="Times New Roman" w:hAnsi="Times New Roman" w:cs="Times New Roman"/>
          <w:color w:val="000000" w:themeColor="text1"/>
          <w:lang w:val="uk-UA"/>
        </w:rPr>
        <w:t>ть від генот</w:t>
      </w:r>
      <w:r w:rsidR="003A7967">
        <w:rPr>
          <w:rFonts w:ascii="Times New Roman" w:hAnsi="Times New Roman" w:cs="Times New Roman"/>
          <w:color w:val="000000" w:themeColor="text1"/>
          <w:lang w:val="uk-UA"/>
        </w:rPr>
        <w:t>ипу</w:t>
      </w:r>
      <w:r w:rsidRPr="000C487E">
        <w:rPr>
          <w:rFonts w:ascii="Times New Roman" w:hAnsi="Times New Roman" w:cs="Times New Roman"/>
          <w:color w:val="000000" w:themeColor="text1"/>
          <w:lang w:val="uk-UA"/>
        </w:rPr>
        <w:t xml:space="preserve"> ВГС, т</w:t>
      </w:r>
      <w:r w:rsidR="003A7967">
        <w:rPr>
          <w:rFonts w:ascii="Times New Roman" w:hAnsi="Times New Roman" w:cs="Times New Roman"/>
          <w:color w:val="000000" w:themeColor="text1"/>
          <w:lang w:val="uk-UA"/>
        </w:rPr>
        <w:t>яжкості захворювання печінки та/</w:t>
      </w:r>
      <w:r w:rsidRPr="000C487E">
        <w:rPr>
          <w:rFonts w:ascii="Times New Roman" w:hAnsi="Times New Roman" w:cs="Times New Roman"/>
          <w:color w:val="000000" w:themeColor="text1"/>
          <w:lang w:val="uk-UA"/>
        </w:rPr>
        <w:t>або попереднь</w:t>
      </w:r>
      <w:r w:rsidR="00EE40FE">
        <w:rPr>
          <w:rFonts w:ascii="Times New Roman" w:hAnsi="Times New Roman" w:cs="Times New Roman"/>
          <w:color w:val="000000" w:themeColor="text1"/>
          <w:lang w:val="uk-UA"/>
        </w:rPr>
        <w:t>ої терапії. Показання</w:t>
      </w:r>
      <w:r w:rsidR="003A7967">
        <w:rPr>
          <w:rFonts w:ascii="Times New Roman" w:hAnsi="Times New Roman" w:cs="Times New Roman"/>
          <w:color w:val="000000" w:themeColor="text1"/>
          <w:lang w:val="uk-UA"/>
        </w:rPr>
        <w:t xml:space="preserve"> однакові для пацієнтів з ВГС</w:t>
      </w:r>
      <w:r w:rsidR="00EE40FE">
        <w:rPr>
          <w:rFonts w:ascii="Times New Roman" w:hAnsi="Times New Roman" w:cs="Times New Roman"/>
          <w:color w:val="000000" w:themeColor="text1"/>
          <w:lang w:val="uk-UA"/>
        </w:rPr>
        <w:t>-</w:t>
      </w:r>
      <w:r w:rsidR="00AD4D43">
        <w:rPr>
          <w:rFonts w:ascii="Times New Roman" w:hAnsi="Times New Roman" w:cs="Times New Roman"/>
          <w:color w:val="000000" w:themeColor="text1"/>
          <w:lang w:val="uk-UA"/>
        </w:rPr>
        <w:t>моноінфекцією</w:t>
      </w:r>
      <w:r w:rsidRPr="000C487E">
        <w:rPr>
          <w:rFonts w:ascii="Times New Roman" w:hAnsi="Times New Roman" w:cs="Times New Roman"/>
          <w:color w:val="000000" w:themeColor="text1"/>
          <w:lang w:val="uk-UA"/>
        </w:rPr>
        <w:t xml:space="preserve"> та пацієнтів з </w:t>
      </w:r>
      <w:r w:rsidR="00525692" w:rsidRPr="000C487E">
        <w:rPr>
          <w:rFonts w:ascii="Times New Roman" w:hAnsi="Times New Roman" w:cs="Times New Roman"/>
          <w:color w:val="000000" w:themeColor="text1"/>
          <w:lang w:val="uk-UA"/>
        </w:rPr>
        <w:t xml:space="preserve">коінфекцією </w:t>
      </w:r>
      <w:r w:rsidRPr="000C487E">
        <w:rPr>
          <w:rFonts w:ascii="Times New Roman" w:hAnsi="Times New Roman" w:cs="Times New Roman"/>
          <w:color w:val="000000" w:themeColor="text1"/>
          <w:lang w:val="uk-UA"/>
        </w:rPr>
        <w:t>ВІЛ</w:t>
      </w:r>
      <w:r w:rsidR="00525692">
        <w:rPr>
          <w:rFonts w:ascii="Times New Roman" w:hAnsi="Times New Roman" w:cs="Times New Roman"/>
          <w:color w:val="000000" w:themeColor="text1"/>
          <w:lang w:val="uk-UA"/>
        </w:rPr>
        <w:t>/ВГС</w:t>
      </w:r>
      <w:r w:rsidRPr="000C487E">
        <w:rPr>
          <w:rFonts w:ascii="Times New Roman" w:hAnsi="Times New Roman" w:cs="Times New Roman"/>
          <w:color w:val="000000" w:themeColor="text1"/>
          <w:lang w:val="uk-UA"/>
        </w:rPr>
        <w:t xml:space="preserve">. Проте, зміни в лікуванні або коригування дози можуть знадобитися в останньому </w:t>
      </w:r>
      <w:r w:rsidR="00AD4D43">
        <w:rPr>
          <w:rFonts w:ascii="Times New Roman" w:hAnsi="Times New Roman" w:cs="Times New Roman"/>
          <w:color w:val="000000" w:themeColor="text1"/>
          <w:lang w:val="uk-UA"/>
        </w:rPr>
        <w:t xml:space="preserve">випадку </w:t>
      </w:r>
      <w:r w:rsidRPr="000C487E">
        <w:rPr>
          <w:rFonts w:ascii="Times New Roman" w:hAnsi="Times New Roman" w:cs="Times New Roman"/>
          <w:color w:val="000000" w:themeColor="text1"/>
          <w:lang w:val="uk-UA"/>
        </w:rPr>
        <w:t>через взаємодії лікарських</w:t>
      </w:r>
      <w:r w:rsidR="00AD4D43">
        <w:rPr>
          <w:rFonts w:ascii="Times New Roman" w:hAnsi="Times New Roman" w:cs="Times New Roman"/>
          <w:color w:val="000000" w:themeColor="text1"/>
          <w:lang w:val="uk-UA"/>
        </w:rPr>
        <w:t xml:space="preserve"> засобів (див. вище </w:t>
      </w:r>
      <w:r w:rsidRPr="000C487E">
        <w:rPr>
          <w:rFonts w:ascii="Times New Roman" w:hAnsi="Times New Roman" w:cs="Times New Roman"/>
          <w:color w:val="000000" w:themeColor="text1"/>
          <w:lang w:val="uk-UA"/>
        </w:rPr>
        <w:t>таблицю 4А).</w:t>
      </w:r>
    </w:p>
    <w:p w14:paraId="3749DA9E" w14:textId="77777777" w:rsidR="00AD4D43" w:rsidRDefault="00AD4D43" w:rsidP="00F53078">
      <w:pPr>
        <w:tabs>
          <w:tab w:val="left" w:pos="1089"/>
        </w:tabs>
        <w:ind w:left="360"/>
        <w:jc w:val="both"/>
        <w:rPr>
          <w:rFonts w:ascii="Times New Roman" w:hAnsi="Times New Roman" w:cs="Times New Roman"/>
          <w:color w:val="000000" w:themeColor="text1"/>
          <w:lang w:val="uk-UA"/>
        </w:rPr>
      </w:pPr>
    </w:p>
    <w:p w14:paraId="14BEBB07" w14:textId="415A1AA4" w:rsidR="000C487E" w:rsidRPr="000C487E" w:rsidRDefault="00AD4D43" w:rsidP="00F53078">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Комісія з розробки рекомендацій</w:t>
      </w:r>
      <w:r w:rsidR="000C487E" w:rsidRPr="000C487E">
        <w:rPr>
          <w:rFonts w:ascii="Times New Roman" w:hAnsi="Times New Roman" w:cs="Times New Roman"/>
          <w:color w:val="000000" w:themeColor="text1"/>
          <w:lang w:val="uk-UA"/>
        </w:rPr>
        <w:t xml:space="preserve"> визнає неоднорідність доходів на душу населення та системи медичного страхування в </w:t>
      </w:r>
      <w:r w:rsidR="000E5681">
        <w:rPr>
          <w:rFonts w:ascii="Times New Roman" w:hAnsi="Times New Roman" w:cs="Times New Roman"/>
          <w:color w:val="000000" w:themeColor="text1"/>
          <w:lang w:val="uk-UA"/>
        </w:rPr>
        <w:t xml:space="preserve">Європі та інших регіонах, а також </w:t>
      </w:r>
      <w:r w:rsidR="000C487E" w:rsidRPr="000C487E">
        <w:rPr>
          <w:rFonts w:ascii="Times New Roman" w:hAnsi="Times New Roman" w:cs="Times New Roman"/>
          <w:color w:val="000000" w:themeColor="text1"/>
          <w:lang w:val="uk-UA"/>
        </w:rPr>
        <w:t>обмеження, які можуть потребувати продовження використання режимів, описаних у попередніх версіях</w:t>
      </w:r>
      <w:r w:rsidR="000E5681">
        <w:rPr>
          <w:rFonts w:ascii="Times New Roman" w:hAnsi="Times New Roman" w:cs="Times New Roman"/>
          <w:color w:val="000000" w:themeColor="text1"/>
          <w:lang w:val="uk-UA"/>
        </w:rPr>
        <w:t xml:space="preserve"> цих рекомендацій, але які не</w:t>
      </w:r>
      <w:r w:rsidR="000C487E" w:rsidRPr="000C487E">
        <w:rPr>
          <w:rFonts w:ascii="Times New Roman" w:hAnsi="Times New Roman" w:cs="Times New Roman"/>
          <w:color w:val="000000" w:themeColor="text1"/>
          <w:lang w:val="uk-UA"/>
        </w:rPr>
        <w:t xml:space="preserve"> рекомендуют</w:t>
      </w:r>
      <w:r w:rsidR="00EE40FE">
        <w:rPr>
          <w:rFonts w:ascii="Times New Roman" w:hAnsi="Times New Roman" w:cs="Times New Roman"/>
          <w:color w:val="000000" w:themeColor="text1"/>
          <w:lang w:val="uk-UA"/>
        </w:rPr>
        <w:t>ься у</w:t>
      </w:r>
      <w:r w:rsidR="000C487E" w:rsidRPr="000C487E">
        <w:rPr>
          <w:rFonts w:ascii="Times New Roman" w:hAnsi="Times New Roman" w:cs="Times New Roman"/>
          <w:color w:val="000000" w:themeColor="text1"/>
          <w:lang w:val="uk-UA"/>
        </w:rPr>
        <w:t xml:space="preserve"> </w:t>
      </w:r>
      <w:r w:rsidR="000E5681">
        <w:rPr>
          <w:rFonts w:ascii="Times New Roman" w:hAnsi="Times New Roman" w:cs="Times New Roman"/>
          <w:color w:val="000000" w:themeColor="text1"/>
          <w:lang w:val="uk-UA"/>
        </w:rPr>
        <w:t>керівництв</w:t>
      </w:r>
      <w:r w:rsidR="006F19EA">
        <w:rPr>
          <w:rFonts w:ascii="Times New Roman" w:hAnsi="Times New Roman" w:cs="Times New Roman"/>
          <w:color w:val="000000" w:themeColor="text1"/>
          <w:lang w:val="uk-UA"/>
        </w:rPr>
        <w:t>і</w:t>
      </w:r>
      <w:r w:rsidR="000E5681">
        <w:rPr>
          <w:rFonts w:ascii="Times New Roman" w:hAnsi="Times New Roman" w:cs="Times New Roman"/>
          <w:color w:val="000000" w:themeColor="text1"/>
          <w:lang w:val="uk-UA"/>
        </w:rPr>
        <w:t xml:space="preserve"> 2018 року. </w:t>
      </w:r>
      <w:r w:rsidR="000E5681" w:rsidRPr="005E2DF7">
        <w:rPr>
          <w:rFonts w:ascii="Times New Roman" w:hAnsi="Times New Roman" w:cs="Times New Roman"/>
          <w:color w:val="000000" w:themeColor="text1"/>
          <w:lang w:val="uk-UA"/>
        </w:rPr>
        <w:t>В у</w:t>
      </w:r>
      <w:r w:rsidR="006F19EA" w:rsidRPr="005E2DF7">
        <w:rPr>
          <w:rFonts w:ascii="Times New Roman" w:hAnsi="Times New Roman" w:cs="Times New Roman"/>
          <w:color w:val="000000" w:themeColor="text1"/>
          <w:lang w:val="uk-UA"/>
        </w:rPr>
        <w:t>мовах</w:t>
      </w:r>
      <w:r w:rsidR="000C487E" w:rsidRPr="005E2DF7">
        <w:rPr>
          <w:rFonts w:ascii="Times New Roman" w:hAnsi="Times New Roman" w:cs="Times New Roman"/>
          <w:color w:val="000000" w:themeColor="text1"/>
          <w:lang w:val="uk-UA"/>
        </w:rPr>
        <w:t xml:space="preserve">, де не </w:t>
      </w:r>
      <w:r w:rsidR="000E5681" w:rsidRPr="005E2DF7">
        <w:rPr>
          <w:rFonts w:ascii="Times New Roman" w:hAnsi="Times New Roman" w:cs="Times New Roman"/>
          <w:color w:val="000000" w:themeColor="text1"/>
          <w:lang w:val="uk-UA"/>
        </w:rPr>
        <w:t>застос</w:t>
      </w:r>
      <w:r w:rsidR="005E2DF7" w:rsidRPr="005E2DF7">
        <w:rPr>
          <w:rFonts w:ascii="Times New Roman" w:hAnsi="Times New Roman" w:cs="Times New Roman"/>
          <w:color w:val="000000" w:themeColor="text1"/>
          <w:lang w:val="uk-UA"/>
        </w:rPr>
        <w:t>овуються</w:t>
      </w:r>
      <w:r w:rsidR="000E5681" w:rsidRPr="005E2DF7">
        <w:rPr>
          <w:rFonts w:ascii="Times New Roman" w:hAnsi="Times New Roman" w:cs="Times New Roman"/>
          <w:color w:val="000000" w:themeColor="text1"/>
          <w:lang w:val="uk-UA"/>
        </w:rPr>
        <w:t xml:space="preserve"> схем</w:t>
      </w:r>
      <w:r w:rsidR="005E2DF7" w:rsidRPr="005E2DF7">
        <w:rPr>
          <w:rFonts w:ascii="Times New Roman" w:hAnsi="Times New Roman" w:cs="Times New Roman"/>
          <w:color w:val="000000" w:themeColor="text1"/>
          <w:lang w:val="uk-UA"/>
        </w:rPr>
        <w:t>и</w:t>
      </w:r>
      <w:r w:rsidR="000E5681" w:rsidRPr="005E2DF7">
        <w:rPr>
          <w:rFonts w:ascii="Times New Roman" w:hAnsi="Times New Roman" w:cs="Times New Roman"/>
          <w:color w:val="000000" w:themeColor="text1"/>
          <w:lang w:val="uk-UA"/>
        </w:rPr>
        <w:t xml:space="preserve"> лікування </w:t>
      </w:r>
      <w:r w:rsidR="005E2DF7" w:rsidRPr="005E2DF7">
        <w:rPr>
          <w:rFonts w:ascii="Times New Roman" w:hAnsi="Times New Roman" w:cs="Times New Roman"/>
          <w:color w:val="000000" w:themeColor="text1"/>
          <w:lang w:val="uk-UA"/>
        </w:rPr>
        <w:t>на основі</w:t>
      </w:r>
      <w:r w:rsidR="000E5681" w:rsidRPr="005E2DF7">
        <w:rPr>
          <w:rFonts w:ascii="Times New Roman" w:hAnsi="Times New Roman" w:cs="Times New Roman"/>
          <w:color w:val="000000" w:themeColor="text1"/>
          <w:lang w:val="uk-UA"/>
        </w:rPr>
        <w:t xml:space="preserve"> інтерферону (IFN)</w:t>
      </w:r>
      <w:r w:rsidR="005E2DF7" w:rsidRPr="005E2DF7">
        <w:rPr>
          <w:rFonts w:ascii="Times New Roman" w:hAnsi="Times New Roman" w:cs="Times New Roman"/>
          <w:color w:val="000000" w:themeColor="text1"/>
          <w:lang w:val="uk-UA"/>
        </w:rPr>
        <w:t xml:space="preserve"> та рибавірину</w:t>
      </w:r>
      <w:r w:rsidR="000E5681" w:rsidRPr="005E2DF7">
        <w:rPr>
          <w:rFonts w:ascii="Times New Roman" w:hAnsi="Times New Roman" w:cs="Times New Roman"/>
          <w:color w:val="000000" w:themeColor="text1"/>
          <w:lang w:val="uk-UA"/>
        </w:rPr>
        <w:t>,</w:t>
      </w:r>
      <w:r w:rsidR="000C487E" w:rsidRPr="005E2DF7">
        <w:rPr>
          <w:rFonts w:ascii="Times New Roman" w:hAnsi="Times New Roman" w:cs="Times New Roman"/>
          <w:color w:val="000000" w:themeColor="text1"/>
          <w:lang w:val="uk-UA"/>
        </w:rPr>
        <w:t xml:space="preserve"> </w:t>
      </w:r>
      <w:r w:rsidR="005E2DF7" w:rsidRPr="005E2DF7">
        <w:rPr>
          <w:rFonts w:ascii="Times New Roman" w:hAnsi="Times New Roman" w:cs="Times New Roman"/>
          <w:color w:val="000000" w:themeColor="text1"/>
          <w:lang w:val="uk-UA"/>
        </w:rPr>
        <w:t xml:space="preserve">схеми лікування </w:t>
      </w:r>
      <w:r w:rsidR="000C487E" w:rsidRPr="005E2DF7">
        <w:rPr>
          <w:rFonts w:ascii="Times New Roman" w:hAnsi="Times New Roman" w:cs="Times New Roman"/>
          <w:color w:val="000000" w:themeColor="text1"/>
          <w:lang w:val="uk-UA"/>
        </w:rPr>
        <w:t>запропоновані в попередніх варіантах цих рекомендацій, залишаються прийня</w:t>
      </w:r>
      <w:r w:rsidR="000E5681" w:rsidRPr="005E2DF7">
        <w:rPr>
          <w:rFonts w:ascii="Times New Roman" w:hAnsi="Times New Roman" w:cs="Times New Roman"/>
          <w:color w:val="000000" w:themeColor="text1"/>
          <w:lang w:val="uk-UA"/>
        </w:rPr>
        <w:t xml:space="preserve">тними для пацієнтів, для яких ці </w:t>
      </w:r>
      <w:r w:rsidR="000C487E" w:rsidRPr="005E2DF7">
        <w:rPr>
          <w:rFonts w:ascii="Times New Roman" w:hAnsi="Times New Roman" w:cs="Times New Roman"/>
          <w:color w:val="000000" w:themeColor="text1"/>
          <w:lang w:val="uk-UA"/>
        </w:rPr>
        <w:t>схеми</w:t>
      </w:r>
      <w:r w:rsidR="000E5681" w:rsidRPr="005E2DF7">
        <w:rPr>
          <w:rFonts w:ascii="Times New Roman" w:hAnsi="Times New Roman" w:cs="Times New Roman"/>
          <w:color w:val="000000" w:themeColor="text1"/>
          <w:lang w:val="uk-UA"/>
        </w:rPr>
        <w:t xml:space="preserve"> є ефективними, доки нові ПППД</w:t>
      </w:r>
      <w:r w:rsidR="000C487E" w:rsidRPr="005E2DF7">
        <w:rPr>
          <w:rFonts w:ascii="Times New Roman" w:hAnsi="Times New Roman" w:cs="Times New Roman"/>
          <w:color w:val="000000" w:themeColor="text1"/>
          <w:lang w:val="uk-UA"/>
        </w:rPr>
        <w:t xml:space="preserve"> </w:t>
      </w:r>
      <w:r w:rsidR="000E5681" w:rsidRPr="005E2DF7">
        <w:rPr>
          <w:rFonts w:ascii="Times New Roman" w:hAnsi="Times New Roman" w:cs="Times New Roman"/>
          <w:color w:val="000000" w:themeColor="text1"/>
          <w:lang w:val="uk-UA"/>
        </w:rPr>
        <w:t>стануть доступними</w:t>
      </w:r>
      <w:r w:rsidR="000C487E" w:rsidRPr="005E2DF7">
        <w:rPr>
          <w:rFonts w:ascii="Times New Roman" w:hAnsi="Times New Roman" w:cs="Times New Roman"/>
          <w:color w:val="000000" w:themeColor="text1"/>
          <w:lang w:val="uk-UA"/>
        </w:rPr>
        <w:t xml:space="preserve"> </w:t>
      </w:r>
      <w:r w:rsidR="00187E20">
        <w:rPr>
          <w:rFonts w:ascii="Times New Roman" w:hAnsi="Times New Roman" w:cs="Times New Roman"/>
          <w:color w:val="000000" w:themeColor="text1"/>
          <w:lang w:val="uk-UA"/>
        </w:rPr>
        <w:t>(</w:t>
      </w:r>
      <w:r w:rsidR="000C487E" w:rsidRPr="005E2DF7">
        <w:rPr>
          <w:rFonts w:ascii="Times New Roman" w:hAnsi="Times New Roman" w:cs="Times New Roman"/>
          <w:color w:val="000000" w:themeColor="text1"/>
          <w:lang w:val="uk-UA"/>
        </w:rPr>
        <w:t>див. попередні рекомендації EASL щодо лікування гепатиту C</w:t>
      </w:r>
      <w:r w:rsidR="00187E20">
        <w:rPr>
          <w:rFonts w:ascii="Times New Roman" w:hAnsi="Times New Roman" w:cs="Times New Roman"/>
          <w:color w:val="000000" w:themeColor="text1"/>
          <w:lang w:val="uk-UA"/>
        </w:rPr>
        <w:t>)</w:t>
      </w:r>
      <w:r w:rsidR="000C487E" w:rsidRPr="005E2DF7">
        <w:rPr>
          <w:rFonts w:ascii="Times New Roman" w:hAnsi="Times New Roman" w:cs="Times New Roman"/>
          <w:color w:val="000000" w:themeColor="text1"/>
          <w:lang w:val="uk-UA"/>
        </w:rPr>
        <w:t>.</w:t>
      </w:r>
      <w:r w:rsidR="000C487E" w:rsidRPr="005E2DF7">
        <w:rPr>
          <w:rFonts w:ascii="Times New Roman" w:hAnsi="Times New Roman" w:cs="Times New Roman"/>
          <w:b/>
          <w:color w:val="000000" w:themeColor="text1"/>
          <w:vertAlign w:val="superscript"/>
          <w:lang w:val="uk-UA"/>
        </w:rPr>
        <w:t>54,64</w:t>
      </w:r>
      <w:r w:rsidR="00FC6D8A">
        <w:rPr>
          <w:rFonts w:ascii="Times New Roman" w:hAnsi="Times New Roman" w:cs="Times New Roman"/>
          <w:b/>
          <w:color w:val="000000" w:themeColor="text1"/>
          <w:vertAlign w:val="superscript"/>
          <w:lang w:val="uk-UA"/>
        </w:rPr>
        <w:t>–</w:t>
      </w:r>
      <w:r w:rsidR="000C487E" w:rsidRPr="005E2DF7">
        <w:rPr>
          <w:rFonts w:ascii="Times New Roman" w:hAnsi="Times New Roman" w:cs="Times New Roman"/>
          <w:b/>
          <w:color w:val="000000" w:themeColor="text1"/>
          <w:vertAlign w:val="superscript"/>
          <w:lang w:val="uk-UA"/>
        </w:rPr>
        <w:t>66</w:t>
      </w:r>
    </w:p>
    <w:p w14:paraId="64926150" w14:textId="77777777" w:rsidR="000E5681" w:rsidRDefault="000E5681" w:rsidP="00F53078">
      <w:pPr>
        <w:tabs>
          <w:tab w:val="left" w:pos="1089"/>
        </w:tabs>
        <w:ind w:left="360"/>
        <w:jc w:val="both"/>
        <w:rPr>
          <w:rFonts w:ascii="Times New Roman" w:hAnsi="Times New Roman" w:cs="Times New Roman"/>
          <w:color w:val="000000" w:themeColor="text1"/>
          <w:lang w:val="uk-UA"/>
        </w:rPr>
      </w:pPr>
    </w:p>
    <w:p w14:paraId="2707C8BD" w14:textId="43EB7B45" w:rsidR="00D579BF" w:rsidRDefault="000C487E" w:rsidP="00F53078">
      <w:pPr>
        <w:tabs>
          <w:tab w:val="left" w:pos="1089"/>
        </w:tabs>
        <w:ind w:left="360"/>
        <w:jc w:val="both"/>
        <w:rPr>
          <w:rFonts w:ascii="Times New Roman" w:hAnsi="Times New Roman" w:cs="Times New Roman"/>
          <w:color w:val="000000" w:themeColor="text1"/>
          <w:lang w:val="uk-UA"/>
        </w:rPr>
      </w:pPr>
      <w:r w:rsidRPr="000C487E">
        <w:rPr>
          <w:rFonts w:ascii="Times New Roman" w:hAnsi="Times New Roman" w:cs="Times New Roman"/>
          <w:color w:val="000000" w:themeColor="text1"/>
          <w:lang w:val="uk-UA"/>
        </w:rPr>
        <w:t>Сподіваємось, що публік</w:t>
      </w:r>
      <w:r w:rsidR="005C3614">
        <w:rPr>
          <w:rFonts w:ascii="Times New Roman" w:hAnsi="Times New Roman" w:cs="Times New Roman"/>
          <w:color w:val="000000" w:themeColor="text1"/>
          <w:lang w:val="uk-UA"/>
        </w:rPr>
        <w:t>ація</w:t>
      </w:r>
      <w:r w:rsidRPr="000C487E">
        <w:rPr>
          <w:rFonts w:ascii="Times New Roman" w:hAnsi="Times New Roman" w:cs="Times New Roman"/>
          <w:color w:val="000000" w:themeColor="text1"/>
          <w:lang w:val="uk-UA"/>
        </w:rPr>
        <w:t xml:space="preserve"> сучасних рекомендацій </w:t>
      </w:r>
      <w:r w:rsidR="00EE40FE">
        <w:rPr>
          <w:rFonts w:ascii="Times New Roman" w:hAnsi="Times New Roman" w:cs="Times New Roman"/>
          <w:color w:val="000000" w:themeColor="text1"/>
          <w:lang w:val="uk-UA"/>
        </w:rPr>
        <w:t>буде сприяти наданню пільг та зниженню цін на лікарські засоби</w:t>
      </w:r>
      <w:r w:rsidRPr="000C487E">
        <w:rPr>
          <w:rFonts w:ascii="Times New Roman" w:hAnsi="Times New Roman" w:cs="Times New Roman"/>
          <w:color w:val="000000" w:themeColor="text1"/>
          <w:lang w:val="uk-UA"/>
        </w:rPr>
        <w:t xml:space="preserve">, з </w:t>
      </w:r>
      <w:r w:rsidR="000E5681">
        <w:rPr>
          <w:rFonts w:ascii="Times New Roman" w:hAnsi="Times New Roman" w:cs="Times New Roman"/>
          <w:color w:val="000000" w:themeColor="text1"/>
          <w:lang w:val="uk-UA"/>
        </w:rPr>
        <w:t xml:space="preserve">метою </w:t>
      </w:r>
      <w:r w:rsidR="00BB0C24">
        <w:rPr>
          <w:rFonts w:ascii="Times New Roman" w:hAnsi="Times New Roman" w:cs="Times New Roman"/>
          <w:color w:val="000000" w:themeColor="text1"/>
          <w:lang w:val="uk-UA"/>
        </w:rPr>
        <w:t>розширення їх використання</w:t>
      </w:r>
      <w:r w:rsidR="000E5681">
        <w:rPr>
          <w:rFonts w:ascii="Times New Roman" w:hAnsi="Times New Roman" w:cs="Times New Roman"/>
          <w:color w:val="000000" w:themeColor="text1"/>
          <w:lang w:val="uk-UA"/>
        </w:rPr>
        <w:t xml:space="preserve"> </w:t>
      </w:r>
      <w:r w:rsidRPr="000C487E">
        <w:rPr>
          <w:rFonts w:ascii="Times New Roman" w:hAnsi="Times New Roman" w:cs="Times New Roman"/>
          <w:color w:val="000000" w:themeColor="text1"/>
          <w:lang w:val="uk-UA"/>
        </w:rPr>
        <w:t>в різних країнах та регіонах.</w:t>
      </w:r>
    </w:p>
    <w:p w14:paraId="52A9E13B" w14:textId="77777777" w:rsidR="00D431BD" w:rsidRDefault="00D431BD" w:rsidP="000C487E">
      <w:pPr>
        <w:tabs>
          <w:tab w:val="left" w:pos="1089"/>
        </w:tabs>
        <w:ind w:left="360"/>
        <w:rPr>
          <w:rFonts w:ascii="Times New Roman" w:hAnsi="Times New Roman" w:cs="Times New Roman"/>
          <w:color w:val="000000" w:themeColor="text1"/>
          <w:lang w:val="uk-UA"/>
        </w:rPr>
      </w:pPr>
    </w:p>
    <w:tbl>
      <w:tblPr>
        <w:tblStyle w:val="a6"/>
        <w:tblW w:w="0" w:type="auto"/>
        <w:tblInd w:w="360" w:type="dxa"/>
        <w:tblLook w:val="04A0" w:firstRow="1" w:lastRow="0" w:firstColumn="1" w:lastColumn="0" w:noHBand="0" w:noVBand="1"/>
      </w:tblPr>
      <w:tblGrid>
        <w:gridCol w:w="9546"/>
      </w:tblGrid>
      <w:tr w:rsidR="00D431BD" w:rsidRPr="00652F9A" w14:paraId="77F27EC8" w14:textId="77777777" w:rsidTr="00D431BD">
        <w:tc>
          <w:tcPr>
            <w:tcW w:w="9906" w:type="dxa"/>
            <w:shd w:val="clear" w:color="auto" w:fill="DEEAF6" w:themeFill="accent1" w:themeFillTint="33"/>
          </w:tcPr>
          <w:p w14:paraId="2FC43701" w14:textId="77777777" w:rsidR="00D431BD" w:rsidRPr="00D431BD" w:rsidRDefault="00D431BD" w:rsidP="00F326C6">
            <w:pPr>
              <w:tabs>
                <w:tab w:val="left" w:pos="1089"/>
              </w:tabs>
              <w:ind w:firstLine="708"/>
              <w:jc w:val="both"/>
              <w:rPr>
                <w:rFonts w:ascii="Times New Roman" w:hAnsi="Times New Roman" w:cs="Times New Roman"/>
                <w:b/>
                <w:color w:val="000000" w:themeColor="text1"/>
                <w:lang w:val="uk-UA"/>
              </w:rPr>
            </w:pPr>
            <w:r w:rsidRPr="00D431BD">
              <w:rPr>
                <w:rFonts w:ascii="Times New Roman" w:hAnsi="Times New Roman" w:cs="Times New Roman"/>
                <w:b/>
                <w:color w:val="000000" w:themeColor="text1"/>
                <w:lang w:val="uk-UA"/>
              </w:rPr>
              <w:t>Рекомендації</w:t>
            </w:r>
          </w:p>
          <w:p w14:paraId="157EE8B3" w14:textId="0758896C" w:rsidR="00D431BD" w:rsidRPr="006E6AD8" w:rsidRDefault="00A35F33" w:rsidP="00015E3B">
            <w:pPr>
              <w:pStyle w:val="a9"/>
              <w:numPr>
                <w:ilvl w:val="0"/>
                <w:numId w:val="16"/>
              </w:numPr>
              <w:tabs>
                <w:tab w:val="left" w:pos="1089"/>
              </w:tabs>
              <w:jc w:val="both"/>
              <w:rPr>
                <w:rFonts w:ascii="Times New Roman" w:hAnsi="Times New Roman" w:cs="Times New Roman"/>
                <w:b/>
                <w:color w:val="000000" w:themeColor="text1"/>
                <w:lang w:val="uk-UA"/>
              </w:rPr>
            </w:pPr>
            <w:r w:rsidRPr="00F326C6">
              <w:rPr>
                <w:rFonts w:ascii="Times New Roman" w:hAnsi="Times New Roman" w:cs="Times New Roman"/>
                <w:color w:val="000000" w:themeColor="text1"/>
                <w:lang w:val="uk-UA"/>
              </w:rPr>
              <w:t>Схеми лікування без інтерферону, без рибавірину засновані на ПППД</w:t>
            </w:r>
            <w:r w:rsidR="00D431BD" w:rsidRPr="00F326C6">
              <w:rPr>
                <w:rFonts w:ascii="Times New Roman" w:hAnsi="Times New Roman" w:cs="Times New Roman"/>
                <w:color w:val="000000" w:themeColor="text1"/>
                <w:lang w:val="uk-UA"/>
              </w:rPr>
              <w:t>, повинні з</w:t>
            </w:r>
            <w:r w:rsidRPr="00F326C6">
              <w:rPr>
                <w:rFonts w:ascii="Times New Roman" w:hAnsi="Times New Roman" w:cs="Times New Roman"/>
                <w:color w:val="000000" w:themeColor="text1"/>
                <w:lang w:val="uk-UA"/>
              </w:rPr>
              <w:t xml:space="preserve">астосовуватися </w:t>
            </w:r>
            <w:r w:rsidR="005C3614">
              <w:rPr>
                <w:rFonts w:ascii="Times New Roman" w:hAnsi="Times New Roman" w:cs="Times New Roman"/>
                <w:color w:val="000000" w:themeColor="text1"/>
                <w:lang w:val="uk-UA"/>
              </w:rPr>
              <w:t>у</w:t>
            </w:r>
            <w:r w:rsidRPr="00F326C6">
              <w:rPr>
                <w:rFonts w:ascii="Times New Roman" w:hAnsi="Times New Roman" w:cs="Times New Roman"/>
                <w:color w:val="000000" w:themeColor="text1"/>
                <w:lang w:val="uk-UA"/>
              </w:rPr>
              <w:t xml:space="preserve"> пацієнтів з ВГС</w:t>
            </w:r>
            <w:r w:rsidR="00EE40FE">
              <w:rPr>
                <w:rFonts w:ascii="Times New Roman" w:hAnsi="Times New Roman" w:cs="Times New Roman"/>
                <w:color w:val="000000" w:themeColor="text1"/>
                <w:lang w:val="uk-UA"/>
              </w:rPr>
              <w:t>-</w:t>
            </w:r>
            <w:r w:rsidRPr="00F326C6">
              <w:rPr>
                <w:rFonts w:ascii="Times New Roman" w:hAnsi="Times New Roman" w:cs="Times New Roman"/>
                <w:color w:val="000000" w:themeColor="text1"/>
                <w:lang w:val="uk-UA"/>
              </w:rPr>
              <w:t>інфекцією без цирозу</w:t>
            </w:r>
            <w:r w:rsidR="00D431BD" w:rsidRPr="00F326C6">
              <w:rPr>
                <w:rFonts w:ascii="Times New Roman" w:hAnsi="Times New Roman" w:cs="Times New Roman"/>
                <w:color w:val="000000" w:themeColor="text1"/>
                <w:lang w:val="uk-UA"/>
              </w:rPr>
              <w:t xml:space="preserve"> печінки або з компенсованим цирозом (Child</w:t>
            </w:r>
            <w:r w:rsidR="00FC6D8A">
              <w:rPr>
                <w:rFonts w:ascii="Times New Roman" w:hAnsi="Times New Roman" w:cs="Times New Roman"/>
                <w:color w:val="000000" w:themeColor="text1"/>
                <w:lang w:val="uk-UA"/>
              </w:rPr>
              <w:t>–</w:t>
            </w:r>
            <w:r w:rsidR="00EE40FE">
              <w:rPr>
                <w:rFonts w:ascii="Times New Roman" w:hAnsi="Times New Roman" w:cs="Times New Roman"/>
                <w:color w:val="000000" w:themeColor="text1"/>
                <w:lang w:val="uk-UA"/>
              </w:rPr>
              <w:t xml:space="preserve">Pugh A), включаючи </w:t>
            </w:r>
            <w:r w:rsidR="00652F9A" w:rsidRPr="00652F9A">
              <w:rPr>
                <w:rFonts w:ascii="Times New Roman" w:hAnsi="Times New Roman" w:cs="Times New Roman"/>
                <w:color w:val="000000" w:themeColor="text1"/>
                <w:lang w:val="uk-UA"/>
              </w:rPr>
              <w:t>“</w:t>
            </w:r>
            <w:r w:rsidRPr="00F326C6">
              <w:rPr>
                <w:rFonts w:ascii="Times New Roman" w:hAnsi="Times New Roman" w:cs="Times New Roman"/>
                <w:color w:val="000000" w:themeColor="text1"/>
                <w:lang w:val="uk-UA"/>
              </w:rPr>
              <w:t>наївних</w:t>
            </w:r>
            <w:r w:rsidR="00652F9A" w:rsidRPr="00652F9A">
              <w:rPr>
                <w:rFonts w:ascii="Times New Roman" w:hAnsi="Times New Roman" w:cs="Times New Roman"/>
                <w:color w:val="000000" w:themeColor="text1"/>
                <w:lang w:val="uk-UA"/>
              </w:rPr>
              <w:t>”</w:t>
            </w:r>
            <w:r w:rsidRPr="00F326C6">
              <w:rPr>
                <w:rFonts w:ascii="Times New Roman" w:hAnsi="Times New Roman" w:cs="Times New Roman"/>
                <w:color w:val="000000" w:themeColor="text1"/>
                <w:lang w:val="uk-UA"/>
              </w:rPr>
              <w:t xml:space="preserve"> </w:t>
            </w:r>
            <w:r w:rsidR="00D431BD" w:rsidRPr="00F326C6">
              <w:rPr>
                <w:rFonts w:ascii="Times New Roman" w:hAnsi="Times New Roman" w:cs="Times New Roman"/>
                <w:color w:val="000000" w:themeColor="text1"/>
                <w:lang w:val="uk-UA"/>
              </w:rPr>
              <w:t>пацієнтів</w:t>
            </w:r>
            <w:r w:rsidR="00EE40FE">
              <w:rPr>
                <w:rFonts w:ascii="Times New Roman" w:hAnsi="Times New Roman" w:cs="Times New Roman"/>
                <w:color w:val="000000" w:themeColor="text1"/>
                <w:lang w:val="uk-UA"/>
              </w:rPr>
              <w:t xml:space="preserve"> </w:t>
            </w:r>
            <w:r w:rsidRPr="00F326C6">
              <w:rPr>
                <w:rFonts w:ascii="Times New Roman" w:hAnsi="Times New Roman" w:cs="Times New Roman"/>
                <w:color w:val="000000" w:themeColor="text1"/>
                <w:lang w:val="uk-UA"/>
              </w:rPr>
              <w:t>(</w:t>
            </w:r>
            <w:r w:rsidR="00D431BD" w:rsidRPr="00F326C6">
              <w:rPr>
                <w:rFonts w:ascii="Times New Roman" w:hAnsi="Times New Roman" w:cs="Times New Roman"/>
                <w:color w:val="000000" w:themeColor="text1"/>
                <w:lang w:val="uk-UA"/>
              </w:rPr>
              <w:t>паціє</w:t>
            </w:r>
            <w:r w:rsidRPr="00F326C6">
              <w:rPr>
                <w:rFonts w:ascii="Times New Roman" w:hAnsi="Times New Roman" w:cs="Times New Roman"/>
                <w:color w:val="000000" w:themeColor="text1"/>
                <w:lang w:val="uk-UA"/>
              </w:rPr>
              <w:t>нти, які ніколи не отримували лікування проти ВГС) та пацієнтів</w:t>
            </w:r>
            <w:r w:rsidR="00652F9A">
              <w:rPr>
                <w:rFonts w:ascii="Times New Roman" w:hAnsi="Times New Roman" w:cs="Times New Roman"/>
                <w:color w:val="000000" w:themeColor="text1"/>
                <w:lang w:val="uk-UA"/>
              </w:rPr>
              <w:t xml:space="preserve"> </w:t>
            </w:r>
            <w:bookmarkStart w:id="1" w:name="_Hlk5714439"/>
            <w:r w:rsidR="00652F9A">
              <w:rPr>
                <w:rFonts w:ascii="Times New Roman" w:hAnsi="Times New Roman" w:cs="Times New Roman"/>
                <w:color w:val="000000" w:themeColor="text1"/>
                <w:lang w:val="uk-UA"/>
              </w:rPr>
              <w:t>з досвідом лікування</w:t>
            </w:r>
            <w:r w:rsidR="00D431BD" w:rsidRPr="00F326C6">
              <w:rPr>
                <w:rFonts w:ascii="Times New Roman" w:hAnsi="Times New Roman" w:cs="Times New Roman"/>
                <w:color w:val="000000" w:themeColor="text1"/>
                <w:lang w:val="uk-UA"/>
              </w:rPr>
              <w:t xml:space="preserve"> </w:t>
            </w:r>
            <w:bookmarkEnd w:id="1"/>
            <w:r w:rsidR="00D431BD" w:rsidRPr="00F326C6">
              <w:rPr>
                <w:rFonts w:ascii="Times New Roman" w:hAnsi="Times New Roman" w:cs="Times New Roman"/>
                <w:color w:val="000000" w:themeColor="text1"/>
                <w:lang w:val="uk-UA"/>
              </w:rPr>
              <w:t>(визнач</w:t>
            </w:r>
            <w:r w:rsidR="00EE40FE">
              <w:rPr>
                <w:rFonts w:ascii="Times New Roman" w:hAnsi="Times New Roman" w:cs="Times New Roman"/>
                <w:color w:val="000000" w:themeColor="text1"/>
                <w:lang w:val="uk-UA"/>
              </w:rPr>
              <w:t>аються</w:t>
            </w:r>
            <w:r w:rsidR="00D431BD" w:rsidRPr="00F326C6">
              <w:rPr>
                <w:rFonts w:ascii="Times New Roman" w:hAnsi="Times New Roman" w:cs="Times New Roman"/>
                <w:color w:val="000000" w:themeColor="text1"/>
                <w:lang w:val="uk-UA"/>
              </w:rPr>
              <w:t xml:space="preserve"> як пацієнти,</w:t>
            </w:r>
            <w:r w:rsidRPr="00F326C6">
              <w:rPr>
                <w:rFonts w:ascii="Times New Roman" w:hAnsi="Times New Roman" w:cs="Times New Roman"/>
                <w:color w:val="000000" w:themeColor="text1"/>
                <w:lang w:val="uk-UA"/>
              </w:rPr>
              <w:t xml:space="preserve"> які раніше отримували пегінтерферон</w:t>
            </w:r>
            <w:r w:rsidR="00FC6D8A">
              <w:rPr>
                <w:rFonts w:ascii="Times New Roman" w:hAnsi="Times New Roman" w:cs="Times New Roman"/>
                <w:color w:val="000000" w:themeColor="text1"/>
                <w:lang w:val="uk-UA"/>
              </w:rPr>
              <w:t>–</w:t>
            </w:r>
            <w:r w:rsidRPr="00F326C6">
              <w:rPr>
                <w:rFonts w:ascii="Times New Roman" w:hAnsi="Times New Roman" w:cs="Times New Roman"/>
                <w:color w:val="000000" w:themeColor="text1"/>
                <w:lang w:val="uk-UA"/>
              </w:rPr>
              <w:t>альфа та ріба</w:t>
            </w:r>
            <w:r w:rsidR="00D431BD" w:rsidRPr="00F326C6">
              <w:rPr>
                <w:rFonts w:ascii="Times New Roman" w:hAnsi="Times New Roman" w:cs="Times New Roman"/>
                <w:color w:val="000000" w:themeColor="text1"/>
                <w:lang w:val="uk-UA"/>
              </w:rPr>
              <w:t xml:space="preserve">вірин, або </w:t>
            </w:r>
            <w:r w:rsidRPr="00F326C6">
              <w:rPr>
                <w:rFonts w:ascii="Times New Roman" w:hAnsi="Times New Roman" w:cs="Times New Roman"/>
                <w:color w:val="000000" w:themeColor="text1"/>
                <w:lang w:val="uk-UA"/>
              </w:rPr>
              <w:t>пегінтерферон</w:t>
            </w:r>
            <w:r w:rsidR="00FC6D8A">
              <w:rPr>
                <w:rFonts w:ascii="Times New Roman" w:hAnsi="Times New Roman" w:cs="Times New Roman"/>
                <w:color w:val="000000" w:themeColor="text1"/>
                <w:lang w:val="uk-UA"/>
              </w:rPr>
              <w:t>–</w:t>
            </w:r>
            <w:r w:rsidRPr="00F326C6">
              <w:rPr>
                <w:rFonts w:ascii="Times New Roman" w:hAnsi="Times New Roman" w:cs="Times New Roman"/>
                <w:color w:val="000000" w:themeColor="text1"/>
                <w:lang w:val="uk-UA"/>
              </w:rPr>
              <w:t>альфа, рибавірин та софосбувір, або софосбувір та рибавірин</w:t>
            </w:r>
            <w:r w:rsidR="00D431BD" w:rsidRPr="00F326C6">
              <w:rPr>
                <w:rFonts w:ascii="Times New Roman" w:hAnsi="Times New Roman" w:cs="Times New Roman"/>
                <w:color w:val="000000" w:themeColor="text1"/>
                <w:lang w:val="uk-UA"/>
              </w:rPr>
              <w:t xml:space="preserve">) через їх вірусологічну ефективність, легкість використання, безпеку та переносимість </w:t>
            </w:r>
            <w:r w:rsidR="00D431BD" w:rsidRPr="006E6AD8">
              <w:rPr>
                <w:rFonts w:ascii="Times New Roman" w:hAnsi="Times New Roman" w:cs="Times New Roman"/>
                <w:b/>
                <w:color w:val="000000" w:themeColor="text1"/>
                <w:lang w:val="uk-UA"/>
              </w:rPr>
              <w:t>(A1).</w:t>
            </w:r>
          </w:p>
          <w:p w14:paraId="40B1CB82" w14:textId="00CC9BD7" w:rsidR="00D431BD" w:rsidRPr="004B6405" w:rsidRDefault="00D431BD" w:rsidP="00015E3B">
            <w:pPr>
              <w:pStyle w:val="a9"/>
              <w:numPr>
                <w:ilvl w:val="0"/>
                <w:numId w:val="16"/>
              </w:numPr>
              <w:tabs>
                <w:tab w:val="left" w:pos="1089"/>
              </w:tabs>
              <w:jc w:val="both"/>
              <w:rPr>
                <w:rFonts w:ascii="Times New Roman" w:hAnsi="Times New Roman" w:cs="Times New Roman"/>
                <w:color w:val="000000" w:themeColor="text1"/>
                <w:lang w:val="uk-UA"/>
              </w:rPr>
            </w:pPr>
            <w:r w:rsidRPr="00F326C6">
              <w:rPr>
                <w:rFonts w:ascii="Times New Roman" w:hAnsi="Times New Roman" w:cs="Times New Roman"/>
                <w:color w:val="000000" w:themeColor="text1"/>
                <w:lang w:val="uk-UA"/>
              </w:rPr>
              <w:t>Такі ж режими л</w:t>
            </w:r>
            <w:r w:rsidR="008707AD" w:rsidRPr="00F326C6">
              <w:rPr>
                <w:rFonts w:ascii="Times New Roman" w:hAnsi="Times New Roman" w:cs="Times New Roman"/>
                <w:color w:val="000000" w:themeColor="text1"/>
                <w:lang w:val="uk-UA"/>
              </w:rPr>
              <w:t>ікування, що не містять IFN і</w:t>
            </w:r>
            <w:r w:rsidR="00EE40FE">
              <w:rPr>
                <w:rFonts w:ascii="Times New Roman" w:hAnsi="Times New Roman" w:cs="Times New Roman"/>
                <w:color w:val="000000" w:themeColor="text1"/>
                <w:lang w:val="uk-UA"/>
              </w:rPr>
              <w:t xml:space="preserve"> рибавірин, слід застосовувати у</w:t>
            </w:r>
            <w:r w:rsidRPr="00F326C6">
              <w:rPr>
                <w:rFonts w:ascii="Times New Roman" w:hAnsi="Times New Roman" w:cs="Times New Roman"/>
                <w:color w:val="000000" w:themeColor="text1"/>
                <w:lang w:val="uk-UA"/>
              </w:rPr>
              <w:t xml:space="preserve"> пацієнтів з</w:t>
            </w:r>
            <w:r w:rsidR="00525692">
              <w:rPr>
                <w:rFonts w:ascii="Times New Roman" w:hAnsi="Times New Roman" w:cs="Times New Roman"/>
                <w:color w:val="000000" w:themeColor="text1"/>
                <w:lang w:val="uk-UA"/>
              </w:rPr>
              <w:t xml:space="preserve"> </w:t>
            </w:r>
            <w:r w:rsidRPr="00F326C6">
              <w:rPr>
                <w:rFonts w:ascii="Times New Roman" w:hAnsi="Times New Roman" w:cs="Times New Roman"/>
                <w:color w:val="000000" w:themeColor="text1"/>
                <w:lang w:val="uk-UA"/>
              </w:rPr>
              <w:t>коінфекцією</w:t>
            </w:r>
            <w:r w:rsidR="00525692" w:rsidRPr="00F326C6">
              <w:rPr>
                <w:rFonts w:ascii="Times New Roman" w:hAnsi="Times New Roman" w:cs="Times New Roman"/>
                <w:color w:val="000000" w:themeColor="text1"/>
                <w:lang w:val="uk-UA"/>
              </w:rPr>
              <w:t xml:space="preserve"> ВІЛ</w:t>
            </w:r>
            <w:r w:rsidR="00525692">
              <w:rPr>
                <w:rFonts w:ascii="Times New Roman" w:hAnsi="Times New Roman" w:cs="Times New Roman"/>
                <w:color w:val="000000" w:themeColor="text1"/>
                <w:lang w:val="uk-UA"/>
              </w:rPr>
              <w:t>/ВГС</w:t>
            </w:r>
            <w:r w:rsidRPr="00F326C6">
              <w:rPr>
                <w:rFonts w:ascii="Times New Roman" w:hAnsi="Times New Roman" w:cs="Times New Roman"/>
                <w:color w:val="000000" w:themeColor="text1"/>
                <w:lang w:val="uk-UA"/>
              </w:rPr>
              <w:t xml:space="preserve">, </w:t>
            </w:r>
            <w:r w:rsidR="008707AD" w:rsidRPr="00F326C6">
              <w:rPr>
                <w:rFonts w:ascii="Times New Roman" w:hAnsi="Times New Roman" w:cs="Times New Roman"/>
                <w:color w:val="000000" w:themeColor="text1"/>
                <w:lang w:val="uk-UA"/>
              </w:rPr>
              <w:t xml:space="preserve">що й </w:t>
            </w:r>
            <w:r w:rsidRPr="00F326C6">
              <w:rPr>
                <w:rFonts w:ascii="Times New Roman" w:hAnsi="Times New Roman" w:cs="Times New Roman"/>
                <w:color w:val="000000" w:themeColor="text1"/>
                <w:lang w:val="uk-UA"/>
              </w:rPr>
              <w:t>у па</w:t>
            </w:r>
            <w:r w:rsidR="008707AD" w:rsidRPr="00F326C6">
              <w:rPr>
                <w:rFonts w:ascii="Times New Roman" w:hAnsi="Times New Roman" w:cs="Times New Roman"/>
                <w:color w:val="000000" w:themeColor="text1"/>
                <w:lang w:val="uk-UA"/>
              </w:rPr>
              <w:t>цієнтів без ВІЛ</w:t>
            </w:r>
            <w:r w:rsidR="00525692">
              <w:rPr>
                <w:rFonts w:ascii="Times New Roman" w:hAnsi="Times New Roman" w:cs="Times New Roman"/>
                <w:color w:val="000000" w:themeColor="text1"/>
                <w:lang w:val="uk-UA"/>
              </w:rPr>
              <w:t>-</w:t>
            </w:r>
            <w:r w:rsidR="008707AD" w:rsidRPr="00F326C6">
              <w:rPr>
                <w:rFonts w:ascii="Times New Roman" w:hAnsi="Times New Roman" w:cs="Times New Roman"/>
                <w:color w:val="000000" w:themeColor="text1"/>
                <w:lang w:val="uk-UA"/>
              </w:rPr>
              <w:t>інфекції, оскільки</w:t>
            </w:r>
            <w:r w:rsidRPr="00F326C6">
              <w:rPr>
                <w:rFonts w:ascii="Times New Roman" w:hAnsi="Times New Roman" w:cs="Times New Roman"/>
                <w:color w:val="000000" w:themeColor="text1"/>
                <w:lang w:val="uk-UA"/>
              </w:rPr>
              <w:t xml:space="preserve"> вірусологічні результати терапії ідентичні. Зміни в лікуванні або коригування дози слід проводити у разі взаємодії з антиретровірусними препаратами </w:t>
            </w:r>
            <w:r w:rsidRPr="006E6AD8">
              <w:rPr>
                <w:rFonts w:ascii="Times New Roman" w:hAnsi="Times New Roman" w:cs="Times New Roman"/>
                <w:b/>
                <w:color w:val="000000" w:themeColor="text1"/>
                <w:lang w:val="uk-UA"/>
              </w:rPr>
              <w:t>(А1).</w:t>
            </w:r>
          </w:p>
          <w:p w14:paraId="1A34D595" w14:textId="3E38F3F5" w:rsidR="00D431BD" w:rsidRPr="004B6405" w:rsidRDefault="00D431BD" w:rsidP="00EE40FE">
            <w:pPr>
              <w:pStyle w:val="a9"/>
              <w:numPr>
                <w:ilvl w:val="0"/>
                <w:numId w:val="16"/>
              </w:numPr>
              <w:tabs>
                <w:tab w:val="left" w:pos="1089"/>
              </w:tabs>
              <w:jc w:val="both"/>
              <w:rPr>
                <w:rFonts w:ascii="Times New Roman" w:hAnsi="Times New Roman" w:cs="Times New Roman"/>
                <w:color w:val="000000" w:themeColor="text1"/>
                <w:lang w:val="uk-UA"/>
              </w:rPr>
            </w:pPr>
            <w:r w:rsidRPr="004B6405">
              <w:rPr>
                <w:rFonts w:ascii="Times New Roman" w:hAnsi="Times New Roman" w:cs="Times New Roman"/>
                <w:color w:val="000000" w:themeColor="text1"/>
                <w:lang w:val="uk-UA"/>
              </w:rPr>
              <w:lastRenderedPageBreak/>
              <w:t>Якщо можливо (однакова тривалість лікув</w:t>
            </w:r>
            <w:r w:rsidR="008707AD" w:rsidRPr="004B6405">
              <w:rPr>
                <w:rFonts w:ascii="Times New Roman" w:hAnsi="Times New Roman" w:cs="Times New Roman"/>
                <w:color w:val="000000" w:themeColor="text1"/>
                <w:lang w:val="uk-UA"/>
              </w:rPr>
              <w:t>ання, еквівалентні показники швидкості СВВ</w:t>
            </w:r>
            <w:r w:rsidRPr="004B6405">
              <w:rPr>
                <w:rFonts w:ascii="Times New Roman" w:hAnsi="Times New Roman" w:cs="Times New Roman"/>
                <w:color w:val="000000" w:themeColor="text1"/>
                <w:lang w:val="uk-UA"/>
              </w:rPr>
              <w:t xml:space="preserve">), для зменшення ризику побічних ефектів та взаємодій між лікарськими </w:t>
            </w:r>
            <w:r w:rsidR="00EE40FE">
              <w:rPr>
                <w:rFonts w:ascii="Times New Roman" w:hAnsi="Times New Roman" w:cs="Times New Roman"/>
                <w:color w:val="000000" w:themeColor="text1"/>
                <w:lang w:val="uk-UA"/>
              </w:rPr>
              <w:t>засобами</w:t>
            </w:r>
            <w:r w:rsidRPr="004B6405">
              <w:rPr>
                <w:rFonts w:ascii="Times New Roman" w:hAnsi="Times New Roman" w:cs="Times New Roman"/>
                <w:color w:val="000000" w:themeColor="text1"/>
                <w:lang w:val="uk-UA"/>
              </w:rPr>
              <w:t xml:space="preserve"> </w:t>
            </w:r>
            <w:r w:rsidRPr="004B6405">
              <w:rPr>
                <w:rFonts w:ascii="Times New Roman" w:hAnsi="Times New Roman" w:cs="Times New Roman"/>
                <w:b/>
                <w:color w:val="000000" w:themeColor="text1"/>
                <w:lang w:val="uk-UA"/>
              </w:rPr>
              <w:t>(B1)</w:t>
            </w:r>
            <w:r w:rsidRPr="004B6405">
              <w:rPr>
                <w:rFonts w:ascii="Times New Roman" w:hAnsi="Times New Roman" w:cs="Times New Roman"/>
                <w:color w:val="000000" w:themeColor="text1"/>
                <w:lang w:val="uk-UA"/>
              </w:rPr>
              <w:t xml:space="preserve"> краще віддавати </w:t>
            </w:r>
            <w:r w:rsidR="008707AD" w:rsidRPr="004B6405">
              <w:rPr>
                <w:rFonts w:ascii="Times New Roman" w:hAnsi="Times New Roman" w:cs="Times New Roman"/>
                <w:color w:val="000000" w:themeColor="text1"/>
                <w:lang w:val="uk-UA"/>
              </w:rPr>
              <w:t>перевагу комбінованим схемам</w:t>
            </w:r>
            <w:r w:rsidRPr="004B6405">
              <w:rPr>
                <w:rFonts w:ascii="Times New Roman" w:hAnsi="Times New Roman" w:cs="Times New Roman"/>
                <w:color w:val="000000" w:themeColor="text1"/>
                <w:lang w:val="uk-UA"/>
              </w:rPr>
              <w:t>, що складаються з двох лікарських препаратів</w:t>
            </w:r>
            <w:r w:rsidR="008707AD" w:rsidRPr="004B6405">
              <w:rPr>
                <w:rFonts w:ascii="Times New Roman" w:hAnsi="Times New Roman" w:cs="Times New Roman"/>
                <w:color w:val="000000" w:themeColor="text1"/>
                <w:lang w:val="uk-UA"/>
              </w:rPr>
              <w:t>, аніж з трьох</w:t>
            </w:r>
          </w:p>
        </w:tc>
      </w:tr>
    </w:tbl>
    <w:p w14:paraId="5A328460" w14:textId="77777777" w:rsidR="00D431BD" w:rsidRDefault="00D431BD" w:rsidP="000C487E">
      <w:pPr>
        <w:tabs>
          <w:tab w:val="left" w:pos="1089"/>
        </w:tabs>
        <w:ind w:left="360"/>
        <w:rPr>
          <w:rFonts w:ascii="Times New Roman" w:hAnsi="Times New Roman" w:cs="Times New Roman"/>
          <w:color w:val="000000" w:themeColor="text1"/>
          <w:lang w:val="uk-UA"/>
        </w:rPr>
      </w:pPr>
    </w:p>
    <w:p w14:paraId="6C50CE61" w14:textId="77224D0B" w:rsidR="006F68CE" w:rsidRPr="006F68CE" w:rsidRDefault="006F68CE" w:rsidP="00F53078">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К</w:t>
      </w:r>
      <w:r w:rsidRPr="006F68CE">
        <w:rPr>
          <w:rFonts w:ascii="Times New Roman" w:hAnsi="Times New Roman" w:cs="Times New Roman"/>
          <w:color w:val="000000" w:themeColor="text1"/>
          <w:lang w:val="uk-UA"/>
        </w:rPr>
        <w:t xml:space="preserve">омбіновані схеми без IFN, </w:t>
      </w:r>
      <w:r>
        <w:rPr>
          <w:rFonts w:ascii="Times New Roman" w:hAnsi="Times New Roman" w:cs="Times New Roman"/>
          <w:color w:val="000000" w:themeColor="text1"/>
          <w:lang w:val="uk-UA"/>
        </w:rPr>
        <w:t>ефективні для кожного генотипу/підтипу представлені в табл. 6. Для кожного генотипу/</w:t>
      </w:r>
      <w:r w:rsidRPr="006F68CE">
        <w:rPr>
          <w:rFonts w:ascii="Times New Roman" w:hAnsi="Times New Roman" w:cs="Times New Roman"/>
          <w:color w:val="000000" w:themeColor="text1"/>
          <w:lang w:val="uk-UA"/>
        </w:rPr>
        <w:t>підтипу доступні варіанти підсумовуються в таблицях</w:t>
      </w:r>
      <w:r w:rsidR="00FA422A">
        <w:rPr>
          <w:rFonts w:ascii="Times New Roman" w:hAnsi="Times New Roman" w:cs="Times New Roman"/>
          <w:color w:val="000000" w:themeColor="text1"/>
          <w:lang w:val="uk-UA"/>
        </w:rPr>
        <w:t xml:space="preserve"> 7 і 8 для пацієнтів без цирозу печінки та з </w:t>
      </w:r>
      <w:r w:rsidRPr="006F68CE">
        <w:rPr>
          <w:rFonts w:ascii="Times New Roman" w:hAnsi="Times New Roman" w:cs="Times New Roman"/>
          <w:color w:val="000000" w:themeColor="text1"/>
          <w:lang w:val="uk-UA"/>
        </w:rPr>
        <w:t>компенсовани</w:t>
      </w:r>
      <w:r w:rsidR="00687952">
        <w:rPr>
          <w:rFonts w:ascii="Times New Roman" w:hAnsi="Times New Roman" w:cs="Times New Roman"/>
          <w:color w:val="000000" w:themeColor="text1"/>
          <w:lang w:val="uk-UA"/>
        </w:rPr>
        <w:t>м</w:t>
      </w:r>
      <w:r w:rsidRPr="006F68CE">
        <w:rPr>
          <w:rFonts w:ascii="Times New Roman" w:hAnsi="Times New Roman" w:cs="Times New Roman"/>
          <w:color w:val="000000" w:themeColor="text1"/>
          <w:lang w:val="uk-UA"/>
        </w:rPr>
        <w:t xml:space="preserve"> (Child</w:t>
      </w:r>
      <w:r w:rsidR="00FC6D8A">
        <w:rPr>
          <w:rFonts w:ascii="Times New Roman" w:hAnsi="Times New Roman" w:cs="Times New Roman"/>
          <w:color w:val="000000" w:themeColor="text1"/>
          <w:lang w:val="uk-UA"/>
        </w:rPr>
        <w:t>–</w:t>
      </w:r>
      <w:r w:rsidRPr="006F68CE">
        <w:rPr>
          <w:rFonts w:ascii="Times New Roman" w:hAnsi="Times New Roman" w:cs="Times New Roman"/>
          <w:color w:val="000000" w:themeColor="text1"/>
          <w:lang w:val="uk-UA"/>
        </w:rPr>
        <w:t>Pugh A) цироз</w:t>
      </w:r>
      <w:r w:rsidR="00687952">
        <w:rPr>
          <w:rFonts w:ascii="Times New Roman" w:hAnsi="Times New Roman" w:cs="Times New Roman"/>
          <w:color w:val="000000" w:themeColor="text1"/>
          <w:lang w:val="uk-UA"/>
        </w:rPr>
        <w:t>ом</w:t>
      </w:r>
      <w:r w:rsidRPr="006F68CE">
        <w:rPr>
          <w:rFonts w:ascii="Times New Roman" w:hAnsi="Times New Roman" w:cs="Times New Roman"/>
          <w:color w:val="000000" w:themeColor="text1"/>
          <w:lang w:val="uk-UA"/>
        </w:rPr>
        <w:t xml:space="preserve"> печінки.</w:t>
      </w:r>
    </w:p>
    <w:p w14:paraId="74E14417" w14:textId="30C8E3FC" w:rsidR="006F68CE" w:rsidRDefault="00FA422A" w:rsidP="00F53078">
      <w:pPr>
        <w:tabs>
          <w:tab w:val="left" w:pos="1089"/>
        </w:tabs>
        <w:ind w:left="360"/>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Для зручності</w:t>
      </w:r>
      <w:r w:rsidR="006F68CE" w:rsidRPr="006F68CE">
        <w:rPr>
          <w:rFonts w:ascii="Times New Roman" w:hAnsi="Times New Roman" w:cs="Times New Roman"/>
          <w:color w:val="000000" w:themeColor="text1"/>
          <w:lang w:val="uk-UA"/>
        </w:rPr>
        <w:t>, перелічені схеми починаються з панген</w:t>
      </w:r>
      <w:r w:rsidR="005C3614">
        <w:rPr>
          <w:rFonts w:ascii="Times New Roman" w:hAnsi="Times New Roman" w:cs="Times New Roman"/>
          <w:color w:val="000000" w:themeColor="text1"/>
          <w:lang w:val="uk-UA"/>
        </w:rPr>
        <w:t>отипних</w:t>
      </w:r>
      <w:r w:rsidR="006F68CE" w:rsidRPr="006F68CE">
        <w:rPr>
          <w:rFonts w:ascii="Times New Roman" w:hAnsi="Times New Roman" w:cs="Times New Roman"/>
          <w:color w:val="000000" w:themeColor="text1"/>
          <w:lang w:val="uk-UA"/>
        </w:rPr>
        <w:t xml:space="preserve"> комбінацій, за якими слідують </w:t>
      </w:r>
      <w:r w:rsidR="00EE40FE">
        <w:rPr>
          <w:rFonts w:ascii="Times New Roman" w:hAnsi="Times New Roman" w:cs="Times New Roman"/>
          <w:color w:val="000000" w:themeColor="text1"/>
          <w:lang w:val="uk-UA"/>
        </w:rPr>
        <w:t xml:space="preserve">схеми, </w:t>
      </w:r>
      <w:r w:rsidR="006F68CE" w:rsidRPr="006F68CE">
        <w:rPr>
          <w:rFonts w:ascii="Times New Roman" w:hAnsi="Times New Roman" w:cs="Times New Roman"/>
          <w:color w:val="000000" w:themeColor="text1"/>
          <w:lang w:val="uk-UA"/>
        </w:rPr>
        <w:t xml:space="preserve">специфічні для </w:t>
      </w:r>
      <w:r>
        <w:rPr>
          <w:rFonts w:ascii="Times New Roman" w:hAnsi="Times New Roman" w:cs="Times New Roman"/>
          <w:color w:val="000000" w:themeColor="text1"/>
          <w:lang w:val="uk-UA"/>
        </w:rPr>
        <w:t xml:space="preserve">кожного </w:t>
      </w:r>
      <w:r w:rsidR="006F68CE" w:rsidRPr="006F68CE">
        <w:rPr>
          <w:rFonts w:ascii="Times New Roman" w:hAnsi="Times New Roman" w:cs="Times New Roman"/>
          <w:color w:val="000000" w:themeColor="text1"/>
          <w:lang w:val="uk-UA"/>
        </w:rPr>
        <w:t>генотипу (</w:t>
      </w:r>
      <w:r>
        <w:rPr>
          <w:rFonts w:ascii="Times New Roman" w:hAnsi="Times New Roman" w:cs="Times New Roman"/>
          <w:color w:val="000000" w:themeColor="text1"/>
          <w:lang w:val="uk-UA"/>
        </w:rPr>
        <w:t>з софосбувіром та без).</w:t>
      </w:r>
    </w:p>
    <w:p w14:paraId="00ADF018" w14:textId="77777777" w:rsidR="006A5A2E" w:rsidRDefault="006A5A2E" w:rsidP="00F53078">
      <w:pPr>
        <w:tabs>
          <w:tab w:val="left" w:pos="1089"/>
        </w:tabs>
        <w:jc w:val="both"/>
        <w:rPr>
          <w:rFonts w:ascii="Times New Roman" w:hAnsi="Times New Roman" w:cs="Times New Roman"/>
          <w:color w:val="000000" w:themeColor="text1"/>
          <w:lang w:val="uk-UA"/>
        </w:rPr>
      </w:pPr>
    </w:p>
    <w:p w14:paraId="06D8C457" w14:textId="1E53137E" w:rsidR="006A5A2E" w:rsidRDefault="006A5A2E" w:rsidP="00F53078">
      <w:pPr>
        <w:tabs>
          <w:tab w:val="left" w:pos="1089"/>
        </w:tabs>
        <w:ind w:left="360"/>
        <w:jc w:val="both"/>
        <w:rPr>
          <w:rFonts w:ascii="Times New Roman" w:hAnsi="Times New Roman" w:cs="Times New Roman"/>
          <w:b/>
          <w:color w:val="000000" w:themeColor="text1"/>
          <w:lang w:val="uk-UA"/>
        </w:rPr>
      </w:pPr>
      <w:r w:rsidRPr="006A5A2E">
        <w:rPr>
          <w:rFonts w:ascii="Times New Roman" w:hAnsi="Times New Roman" w:cs="Times New Roman"/>
          <w:b/>
          <w:color w:val="000000" w:themeColor="text1"/>
          <w:lang w:val="uk-UA"/>
        </w:rPr>
        <w:t xml:space="preserve">Таблиця </w:t>
      </w:r>
      <w:r>
        <w:rPr>
          <w:rFonts w:ascii="Times New Roman" w:hAnsi="Times New Roman" w:cs="Times New Roman"/>
          <w:b/>
          <w:color w:val="000000" w:themeColor="text1"/>
          <w:lang w:val="uk-UA"/>
        </w:rPr>
        <w:t xml:space="preserve">6. Лікарські схеми, без </w:t>
      </w:r>
      <w:r w:rsidRPr="006A5A2E">
        <w:rPr>
          <w:rFonts w:ascii="Times New Roman" w:hAnsi="Times New Roman" w:cs="Times New Roman"/>
          <w:b/>
          <w:color w:val="000000" w:themeColor="text1"/>
          <w:lang w:val="uk-UA"/>
        </w:rPr>
        <w:t xml:space="preserve">IFN, без рибавірину, для </w:t>
      </w:r>
      <w:r w:rsidR="00652F9A" w:rsidRPr="00652F9A">
        <w:rPr>
          <w:rFonts w:ascii="Times New Roman" w:hAnsi="Times New Roman" w:cs="Times New Roman"/>
          <w:b/>
          <w:color w:val="000000" w:themeColor="text1"/>
          <w:lang w:val="uk-UA"/>
        </w:rPr>
        <w:t>“</w:t>
      </w:r>
      <w:r>
        <w:rPr>
          <w:rFonts w:ascii="Times New Roman" w:hAnsi="Times New Roman" w:cs="Times New Roman"/>
          <w:b/>
          <w:color w:val="000000" w:themeColor="text1"/>
          <w:lang w:val="uk-UA"/>
        </w:rPr>
        <w:t>наївних</w:t>
      </w:r>
      <w:r w:rsidR="00652F9A" w:rsidRPr="00652F9A">
        <w:rPr>
          <w:rFonts w:ascii="Times New Roman" w:hAnsi="Times New Roman" w:cs="Times New Roman"/>
          <w:b/>
          <w:color w:val="000000" w:themeColor="text1"/>
          <w:lang w:val="uk-UA"/>
        </w:rPr>
        <w:t>”</w:t>
      </w:r>
      <w:r>
        <w:rPr>
          <w:rFonts w:ascii="Times New Roman" w:hAnsi="Times New Roman" w:cs="Times New Roman"/>
          <w:b/>
          <w:color w:val="000000" w:themeColor="text1"/>
          <w:lang w:val="uk-UA"/>
        </w:rPr>
        <w:t xml:space="preserve"> (</w:t>
      </w:r>
      <w:r w:rsidRPr="006A5A2E">
        <w:rPr>
          <w:rFonts w:ascii="Times New Roman" w:hAnsi="Times New Roman" w:cs="Times New Roman"/>
          <w:b/>
          <w:color w:val="000000" w:themeColor="text1"/>
          <w:lang w:val="uk-UA"/>
        </w:rPr>
        <w:t xml:space="preserve">визначається як пацієнти, які ніколи не отримували лікували від інфекції ВГС) та </w:t>
      </w:r>
      <w:r w:rsidR="00EE40FE">
        <w:rPr>
          <w:rFonts w:ascii="Times New Roman" w:hAnsi="Times New Roman" w:cs="Times New Roman"/>
          <w:b/>
          <w:color w:val="000000" w:themeColor="text1"/>
          <w:lang w:val="uk-UA"/>
        </w:rPr>
        <w:t>пацієнтів</w:t>
      </w:r>
      <w:r w:rsidR="00652F9A">
        <w:rPr>
          <w:rFonts w:ascii="Times New Roman" w:hAnsi="Times New Roman" w:cs="Times New Roman"/>
          <w:b/>
          <w:color w:val="000000" w:themeColor="text1"/>
          <w:lang w:val="uk-UA"/>
        </w:rPr>
        <w:t xml:space="preserve"> </w:t>
      </w:r>
      <w:r w:rsidR="00652F9A" w:rsidRPr="00652F9A">
        <w:rPr>
          <w:rFonts w:ascii="Times New Roman" w:hAnsi="Times New Roman" w:cs="Times New Roman"/>
          <w:b/>
          <w:color w:val="000000" w:themeColor="text1"/>
          <w:lang w:val="uk-UA"/>
        </w:rPr>
        <w:t>з досвідом лікування</w:t>
      </w:r>
      <w:r w:rsidR="00EE40FE">
        <w:rPr>
          <w:rFonts w:ascii="Times New Roman" w:hAnsi="Times New Roman" w:cs="Times New Roman"/>
          <w:b/>
          <w:color w:val="000000" w:themeColor="text1"/>
          <w:lang w:val="uk-UA"/>
        </w:rPr>
        <w:t xml:space="preserve"> </w:t>
      </w:r>
      <w:r w:rsidRPr="006A5A2E">
        <w:rPr>
          <w:rFonts w:ascii="Times New Roman" w:hAnsi="Times New Roman" w:cs="Times New Roman"/>
          <w:b/>
          <w:color w:val="000000" w:themeColor="text1"/>
          <w:lang w:val="uk-UA"/>
        </w:rPr>
        <w:t>(</w:t>
      </w:r>
      <w:r w:rsidR="00EE40FE">
        <w:rPr>
          <w:rFonts w:ascii="Times New Roman" w:hAnsi="Times New Roman" w:cs="Times New Roman"/>
          <w:b/>
          <w:color w:val="000000" w:themeColor="text1"/>
          <w:lang w:val="uk-UA"/>
        </w:rPr>
        <w:t>особи</w:t>
      </w:r>
      <w:r w:rsidRPr="006A5A2E">
        <w:rPr>
          <w:rFonts w:ascii="Times New Roman" w:hAnsi="Times New Roman" w:cs="Times New Roman"/>
          <w:b/>
          <w:color w:val="000000" w:themeColor="text1"/>
          <w:lang w:val="uk-UA"/>
        </w:rPr>
        <w:t>, які раніше отримували пегінтерферон</w:t>
      </w:r>
      <w:r w:rsidR="00FC6D8A">
        <w:rPr>
          <w:rFonts w:ascii="Times New Roman" w:hAnsi="Times New Roman" w:cs="Times New Roman"/>
          <w:b/>
          <w:color w:val="000000" w:themeColor="text1"/>
          <w:lang w:val="uk-UA"/>
        </w:rPr>
        <w:t>–</w:t>
      </w:r>
      <w:r w:rsidRPr="006A5A2E">
        <w:rPr>
          <w:rFonts w:ascii="Times New Roman" w:hAnsi="Times New Roman" w:cs="Times New Roman"/>
          <w:b/>
          <w:color w:val="000000" w:themeColor="text1"/>
          <w:lang w:val="uk-UA"/>
        </w:rPr>
        <w:t>альфа та рібавірин, або пегінтерферон</w:t>
      </w:r>
      <w:r w:rsidR="00FC6D8A">
        <w:rPr>
          <w:rFonts w:ascii="Times New Roman" w:hAnsi="Times New Roman" w:cs="Times New Roman"/>
          <w:b/>
          <w:color w:val="000000" w:themeColor="text1"/>
          <w:lang w:val="uk-UA"/>
        </w:rPr>
        <w:t>–</w:t>
      </w:r>
      <w:r w:rsidRPr="006A5A2E">
        <w:rPr>
          <w:rFonts w:ascii="Times New Roman" w:hAnsi="Times New Roman" w:cs="Times New Roman"/>
          <w:b/>
          <w:color w:val="000000" w:themeColor="text1"/>
          <w:lang w:val="uk-UA"/>
        </w:rPr>
        <w:t>альфа, рибавірин та софосбувір, або софосбувір та рибавірин</w:t>
      </w:r>
      <w:r>
        <w:rPr>
          <w:rFonts w:ascii="Times New Roman" w:hAnsi="Times New Roman" w:cs="Times New Roman"/>
          <w:b/>
          <w:color w:val="000000" w:themeColor="text1"/>
          <w:lang w:val="uk-UA"/>
        </w:rPr>
        <w:t>) без цирозу</w:t>
      </w:r>
      <w:r w:rsidRPr="006A5A2E">
        <w:rPr>
          <w:rFonts w:ascii="Times New Roman" w:hAnsi="Times New Roman" w:cs="Times New Roman"/>
          <w:b/>
          <w:color w:val="000000" w:themeColor="text1"/>
          <w:lang w:val="uk-UA"/>
        </w:rPr>
        <w:t xml:space="preserve"> печ</w:t>
      </w:r>
      <w:r>
        <w:rPr>
          <w:rFonts w:ascii="Times New Roman" w:hAnsi="Times New Roman" w:cs="Times New Roman"/>
          <w:b/>
          <w:color w:val="000000" w:themeColor="text1"/>
          <w:lang w:val="uk-UA"/>
        </w:rPr>
        <w:t>інки або з компенсованим цироз</w:t>
      </w:r>
      <w:r w:rsidRPr="006A5A2E">
        <w:rPr>
          <w:rFonts w:ascii="Times New Roman" w:hAnsi="Times New Roman" w:cs="Times New Roman"/>
          <w:b/>
          <w:color w:val="000000" w:themeColor="text1"/>
          <w:lang w:val="uk-UA"/>
        </w:rPr>
        <w:t>ом (Child</w:t>
      </w:r>
      <w:r w:rsidR="00FC6D8A">
        <w:rPr>
          <w:rFonts w:ascii="Times New Roman" w:hAnsi="Times New Roman" w:cs="Times New Roman"/>
          <w:b/>
          <w:color w:val="000000" w:themeColor="text1"/>
          <w:lang w:val="uk-UA"/>
        </w:rPr>
        <w:t>–</w:t>
      </w:r>
      <w:r w:rsidRPr="006A5A2E">
        <w:rPr>
          <w:rFonts w:ascii="Times New Roman" w:hAnsi="Times New Roman" w:cs="Times New Roman"/>
          <w:b/>
          <w:color w:val="000000" w:themeColor="text1"/>
          <w:lang w:val="uk-UA"/>
        </w:rPr>
        <w:t xml:space="preserve">Pugh A), </w:t>
      </w:r>
      <w:r w:rsidR="00DC7F48">
        <w:rPr>
          <w:rFonts w:ascii="Times New Roman" w:hAnsi="Times New Roman" w:cs="Times New Roman"/>
          <w:b/>
          <w:color w:val="000000" w:themeColor="text1"/>
          <w:lang w:val="uk-UA"/>
        </w:rPr>
        <w:t xml:space="preserve">що </w:t>
      </w:r>
      <w:r w:rsidRPr="006A5A2E">
        <w:rPr>
          <w:rFonts w:ascii="Times New Roman" w:hAnsi="Times New Roman" w:cs="Times New Roman"/>
          <w:b/>
          <w:color w:val="000000" w:themeColor="text1"/>
          <w:lang w:val="uk-UA"/>
        </w:rPr>
        <w:t>реко</w:t>
      </w:r>
      <w:r w:rsidR="00DC7F48">
        <w:rPr>
          <w:rFonts w:ascii="Times New Roman" w:hAnsi="Times New Roman" w:cs="Times New Roman"/>
          <w:b/>
          <w:color w:val="000000" w:themeColor="text1"/>
          <w:lang w:val="uk-UA"/>
        </w:rPr>
        <w:t>мендуються для кожного генотипу/</w:t>
      </w:r>
      <w:r w:rsidRPr="006A5A2E">
        <w:rPr>
          <w:rFonts w:ascii="Times New Roman" w:hAnsi="Times New Roman" w:cs="Times New Roman"/>
          <w:b/>
          <w:color w:val="000000" w:themeColor="text1"/>
          <w:lang w:val="uk-UA"/>
        </w:rPr>
        <w:t>підтипу ВГС в 2018 році і далі.</w:t>
      </w:r>
    </w:p>
    <w:p w14:paraId="0405B030" w14:textId="3A60BF48" w:rsidR="005C3614" w:rsidRDefault="005C3614" w:rsidP="00F53078">
      <w:pPr>
        <w:tabs>
          <w:tab w:val="left" w:pos="1089"/>
        </w:tabs>
        <w:ind w:left="360"/>
        <w:jc w:val="both"/>
        <w:rPr>
          <w:rFonts w:ascii="Times New Roman" w:hAnsi="Times New Roman" w:cs="Times New Roman"/>
          <w:b/>
          <w:color w:val="000000" w:themeColor="text1"/>
          <w:lang w:val="uk-UA"/>
        </w:rPr>
      </w:pPr>
    </w:p>
    <w:tbl>
      <w:tblPr>
        <w:tblStyle w:val="a6"/>
        <w:tblW w:w="0" w:type="auto"/>
        <w:tblInd w:w="360" w:type="dxa"/>
        <w:tblLayout w:type="fixed"/>
        <w:tblLook w:val="04A0" w:firstRow="1" w:lastRow="0" w:firstColumn="1" w:lastColumn="0" w:noHBand="0" w:noVBand="1"/>
      </w:tblPr>
      <w:tblGrid>
        <w:gridCol w:w="1478"/>
        <w:gridCol w:w="851"/>
        <w:gridCol w:w="850"/>
        <w:gridCol w:w="851"/>
        <w:gridCol w:w="850"/>
        <w:gridCol w:w="851"/>
        <w:gridCol w:w="850"/>
      </w:tblGrid>
      <w:tr w:rsidR="005C3614" w14:paraId="4636B862" w14:textId="77777777" w:rsidTr="00682493">
        <w:tc>
          <w:tcPr>
            <w:tcW w:w="1478" w:type="dxa"/>
            <w:vMerge w:val="restart"/>
            <w:vAlign w:val="center"/>
          </w:tcPr>
          <w:p w14:paraId="3F1CB825" w14:textId="7696A3D7" w:rsidR="005C3614" w:rsidRDefault="005C3614" w:rsidP="00D005A1">
            <w:pPr>
              <w:tabs>
                <w:tab w:val="left" w:pos="1089"/>
              </w:tabs>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Генотип</w:t>
            </w:r>
          </w:p>
        </w:tc>
        <w:tc>
          <w:tcPr>
            <w:tcW w:w="2552" w:type="dxa"/>
            <w:gridSpan w:val="3"/>
          </w:tcPr>
          <w:p w14:paraId="4CE5F8D3" w14:textId="0739DE98" w:rsidR="005C3614" w:rsidRPr="005C3614" w:rsidRDefault="005C3614" w:rsidP="00D005A1">
            <w:pPr>
              <w:tabs>
                <w:tab w:val="left" w:pos="1089"/>
              </w:tabs>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Пангенотипні препарати</w:t>
            </w:r>
          </w:p>
        </w:tc>
        <w:tc>
          <w:tcPr>
            <w:tcW w:w="2551" w:type="dxa"/>
            <w:gridSpan w:val="3"/>
          </w:tcPr>
          <w:p w14:paraId="5F4070DD" w14:textId="12170E56" w:rsidR="005C3614" w:rsidRDefault="005C3614" w:rsidP="00D005A1">
            <w:pPr>
              <w:tabs>
                <w:tab w:val="left" w:pos="1089"/>
              </w:tabs>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Генотип</w:t>
            </w:r>
            <w:r w:rsidR="00FC6D8A">
              <w:rPr>
                <w:rFonts w:ascii="Times New Roman" w:hAnsi="Times New Roman" w:cs="Times New Roman"/>
                <w:b/>
                <w:color w:val="000000" w:themeColor="text1"/>
                <w:lang w:val="uk-UA"/>
              </w:rPr>
              <w:t>–</w:t>
            </w:r>
            <w:r>
              <w:rPr>
                <w:rFonts w:ascii="Times New Roman" w:hAnsi="Times New Roman" w:cs="Times New Roman"/>
                <w:b/>
                <w:color w:val="000000" w:themeColor="text1"/>
                <w:lang w:val="uk-UA"/>
              </w:rPr>
              <w:t>специфічні режими</w:t>
            </w:r>
          </w:p>
        </w:tc>
      </w:tr>
      <w:tr w:rsidR="005C3614" w14:paraId="2E244AAE" w14:textId="77777777" w:rsidTr="00682493">
        <w:tc>
          <w:tcPr>
            <w:tcW w:w="1478" w:type="dxa"/>
            <w:vMerge/>
          </w:tcPr>
          <w:p w14:paraId="3C4C693C" w14:textId="25FD0431" w:rsidR="005C3614" w:rsidRDefault="005C3614" w:rsidP="00F53078">
            <w:pPr>
              <w:tabs>
                <w:tab w:val="left" w:pos="1089"/>
              </w:tabs>
              <w:jc w:val="both"/>
              <w:rPr>
                <w:rFonts w:ascii="Times New Roman" w:hAnsi="Times New Roman" w:cs="Times New Roman"/>
                <w:b/>
                <w:color w:val="000000" w:themeColor="text1"/>
                <w:lang w:val="uk-UA"/>
              </w:rPr>
            </w:pPr>
          </w:p>
        </w:tc>
        <w:tc>
          <w:tcPr>
            <w:tcW w:w="851" w:type="dxa"/>
          </w:tcPr>
          <w:p w14:paraId="5A6DF045" w14:textId="3483E084" w:rsidR="005C3614" w:rsidRPr="00D005A1" w:rsidRDefault="005C3614" w:rsidP="00F53078">
            <w:pPr>
              <w:tabs>
                <w:tab w:val="left" w:pos="1089"/>
              </w:tabs>
              <w:jc w:val="both"/>
              <w:rPr>
                <w:rFonts w:ascii="Times New Roman" w:hAnsi="Times New Roman" w:cs="Times New Roman"/>
                <w:b/>
                <w:color w:val="000000" w:themeColor="text1"/>
                <w:lang w:val="it-IT"/>
              </w:rPr>
            </w:pPr>
            <w:r>
              <w:rPr>
                <w:rFonts w:ascii="Times New Roman" w:hAnsi="Times New Roman" w:cs="Times New Roman"/>
                <w:b/>
                <w:color w:val="000000" w:themeColor="text1"/>
                <w:lang w:val="it-IT"/>
              </w:rPr>
              <w:t>SOF/VEL</w:t>
            </w:r>
          </w:p>
        </w:tc>
        <w:tc>
          <w:tcPr>
            <w:tcW w:w="850" w:type="dxa"/>
          </w:tcPr>
          <w:p w14:paraId="46A7803A" w14:textId="522657FC" w:rsidR="005C3614" w:rsidRPr="00D005A1" w:rsidRDefault="005C3614" w:rsidP="00F53078">
            <w:pPr>
              <w:tabs>
                <w:tab w:val="left" w:pos="1089"/>
              </w:tabs>
              <w:jc w:val="both"/>
              <w:rPr>
                <w:rFonts w:ascii="Times New Roman" w:hAnsi="Times New Roman" w:cs="Times New Roman"/>
                <w:b/>
                <w:color w:val="000000" w:themeColor="text1"/>
                <w:lang w:val="it-IT"/>
              </w:rPr>
            </w:pPr>
            <w:r>
              <w:rPr>
                <w:rFonts w:ascii="Times New Roman" w:hAnsi="Times New Roman" w:cs="Times New Roman"/>
                <w:b/>
                <w:color w:val="000000" w:themeColor="text1"/>
                <w:lang w:val="it-IT"/>
              </w:rPr>
              <w:t>GLE/PIB</w:t>
            </w:r>
          </w:p>
        </w:tc>
        <w:tc>
          <w:tcPr>
            <w:tcW w:w="851" w:type="dxa"/>
          </w:tcPr>
          <w:p w14:paraId="22EEFFE6" w14:textId="7BAB77BB" w:rsidR="005C3614" w:rsidRPr="00D005A1" w:rsidRDefault="005C3614" w:rsidP="00F53078">
            <w:pPr>
              <w:tabs>
                <w:tab w:val="left" w:pos="1089"/>
              </w:tabs>
              <w:jc w:val="both"/>
              <w:rPr>
                <w:rFonts w:ascii="Times New Roman" w:hAnsi="Times New Roman" w:cs="Times New Roman"/>
                <w:b/>
                <w:color w:val="000000" w:themeColor="text1"/>
                <w:lang w:val="it-IT"/>
              </w:rPr>
            </w:pPr>
            <w:r>
              <w:rPr>
                <w:rFonts w:ascii="Times New Roman" w:hAnsi="Times New Roman" w:cs="Times New Roman"/>
                <w:b/>
                <w:color w:val="000000" w:themeColor="text1"/>
                <w:lang w:val="it-IT"/>
              </w:rPr>
              <w:t>SOF/VEL/VOX</w:t>
            </w:r>
          </w:p>
        </w:tc>
        <w:tc>
          <w:tcPr>
            <w:tcW w:w="850" w:type="dxa"/>
          </w:tcPr>
          <w:p w14:paraId="45DBD154" w14:textId="0D8E5018" w:rsidR="005C3614" w:rsidRPr="00D005A1" w:rsidRDefault="005C3614" w:rsidP="00F53078">
            <w:pPr>
              <w:tabs>
                <w:tab w:val="left" w:pos="1089"/>
              </w:tabs>
              <w:jc w:val="both"/>
              <w:rPr>
                <w:rFonts w:ascii="Times New Roman" w:hAnsi="Times New Roman" w:cs="Times New Roman"/>
                <w:b/>
                <w:color w:val="000000" w:themeColor="text1"/>
                <w:lang w:val="it-IT"/>
              </w:rPr>
            </w:pPr>
            <w:r>
              <w:rPr>
                <w:rFonts w:ascii="Times New Roman" w:hAnsi="Times New Roman" w:cs="Times New Roman"/>
                <w:b/>
                <w:color w:val="000000" w:themeColor="text1"/>
                <w:lang w:val="it-IT"/>
              </w:rPr>
              <w:t>SOF/LDV</w:t>
            </w:r>
          </w:p>
        </w:tc>
        <w:tc>
          <w:tcPr>
            <w:tcW w:w="851" w:type="dxa"/>
          </w:tcPr>
          <w:p w14:paraId="1CFA54E4" w14:textId="43282E4A" w:rsidR="005C3614" w:rsidRPr="00D005A1" w:rsidRDefault="005C3614" w:rsidP="00F53078">
            <w:pPr>
              <w:tabs>
                <w:tab w:val="left" w:pos="1089"/>
              </w:tabs>
              <w:jc w:val="both"/>
              <w:rPr>
                <w:rFonts w:ascii="Times New Roman" w:hAnsi="Times New Roman" w:cs="Times New Roman"/>
                <w:b/>
                <w:color w:val="000000" w:themeColor="text1"/>
                <w:lang w:val="it-IT"/>
              </w:rPr>
            </w:pPr>
            <w:r>
              <w:rPr>
                <w:rFonts w:ascii="Times New Roman" w:hAnsi="Times New Roman" w:cs="Times New Roman"/>
                <w:b/>
                <w:color w:val="000000" w:themeColor="text1"/>
                <w:lang w:val="it-IT"/>
              </w:rPr>
              <w:t>GZR/EBR</w:t>
            </w:r>
          </w:p>
        </w:tc>
        <w:tc>
          <w:tcPr>
            <w:tcW w:w="850" w:type="dxa"/>
          </w:tcPr>
          <w:p w14:paraId="7B37BBEF" w14:textId="77777777" w:rsidR="005C3614" w:rsidRDefault="005C3614">
            <w:pPr>
              <w:tabs>
                <w:tab w:val="left" w:pos="1089"/>
              </w:tabs>
              <w:jc w:val="both"/>
              <w:rPr>
                <w:rFonts w:ascii="Times New Roman" w:hAnsi="Times New Roman" w:cs="Times New Roman"/>
                <w:b/>
                <w:color w:val="000000" w:themeColor="text1"/>
                <w:lang w:val="it-IT"/>
              </w:rPr>
            </w:pPr>
            <w:r>
              <w:rPr>
                <w:rFonts w:ascii="Times New Roman" w:hAnsi="Times New Roman" w:cs="Times New Roman"/>
                <w:b/>
                <w:color w:val="000000" w:themeColor="text1"/>
                <w:lang w:val="it-IT"/>
              </w:rPr>
              <w:t>OBV/PTV/r+</w:t>
            </w:r>
          </w:p>
          <w:p w14:paraId="4A976C58" w14:textId="1B252637" w:rsidR="005C3614" w:rsidRPr="00D005A1" w:rsidRDefault="005C3614">
            <w:pPr>
              <w:tabs>
                <w:tab w:val="left" w:pos="1089"/>
              </w:tabs>
              <w:jc w:val="both"/>
              <w:rPr>
                <w:rFonts w:ascii="Times New Roman" w:hAnsi="Times New Roman" w:cs="Times New Roman"/>
                <w:b/>
                <w:color w:val="000000" w:themeColor="text1"/>
                <w:lang w:val="it-IT"/>
              </w:rPr>
            </w:pPr>
            <w:r>
              <w:rPr>
                <w:rFonts w:ascii="Times New Roman" w:hAnsi="Times New Roman" w:cs="Times New Roman"/>
                <w:b/>
                <w:color w:val="000000" w:themeColor="text1"/>
                <w:lang w:val="it-IT"/>
              </w:rPr>
              <w:t>DSV</w:t>
            </w:r>
          </w:p>
        </w:tc>
      </w:tr>
      <w:tr w:rsidR="005C3614" w14:paraId="19EF83D7" w14:textId="77777777" w:rsidTr="00D005A1">
        <w:tc>
          <w:tcPr>
            <w:tcW w:w="1478" w:type="dxa"/>
          </w:tcPr>
          <w:p w14:paraId="4151BF77" w14:textId="7B3A26E8" w:rsidR="005C3614" w:rsidRDefault="005C3614"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Генотип 1а</w:t>
            </w:r>
          </w:p>
        </w:tc>
        <w:tc>
          <w:tcPr>
            <w:tcW w:w="851" w:type="dxa"/>
            <w:shd w:val="clear" w:color="auto" w:fill="92D050"/>
          </w:tcPr>
          <w:p w14:paraId="782B124B" w14:textId="2FD4AED6" w:rsidR="005C3614" w:rsidRDefault="005C3614"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Так</w:t>
            </w:r>
          </w:p>
        </w:tc>
        <w:tc>
          <w:tcPr>
            <w:tcW w:w="850" w:type="dxa"/>
            <w:shd w:val="clear" w:color="auto" w:fill="92D050"/>
          </w:tcPr>
          <w:p w14:paraId="2769ADD3" w14:textId="1B73317C" w:rsidR="005C3614" w:rsidRDefault="005C3614"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Так</w:t>
            </w:r>
          </w:p>
        </w:tc>
        <w:tc>
          <w:tcPr>
            <w:tcW w:w="851" w:type="dxa"/>
            <w:shd w:val="clear" w:color="auto" w:fill="D34D86"/>
          </w:tcPr>
          <w:p w14:paraId="1C3E44C2" w14:textId="20CC85DB" w:rsidR="005C3614" w:rsidRDefault="005C3614"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Ні⃰</w:t>
            </w:r>
          </w:p>
        </w:tc>
        <w:tc>
          <w:tcPr>
            <w:tcW w:w="850" w:type="dxa"/>
            <w:shd w:val="clear" w:color="auto" w:fill="92D050"/>
          </w:tcPr>
          <w:p w14:paraId="1BE0766F" w14:textId="7D23C1F4" w:rsidR="005C3614" w:rsidRPr="00D005A1" w:rsidRDefault="00AF350A" w:rsidP="005C3614">
            <w:pPr>
              <w:tabs>
                <w:tab w:val="left" w:pos="1089"/>
              </w:tabs>
              <w:jc w:val="both"/>
              <w:rPr>
                <w:rFonts w:ascii="Times New Roman" w:hAnsi="Times New Roman" w:cs="Times New Roman"/>
                <w:b/>
                <w:color w:val="000000" w:themeColor="text1"/>
                <w:lang w:val="it-IT"/>
              </w:rPr>
            </w:pPr>
            <w:r>
              <w:rPr>
                <w:rFonts w:ascii="Times New Roman" w:hAnsi="Times New Roman" w:cs="Times New Roman"/>
                <w:b/>
                <w:color w:val="000000" w:themeColor="text1"/>
                <w:lang w:val="uk-UA"/>
              </w:rPr>
              <w:t>Так</w:t>
            </w:r>
            <w:r w:rsidRPr="00D005A1">
              <w:rPr>
                <w:rFonts w:ascii="Times New Roman" w:hAnsi="Times New Roman" w:cs="Times New Roman"/>
                <w:b/>
                <w:color w:val="000000" w:themeColor="text1"/>
                <w:vertAlign w:val="superscript"/>
                <w:lang w:val="it-IT"/>
              </w:rPr>
              <w:t>a</w:t>
            </w:r>
          </w:p>
        </w:tc>
        <w:tc>
          <w:tcPr>
            <w:tcW w:w="851" w:type="dxa"/>
            <w:shd w:val="clear" w:color="auto" w:fill="92D050"/>
          </w:tcPr>
          <w:p w14:paraId="0D2C3D65" w14:textId="52E09749" w:rsidR="005C3614" w:rsidRDefault="00AF350A"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Так</w:t>
            </w:r>
            <w:r>
              <w:rPr>
                <w:rFonts w:ascii="Times New Roman" w:hAnsi="Times New Roman" w:cs="Times New Roman"/>
                <w:b/>
                <w:color w:val="000000" w:themeColor="text1"/>
                <w:vertAlign w:val="superscript"/>
                <w:lang w:val="it-IT"/>
              </w:rPr>
              <w:t>b</w:t>
            </w:r>
          </w:p>
        </w:tc>
        <w:tc>
          <w:tcPr>
            <w:tcW w:w="850" w:type="dxa"/>
            <w:shd w:val="clear" w:color="auto" w:fill="D34D86"/>
          </w:tcPr>
          <w:p w14:paraId="753C0096" w14:textId="67D53059" w:rsidR="005C3614" w:rsidRDefault="00AF350A"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Ні</w:t>
            </w:r>
          </w:p>
        </w:tc>
      </w:tr>
      <w:tr w:rsidR="005C3614" w14:paraId="6A644EA0" w14:textId="77777777" w:rsidTr="00D005A1">
        <w:tc>
          <w:tcPr>
            <w:tcW w:w="1478" w:type="dxa"/>
          </w:tcPr>
          <w:p w14:paraId="14A180A3" w14:textId="5BEDFB0E" w:rsidR="005C3614" w:rsidRPr="00D005A1" w:rsidRDefault="005C3614" w:rsidP="005C3614">
            <w:pPr>
              <w:tabs>
                <w:tab w:val="left" w:pos="1089"/>
              </w:tabs>
              <w:jc w:val="both"/>
              <w:rPr>
                <w:rFonts w:ascii="Times New Roman" w:hAnsi="Times New Roman" w:cs="Times New Roman"/>
                <w:b/>
                <w:color w:val="000000" w:themeColor="text1"/>
                <w:lang w:val="it-IT"/>
              </w:rPr>
            </w:pPr>
            <w:r>
              <w:rPr>
                <w:rFonts w:ascii="Times New Roman" w:hAnsi="Times New Roman" w:cs="Times New Roman"/>
                <w:b/>
                <w:color w:val="000000" w:themeColor="text1"/>
                <w:lang w:val="uk-UA"/>
              </w:rPr>
              <w:t>Генотип 1</w:t>
            </w:r>
            <w:r>
              <w:rPr>
                <w:rFonts w:ascii="Times New Roman" w:hAnsi="Times New Roman" w:cs="Times New Roman"/>
                <w:b/>
                <w:color w:val="000000" w:themeColor="text1"/>
                <w:lang w:val="it-IT"/>
              </w:rPr>
              <w:t>b</w:t>
            </w:r>
          </w:p>
        </w:tc>
        <w:tc>
          <w:tcPr>
            <w:tcW w:w="851" w:type="dxa"/>
            <w:shd w:val="clear" w:color="auto" w:fill="92D050"/>
          </w:tcPr>
          <w:p w14:paraId="12D0A32B" w14:textId="23D782CE" w:rsidR="005C3614" w:rsidRDefault="005C3614"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Так</w:t>
            </w:r>
          </w:p>
        </w:tc>
        <w:tc>
          <w:tcPr>
            <w:tcW w:w="850" w:type="dxa"/>
            <w:shd w:val="clear" w:color="auto" w:fill="92D050"/>
          </w:tcPr>
          <w:p w14:paraId="691053B4" w14:textId="2D3E2C01" w:rsidR="005C3614" w:rsidRDefault="005C3614"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Так</w:t>
            </w:r>
          </w:p>
        </w:tc>
        <w:tc>
          <w:tcPr>
            <w:tcW w:w="851" w:type="dxa"/>
            <w:shd w:val="clear" w:color="auto" w:fill="D34D86"/>
          </w:tcPr>
          <w:p w14:paraId="32680B3D" w14:textId="32AF8D2C" w:rsidR="005C3614" w:rsidRDefault="005C3614"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Ні⃰</w:t>
            </w:r>
          </w:p>
        </w:tc>
        <w:tc>
          <w:tcPr>
            <w:tcW w:w="850" w:type="dxa"/>
            <w:shd w:val="clear" w:color="auto" w:fill="92D050"/>
          </w:tcPr>
          <w:p w14:paraId="5C83FDBF" w14:textId="29BA6493" w:rsidR="005C3614" w:rsidRDefault="00AF350A"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Так</w:t>
            </w:r>
          </w:p>
        </w:tc>
        <w:tc>
          <w:tcPr>
            <w:tcW w:w="851" w:type="dxa"/>
            <w:shd w:val="clear" w:color="auto" w:fill="92D050"/>
          </w:tcPr>
          <w:p w14:paraId="4EAA7961" w14:textId="7A920AF3" w:rsidR="005C3614" w:rsidRDefault="00AF350A"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Так</w:t>
            </w:r>
          </w:p>
        </w:tc>
        <w:tc>
          <w:tcPr>
            <w:tcW w:w="850" w:type="dxa"/>
            <w:shd w:val="clear" w:color="auto" w:fill="92D050"/>
          </w:tcPr>
          <w:p w14:paraId="7CFF54C7" w14:textId="31C365A8" w:rsidR="005C3614" w:rsidRDefault="00AF350A"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Так</w:t>
            </w:r>
          </w:p>
        </w:tc>
      </w:tr>
      <w:tr w:rsidR="005C3614" w14:paraId="0B522B1D" w14:textId="77777777" w:rsidTr="00D005A1">
        <w:tc>
          <w:tcPr>
            <w:tcW w:w="1478" w:type="dxa"/>
          </w:tcPr>
          <w:p w14:paraId="2529458A" w14:textId="4CF3A891" w:rsidR="005C3614" w:rsidRPr="00D005A1" w:rsidRDefault="005C3614" w:rsidP="005C3614">
            <w:pPr>
              <w:tabs>
                <w:tab w:val="left" w:pos="1089"/>
              </w:tabs>
              <w:jc w:val="both"/>
              <w:rPr>
                <w:rFonts w:ascii="Times New Roman" w:hAnsi="Times New Roman" w:cs="Times New Roman"/>
                <w:b/>
                <w:color w:val="000000" w:themeColor="text1"/>
                <w:lang w:val="it-IT"/>
              </w:rPr>
            </w:pPr>
            <w:r>
              <w:rPr>
                <w:rFonts w:ascii="Times New Roman" w:hAnsi="Times New Roman" w:cs="Times New Roman"/>
                <w:b/>
                <w:color w:val="000000" w:themeColor="text1"/>
                <w:lang w:val="uk-UA"/>
              </w:rPr>
              <w:t>Генотип</w:t>
            </w:r>
            <w:r>
              <w:rPr>
                <w:rFonts w:ascii="Times New Roman" w:hAnsi="Times New Roman" w:cs="Times New Roman"/>
                <w:b/>
                <w:color w:val="000000" w:themeColor="text1"/>
                <w:lang w:val="it-IT"/>
              </w:rPr>
              <w:t xml:space="preserve"> 2</w:t>
            </w:r>
          </w:p>
        </w:tc>
        <w:tc>
          <w:tcPr>
            <w:tcW w:w="851" w:type="dxa"/>
            <w:shd w:val="clear" w:color="auto" w:fill="92D050"/>
          </w:tcPr>
          <w:p w14:paraId="3B5D8AD0" w14:textId="656353C2" w:rsidR="005C3614" w:rsidRDefault="005C3614"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Так</w:t>
            </w:r>
          </w:p>
        </w:tc>
        <w:tc>
          <w:tcPr>
            <w:tcW w:w="850" w:type="dxa"/>
            <w:shd w:val="clear" w:color="auto" w:fill="92D050"/>
          </w:tcPr>
          <w:p w14:paraId="0EA31293" w14:textId="452AE08E" w:rsidR="005C3614" w:rsidRDefault="005C3614"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Так</w:t>
            </w:r>
          </w:p>
        </w:tc>
        <w:tc>
          <w:tcPr>
            <w:tcW w:w="851" w:type="dxa"/>
            <w:shd w:val="clear" w:color="auto" w:fill="D34D86"/>
          </w:tcPr>
          <w:p w14:paraId="210C500B" w14:textId="6D5EE83F" w:rsidR="005C3614" w:rsidRDefault="005C3614"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Ні⃰</w:t>
            </w:r>
          </w:p>
        </w:tc>
        <w:tc>
          <w:tcPr>
            <w:tcW w:w="850" w:type="dxa"/>
            <w:shd w:val="clear" w:color="auto" w:fill="D34D86"/>
          </w:tcPr>
          <w:p w14:paraId="70678A23" w14:textId="75399245" w:rsidR="005C3614" w:rsidRDefault="00AF350A"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Ні</w:t>
            </w:r>
          </w:p>
        </w:tc>
        <w:tc>
          <w:tcPr>
            <w:tcW w:w="851" w:type="dxa"/>
            <w:shd w:val="clear" w:color="auto" w:fill="D34D86"/>
          </w:tcPr>
          <w:p w14:paraId="4F2B603E" w14:textId="16C3B7BC" w:rsidR="005C3614" w:rsidRPr="00AF350A" w:rsidRDefault="00AF350A"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Ні</w:t>
            </w:r>
          </w:p>
        </w:tc>
        <w:tc>
          <w:tcPr>
            <w:tcW w:w="850" w:type="dxa"/>
            <w:shd w:val="clear" w:color="auto" w:fill="D34D86"/>
          </w:tcPr>
          <w:p w14:paraId="4E180A5B" w14:textId="45A380AA" w:rsidR="005C3614" w:rsidRDefault="00AF350A"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Ні</w:t>
            </w:r>
          </w:p>
        </w:tc>
      </w:tr>
      <w:tr w:rsidR="005C3614" w14:paraId="7397D044" w14:textId="77777777" w:rsidTr="00D005A1">
        <w:tc>
          <w:tcPr>
            <w:tcW w:w="1478" w:type="dxa"/>
          </w:tcPr>
          <w:p w14:paraId="6A4CBA25" w14:textId="59121E1C" w:rsidR="005C3614" w:rsidRPr="00D005A1" w:rsidRDefault="005C3614" w:rsidP="005C3614">
            <w:pPr>
              <w:tabs>
                <w:tab w:val="left" w:pos="1089"/>
              </w:tabs>
              <w:jc w:val="both"/>
              <w:rPr>
                <w:rFonts w:ascii="Times New Roman" w:hAnsi="Times New Roman" w:cs="Times New Roman"/>
                <w:b/>
                <w:color w:val="000000" w:themeColor="text1"/>
                <w:lang w:val="it-IT"/>
              </w:rPr>
            </w:pPr>
            <w:r>
              <w:rPr>
                <w:rFonts w:ascii="Times New Roman" w:hAnsi="Times New Roman" w:cs="Times New Roman"/>
                <w:b/>
                <w:color w:val="000000" w:themeColor="text1"/>
                <w:lang w:val="uk-UA"/>
              </w:rPr>
              <w:t>Генотип</w:t>
            </w:r>
            <w:r>
              <w:rPr>
                <w:rFonts w:ascii="Times New Roman" w:hAnsi="Times New Roman" w:cs="Times New Roman"/>
                <w:b/>
                <w:color w:val="000000" w:themeColor="text1"/>
                <w:lang w:val="it-IT"/>
              </w:rPr>
              <w:t xml:space="preserve"> 3</w:t>
            </w:r>
          </w:p>
        </w:tc>
        <w:tc>
          <w:tcPr>
            <w:tcW w:w="851" w:type="dxa"/>
            <w:shd w:val="clear" w:color="auto" w:fill="92D050"/>
          </w:tcPr>
          <w:p w14:paraId="1C8E09A4" w14:textId="370B7AC9" w:rsidR="005C3614" w:rsidRDefault="005C3614"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Так</w:t>
            </w:r>
            <w:r w:rsidR="00AF350A" w:rsidRPr="00D005A1">
              <w:rPr>
                <w:rFonts w:ascii="Times New Roman" w:hAnsi="Times New Roman" w:cs="Times New Roman"/>
                <w:b/>
                <w:color w:val="000000" w:themeColor="text1"/>
                <w:vertAlign w:val="superscript"/>
                <w:lang w:val="uk-UA"/>
              </w:rPr>
              <w:t>с</w:t>
            </w:r>
          </w:p>
        </w:tc>
        <w:tc>
          <w:tcPr>
            <w:tcW w:w="850" w:type="dxa"/>
            <w:shd w:val="clear" w:color="auto" w:fill="92D050"/>
          </w:tcPr>
          <w:p w14:paraId="10149726" w14:textId="18F57849" w:rsidR="005C3614" w:rsidRDefault="005C3614"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Так</w:t>
            </w:r>
          </w:p>
        </w:tc>
        <w:tc>
          <w:tcPr>
            <w:tcW w:w="851" w:type="dxa"/>
            <w:shd w:val="clear" w:color="auto" w:fill="92D050"/>
          </w:tcPr>
          <w:p w14:paraId="00F7339F" w14:textId="3C2148CC" w:rsidR="005C3614" w:rsidRPr="00D005A1" w:rsidRDefault="005C3614" w:rsidP="005C3614">
            <w:pPr>
              <w:tabs>
                <w:tab w:val="left" w:pos="1089"/>
              </w:tabs>
              <w:jc w:val="both"/>
              <w:rPr>
                <w:rFonts w:ascii="Times New Roman" w:hAnsi="Times New Roman" w:cs="Times New Roman"/>
                <w:b/>
                <w:color w:val="000000" w:themeColor="text1"/>
                <w:lang w:val="it-IT"/>
              </w:rPr>
            </w:pPr>
            <w:r>
              <w:rPr>
                <w:rFonts w:ascii="Times New Roman" w:hAnsi="Times New Roman" w:cs="Times New Roman"/>
                <w:b/>
                <w:color w:val="000000" w:themeColor="text1"/>
                <w:lang w:val="uk-UA"/>
              </w:rPr>
              <w:t>Так</w:t>
            </w:r>
            <w:r w:rsidRPr="00D005A1">
              <w:rPr>
                <w:rFonts w:ascii="Times New Roman" w:hAnsi="Times New Roman" w:cs="Times New Roman"/>
                <w:b/>
                <w:color w:val="000000" w:themeColor="text1"/>
                <w:vertAlign w:val="superscript"/>
                <w:lang w:val="it-IT"/>
              </w:rPr>
              <w:t>d</w:t>
            </w:r>
          </w:p>
        </w:tc>
        <w:tc>
          <w:tcPr>
            <w:tcW w:w="850" w:type="dxa"/>
            <w:shd w:val="clear" w:color="auto" w:fill="D34D86"/>
          </w:tcPr>
          <w:p w14:paraId="268411B0" w14:textId="1BFAE638" w:rsidR="005C3614" w:rsidRDefault="00AF350A"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Ні</w:t>
            </w:r>
          </w:p>
        </w:tc>
        <w:tc>
          <w:tcPr>
            <w:tcW w:w="851" w:type="dxa"/>
            <w:shd w:val="clear" w:color="auto" w:fill="D34D86"/>
          </w:tcPr>
          <w:p w14:paraId="33A745E3" w14:textId="6DF492B8" w:rsidR="005C3614" w:rsidRDefault="00AF350A"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Ні</w:t>
            </w:r>
          </w:p>
        </w:tc>
        <w:tc>
          <w:tcPr>
            <w:tcW w:w="850" w:type="dxa"/>
            <w:shd w:val="clear" w:color="auto" w:fill="D34D86"/>
          </w:tcPr>
          <w:p w14:paraId="3330D63E" w14:textId="1F2A8690" w:rsidR="005C3614" w:rsidRDefault="00AF350A" w:rsidP="005C3614">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Ні</w:t>
            </w:r>
          </w:p>
        </w:tc>
      </w:tr>
      <w:tr w:rsidR="00AF350A" w14:paraId="79DFF0F8" w14:textId="77777777" w:rsidTr="00D005A1">
        <w:tc>
          <w:tcPr>
            <w:tcW w:w="1478" w:type="dxa"/>
          </w:tcPr>
          <w:p w14:paraId="221DAAB1" w14:textId="6483BFBD" w:rsidR="00AF350A" w:rsidRPr="00D005A1" w:rsidRDefault="00AF350A" w:rsidP="00AF350A">
            <w:pPr>
              <w:tabs>
                <w:tab w:val="left" w:pos="1089"/>
              </w:tabs>
              <w:jc w:val="both"/>
              <w:rPr>
                <w:rFonts w:ascii="Times New Roman" w:hAnsi="Times New Roman" w:cs="Times New Roman"/>
                <w:b/>
                <w:color w:val="000000" w:themeColor="text1"/>
                <w:lang w:val="it-IT"/>
              </w:rPr>
            </w:pPr>
            <w:r>
              <w:rPr>
                <w:rFonts w:ascii="Times New Roman" w:hAnsi="Times New Roman" w:cs="Times New Roman"/>
                <w:b/>
                <w:color w:val="000000" w:themeColor="text1"/>
                <w:lang w:val="uk-UA"/>
              </w:rPr>
              <w:t>Генотип</w:t>
            </w:r>
            <w:r>
              <w:rPr>
                <w:rFonts w:ascii="Times New Roman" w:hAnsi="Times New Roman" w:cs="Times New Roman"/>
                <w:b/>
                <w:color w:val="000000" w:themeColor="text1"/>
                <w:lang w:val="it-IT"/>
              </w:rPr>
              <w:t xml:space="preserve"> 4</w:t>
            </w:r>
          </w:p>
        </w:tc>
        <w:tc>
          <w:tcPr>
            <w:tcW w:w="851" w:type="dxa"/>
            <w:shd w:val="clear" w:color="auto" w:fill="92D050"/>
          </w:tcPr>
          <w:p w14:paraId="672A0C69" w14:textId="747949D3" w:rsidR="00AF350A" w:rsidRDefault="00AF350A" w:rsidP="00AF350A">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Так</w:t>
            </w:r>
          </w:p>
        </w:tc>
        <w:tc>
          <w:tcPr>
            <w:tcW w:w="850" w:type="dxa"/>
            <w:shd w:val="clear" w:color="auto" w:fill="92D050"/>
          </w:tcPr>
          <w:p w14:paraId="532AF641" w14:textId="1C14540D" w:rsidR="00AF350A" w:rsidRDefault="00AF350A" w:rsidP="00AF350A">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Так</w:t>
            </w:r>
          </w:p>
        </w:tc>
        <w:tc>
          <w:tcPr>
            <w:tcW w:w="851" w:type="dxa"/>
            <w:shd w:val="clear" w:color="auto" w:fill="D34D86"/>
          </w:tcPr>
          <w:p w14:paraId="3235FAD9" w14:textId="15CBE8F4" w:rsidR="00AF350A" w:rsidRDefault="00AF350A" w:rsidP="00AF350A">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Ні⃰</w:t>
            </w:r>
          </w:p>
        </w:tc>
        <w:tc>
          <w:tcPr>
            <w:tcW w:w="850" w:type="dxa"/>
            <w:shd w:val="clear" w:color="auto" w:fill="92D050"/>
          </w:tcPr>
          <w:p w14:paraId="5BE52B80" w14:textId="1756B55C" w:rsidR="00AF350A" w:rsidRDefault="00AF350A" w:rsidP="00AF350A">
            <w:pPr>
              <w:tabs>
                <w:tab w:val="left" w:pos="1089"/>
              </w:tabs>
              <w:jc w:val="both"/>
              <w:rPr>
                <w:rFonts w:ascii="Times New Roman" w:hAnsi="Times New Roman" w:cs="Times New Roman"/>
                <w:b/>
                <w:color w:val="000000" w:themeColor="text1"/>
                <w:lang w:val="uk-UA"/>
              </w:rPr>
            </w:pPr>
            <w:r w:rsidRPr="00492F38">
              <w:rPr>
                <w:rFonts w:ascii="Times New Roman" w:hAnsi="Times New Roman" w:cs="Times New Roman"/>
                <w:b/>
                <w:color w:val="000000" w:themeColor="text1"/>
                <w:lang w:val="uk-UA"/>
              </w:rPr>
              <w:t>Так</w:t>
            </w:r>
            <w:r w:rsidRPr="00492F38">
              <w:rPr>
                <w:rFonts w:ascii="Times New Roman" w:hAnsi="Times New Roman" w:cs="Times New Roman"/>
                <w:b/>
                <w:color w:val="000000" w:themeColor="text1"/>
                <w:vertAlign w:val="superscript"/>
                <w:lang w:val="it-IT"/>
              </w:rPr>
              <w:t>a</w:t>
            </w:r>
          </w:p>
        </w:tc>
        <w:tc>
          <w:tcPr>
            <w:tcW w:w="851" w:type="dxa"/>
            <w:shd w:val="clear" w:color="auto" w:fill="92D050"/>
          </w:tcPr>
          <w:p w14:paraId="01C2B115" w14:textId="74C6387B" w:rsidR="00AF350A" w:rsidRDefault="00AF350A" w:rsidP="00AF350A">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Так</w:t>
            </w:r>
            <w:r>
              <w:rPr>
                <w:rFonts w:ascii="Times New Roman" w:hAnsi="Times New Roman" w:cs="Times New Roman"/>
                <w:b/>
                <w:color w:val="000000" w:themeColor="text1"/>
                <w:vertAlign w:val="superscript"/>
                <w:lang w:val="it-IT"/>
              </w:rPr>
              <w:t>e</w:t>
            </w:r>
          </w:p>
        </w:tc>
        <w:tc>
          <w:tcPr>
            <w:tcW w:w="850" w:type="dxa"/>
            <w:shd w:val="clear" w:color="auto" w:fill="D34D86"/>
          </w:tcPr>
          <w:p w14:paraId="25103578" w14:textId="565BA678" w:rsidR="00AF350A" w:rsidRDefault="00AF350A" w:rsidP="00AF350A">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Ні</w:t>
            </w:r>
          </w:p>
        </w:tc>
      </w:tr>
      <w:tr w:rsidR="00AF350A" w14:paraId="4689C3E4" w14:textId="77777777" w:rsidTr="00D005A1">
        <w:tc>
          <w:tcPr>
            <w:tcW w:w="1478" w:type="dxa"/>
          </w:tcPr>
          <w:p w14:paraId="1F2C49AA" w14:textId="6A3A0EC3" w:rsidR="00AF350A" w:rsidRPr="00D005A1" w:rsidRDefault="00AF350A" w:rsidP="00AF350A">
            <w:pPr>
              <w:tabs>
                <w:tab w:val="left" w:pos="1089"/>
              </w:tabs>
              <w:jc w:val="both"/>
              <w:rPr>
                <w:rFonts w:ascii="Times New Roman" w:hAnsi="Times New Roman" w:cs="Times New Roman"/>
                <w:b/>
                <w:color w:val="000000" w:themeColor="text1"/>
                <w:lang w:val="it-IT"/>
              </w:rPr>
            </w:pPr>
            <w:r>
              <w:rPr>
                <w:rFonts w:ascii="Times New Roman" w:hAnsi="Times New Roman" w:cs="Times New Roman"/>
                <w:b/>
                <w:color w:val="000000" w:themeColor="text1"/>
                <w:lang w:val="uk-UA"/>
              </w:rPr>
              <w:t>Генотип</w:t>
            </w:r>
            <w:r>
              <w:rPr>
                <w:rFonts w:ascii="Times New Roman" w:hAnsi="Times New Roman" w:cs="Times New Roman"/>
                <w:b/>
                <w:color w:val="000000" w:themeColor="text1"/>
                <w:lang w:val="it-IT"/>
              </w:rPr>
              <w:t xml:space="preserve"> 5</w:t>
            </w:r>
          </w:p>
        </w:tc>
        <w:tc>
          <w:tcPr>
            <w:tcW w:w="851" w:type="dxa"/>
            <w:shd w:val="clear" w:color="auto" w:fill="92D050"/>
          </w:tcPr>
          <w:p w14:paraId="0112C412" w14:textId="6C121BFC" w:rsidR="00AF350A" w:rsidRDefault="00AF350A" w:rsidP="00AF350A">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Так</w:t>
            </w:r>
          </w:p>
        </w:tc>
        <w:tc>
          <w:tcPr>
            <w:tcW w:w="850" w:type="dxa"/>
            <w:shd w:val="clear" w:color="auto" w:fill="92D050"/>
          </w:tcPr>
          <w:p w14:paraId="47F89AB0" w14:textId="52E92DCB" w:rsidR="00AF350A" w:rsidRDefault="00AF350A" w:rsidP="00AF350A">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Так</w:t>
            </w:r>
          </w:p>
        </w:tc>
        <w:tc>
          <w:tcPr>
            <w:tcW w:w="851" w:type="dxa"/>
            <w:shd w:val="clear" w:color="auto" w:fill="D34D86"/>
          </w:tcPr>
          <w:p w14:paraId="27533BF7" w14:textId="242EB64A" w:rsidR="00AF350A" w:rsidRDefault="00AF350A" w:rsidP="00AF350A">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Ні⃰</w:t>
            </w:r>
          </w:p>
        </w:tc>
        <w:tc>
          <w:tcPr>
            <w:tcW w:w="850" w:type="dxa"/>
            <w:shd w:val="clear" w:color="auto" w:fill="92D050"/>
          </w:tcPr>
          <w:p w14:paraId="3F30327F" w14:textId="7478453D" w:rsidR="00AF350A" w:rsidRDefault="00AF350A" w:rsidP="00AF350A">
            <w:pPr>
              <w:tabs>
                <w:tab w:val="left" w:pos="1089"/>
              </w:tabs>
              <w:jc w:val="both"/>
              <w:rPr>
                <w:rFonts w:ascii="Times New Roman" w:hAnsi="Times New Roman" w:cs="Times New Roman"/>
                <w:b/>
                <w:color w:val="000000" w:themeColor="text1"/>
                <w:lang w:val="uk-UA"/>
              </w:rPr>
            </w:pPr>
            <w:r w:rsidRPr="00492F38">
              <w:rPr>
                <w:rFonts w:ascii="Times New Roman" w:hAnsi="Times New Roman" w:cs="Times New Roman"/>
                <w:b/>
                <w:color w:val="000000" w:themeColor="text1"/>
                <w:lang w:val="uk-UA"/>
              </w:rPr>
              <w:t>Так</w:t>
            </w:r>
            <w:r w:rsidRPr="00492F38">
              <w:rPr>
                <w:rFonts w:ascii="Times New Roman" w:hAnsi="Times New Roman" w:cs="Times New Roman"/>
                <w:b/>
                <w:color w:val="000000" w:themeColor="text1"/>
                <w:vertAlign w:val="superscript"/>
                <w:lang w:val="it-IT"/>
              </w:rPr>
              <w:t>a</w:t>
            </w:r>
          </w:p>
        </w:tc>
        <w:tc>
          <w:tcPr>
            <w:tcW w:w="851" w:type="dxa"/>
            <w:shd w:val="clear" w:color="auto" w:fill="D34D86"/>
          </w:tcPr>
          <w:p w14:paraId="370DFBB8" w14:textId="33E32F98" w:rsidR="00AF350A" w:rsidRPr="00AF350A" w:rsidRDefault="00AF350A" w:rsidP="00AF350A">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Ні</w:t>
            </w:r>
          </w:p>
        </w:tc>
        <w:tc>
          <w:tcPr>
            <w:tcW w:w="850" w:type="dxa"/>
            <w:shd w:val="clear" w:color="auto" w:fill="D34D86"/>
          </w:tcPr>
          <w:p w14:paraId="2E7E838F" w14:textId="12737BF3" w:rsidR="00AF350A" w:rsidRDefault="00AF350A" w:rsidP="00AF350A">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Ні</w:t>
            </w:r>
          </w:p>
        </w:tc>
      </w:tr>
      <w:tr w:rsidR="00AF350A" w14:paraId="2A03DC5A" w14:textId="77777777" w:rsidTr="00D005A1">
        <w:tc>
          <w:tcPr>
            <w:tcW w:w="1478" w:type="dxa"/>
          </w:tcPr>
          <w:p w14:paraId="351F2326" w14:textId="41669871" w:rsidR="00AF350A" w:rsidRPr="00D005A1" w:rsidRDefault="00AF350A" w:rsidP="00AF350A">
            <w:pPr>
              <w:tabs>
                <w:tab w:val="left" w:pos="1089"/>
              </w:tabs>
              <w:jc w:val="both"/>
              <w:rPr>
                <w:rFonts w:ascii="Times New Roman" w:hAnsi="Times New Roman" w:cs="Times New Roman"/>
                <w:b/>
                <w:color w:val="000000" w:themeColor="text1"/>
                <w:lang w:val="it-IT"/>
              </w:rPr>
            </w:pPr>
            <w:r>
              <w:rPr>
                <w:rFonts w:ascii="Times New Roman" w:hAnsi="Times New Roman" w:cs="Times New Roman"/>
                <w:b/>
                <w:color w:val="000000" w:themeColor="text1"/>
                <w:lang w:val="uk-UA"/>
              </w:rPr>
              <w:t>Генотип</w:t>
            </w:r>
            <w:r>
              <w:rPr>
                <w:rFonts w:ascii="Times New Roman" w:hAnsi="Times New Roman" w:cs="Times New Roman"/>
                <w:b/>
                <w:color w:val="000000" w:themeColor="text1"/>
                <w:lang w:val="it-IT"/>
              </w:rPr>
              <w:t xml:space="preserve"> 6</w:t>
            </w:r>
          </w:p>
        </w:tc>
        <w:tc>
          <w:tcPr>
            <w:tcW w:w="851" w:type="dxa"/>
            <w:shd w:val="clear" w:color="auto" w:fill="92D050"/>
          </w:tcPr>
          <w:p w14:paraId="06943BC1" w14:textId="62500D04" w:rsidR="00AF350A" w:rsidRDefault="00AF350A" w:rsidP="00AF350A">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Так</w:t>
            </w:r>
          </w:p>
        </w:tc>
        <w:tc>
          <w:tcPr>
            <w:tcW w:w="850" w:type="dxa"/>
            <w:shd w:val="clear" w:color="auto" w:fill="92D050"/>
          </w:tcPr>
          <w:p w14:paraId="7FC51182" w14:textId="568EB1FE" w:rsidR="00AF350A" w:rsidRDefault="00AF350A" w:rsidP="00AF350A">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Так</w:t>
            </w:r>
          </w:p>
        </w:tc>
        <w:tc>
          <w:tcPr>
            <w:tcW w:w="851" w:type="dxa"/>
            <w:shd w:val="clear" w:color="auto" w:fill="D34D86"/>
          </w:tcPr>
          <w:p w14:paraId="463DA37C" w14:textId="7F0545BA" w:rsidR="00AF350A" w:rsidRDefault="00AF350A" w:rsidP="00AF350A">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Ні⃰</w:t>
            </w:r>
          </w:p>
        </w:tc>
        <w:tc>
          <w:tcPr>
            <w:tcW w:w="850" w:type="dxa"/>
            <w:shd w:val="clear" w:color="auto" w:fill="92D050"/>
          </w:tcPr>
          <w:p w14:paraId="45B59E3E" w14:textId="4505258D" w:rsidR="00AF350A" w:rsidRDefault="00AF350A" w:rsidP="00AF350A">
            <w:pPr>
              <w:tabs>
                <w:tab w:val="left" w:pos="1089"/>
              </w:tabs>
              <w:jc w:val="both"/>
              <w:rPr>
                <w:rFonts w:ascii="Times New Roman" w:hAnsi="Times New Roman" w:cs="Times New Roman"/>
                <w:b/>
                <w:color w:val="000000" w:themeColor="text1"/>
                <w:lang w:val="uk-UA"/>
              </w:rPr>
            </w:pPr>
            <w:r w:rsidRPr="00492F38">
              <w:rPr>
                <w:rFonts w:ascii="Times New Roman" w:hAnsi="Times New Roman" w:cs="Times New Roman"/>
                <w:b/>
                <w:color w:val="000000" w:themeColor="text1"/>
                <w:lang w:val="uk-UA"/>
              </w:rPr>
              <w:t>Так</w:t>
            </w:r>
            <w:r w:rsidRPr="00492F38">
              <w:rPr>
                <w:rFonts w:ascii="Times New Roman" w:hAnsi="Times New Roman" w:cs="Times New Roman"/>
                <w:b/>
                <w:color w:val="000000" w:themeColor="text1"/>
                <w:vertAlign w:val="superscript"/>
                <w:lang w:val="it-IT"/>
              </w:rPr>
              <w:t>a</w:t>
            </w:r>
          </w:p>
        </w:tc>
        <w:tc>
          <w:tcPr>
            <w:tcW w:w="851" w:type="dxa"/>
            <w:shd w:val="clear" w:color="auto" w:fill="D34D86"/>
          </w:tcPr>
          <w:p w14:paraId="63849453" w14:textId="1C2A9801" w:rsidR="00AF350A" w:rsidRDefault="00AF350A" w:rsidP="00AF350A">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Ні</w:t>
            </w:r>
          </w:p>
        </w:tc>
        <w:tc>
          <w:tcPr>
            <w:tcW w:w="850" w:type="dxa"/>
            <w:shd w:val="clear" w:color="auto" w:fill="D34D86"/>
          </w:tcPr>
          <w:p w14:paraId="703B3241" w14:textId="62FB0769" w:rsidR="00AF350A" w:rsidRDefault="00AF350A" w:rsidP="00AF350A">
            <w:pPr>
              <w:tabs>
                <w:tab w:val="left" w:pos="1089"/>
              </w:tabs>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Ні</w:t>
            </w:r>
          </w:p>
        </w:tc>
      </w:tr>
    </w:tbl>
    <w:p w14:paraId="4AB410B8" w14:textId="77777777" w:rsidR="001C2959" w:rsidRDefault="001C2959" w:rsidP="001C2959">
      <w:pPr>
        <w:tabs>
          <w:tab w:val="left" w:pos="1089"/>
        </w:tabs>
        <w:ind w:left="360"/>
        <w:rPr>
          <w:rFonts w:ascii="Times" w:hAnsi="Times" w:cs="Times"/>
          <w:color w:val="000000"/>
          <w:sz w:val="16"/>
          <w:szCs w:val="16"/>
        </w:rPr>
      </w:pPr>
    </w:p>
    <w:p w14:paraId="78F23629" w14:textId="28D4DAAA" w:rsidR="001C2959" w:rsidRDefault="00EE40FE" w:rsidP="001C2959">
      <w:pPr>
        <w:tabs>
          <w:tab w:val="left" w:pos="1089"/>
        </w:tabs>
        <w:ind w:left="360"/>
        <w:rPr>
          <w:rFonts w:ascii="Times" w:hAnsi="Times" w:cs="Times"/>
          <w:color w:val="000000"/>
          <w:sz w:val="16"/>
          <w:szCs w:val="16"/>
        </w:rPr>
      </w:pPr>
      <w:r>
        <w:rPr>
          <w:rFonts w:ascii="Times" w:hAnsi="Times" w:cs="Times"/>
          <w:color w:val="000000"/>
          <w:sz w:val="16"/>
          <w:szCs w:val="16"/>
        </w:rPr>
        <w:t>DSV – дасабувір; EBR – елбасвір; GLE –</w:t>
      </w:r>
      <w:r w:rsidR="001C2959">
        <w:rPr>
          <w:rFonts w:ascii="Times" w:hAnsi="Times" w:cs="Times"/>
          <w:color w:val="000000"/>
          <w:sz w:val="16"/>
          <w:szCs w:val="16"/>
        </w:rPr>
        <w:t xml:space="preserve"> глекапревір</w:t>
      </w:r>
      <w:r>
        <w:rPr>
          <w:rFonts w:ascii="Times" w:hAnsi="Times" w:cs="Times"/>
          <w:color w:val="000000"/>
          <w:sz w:val="16"/>
          <w:szCs w:val="16"/>
        </w:rPr>
        <w:t>; GZR –</w:t>
      </w:r>
      <w:r w:rsidR="001C2959" w:rsidRPr="001C2959">
        <w:rPr>
          <w:rFonts w:ascii="Times" w:hAnsi="Times" w:cs="Times"/>
          <w:color w:val="000000"/>
          <w:sz w:val="16"/>
          <w:szCs w:val="16"/>
        </w:rPr>
        <w:t xml:space="preserve"> гразопревір; </w:t>
      </w:r>
      <w:r>
        <w:rPr>
          <w:rFonts w:ascii="Times" w:hAnsi="Times" w:cs="Times"/>
          <w:color w:val="000000"/>
          <w:sz w:val="16"/>
          <w:szCs w:val="16"/>
        </w:rPr>
        <w:t>IFN – інтерферон; LDV –</w:t>
      </w:r>
      <w:r w:rsidR="001C2959">
        <w:rPr>
          <w:rFonts w:ascii="Times" w:hAnsi="Times" w:cs="Times"/>
          <w:color w:val="000000"/>
          <w:sz w:val="16"/>
          <w:szCs w:val="16"/>
        </w:rPr>
        <w:t xml:space="preserve"> лідеспавір</w:t>
      </w:r>
      <w:r w:rsidR="001C2959" w:rsidRPr="001C2959">
        <w:rPr>
          <w:rFonts w:ascii="Times" w:hAnsi="Times" w:cs="Times"/>
          <w:color w:val="000000"/>
          <w:sz w:val="16"/>
          <w:szCs w:val="16"/>
        </w:rPr>
        <w:t xml:space="preserve">; </w:t>
      </w:r>
      <w:r w:rsidRPr="00EE40FE">
        <w:rPr>
          <w:rFonts w:ascii="Times" w:hAnsi="Times" w:cs="Times"/>
          <w:color w:val="000000"/>
          <w:sz w:val="16"/>
          <w:szCs w:val="16"/>
        </w:rPr>
        <w:t>OBV</w:t>
      </w:r>
      <w:r>
        <w:rPr>
          <w:rFonts w:ascii="Times" w:hAnsi="Times" w:cs="Times"/>
          <w:color w:val="000000"/>
          <w:sz w:val="16"/>
          <w:szCs w:val="16"/>
        </w:rPr>
        <w:t xml:space="preserve"> –</w:t>
      </w:r>
      <w:r w:rsidR="001C2959">
        <w:rPr>
          <w:rFonts w:ascii="Times" w:hAnsi="Times" w:cs="Times"/>
          <w:color w:val="000000"/>
          <w:sz w:val="16"/>
          <w:szCs w:val="16"/>
        </w:rPr>
        <w:t xml:space="preserve"> омбітісвір; PIB</w:t>
      </w:r>
      <w:r>
        <w:rPr>
          <w:rFonts w:ascii="Times" w:hAnsi="Times" w:cs="Times"/>
          <w:color w:val="000000"/>
          <w:sz w:val="16"/>
          <w:szCs w:val="16"/>
          <w:lang w:val="uk-UA"/>
        </w:rPr>
        <w:t xml:space="preserve"> </w:t>
      </w:r>
      <w:r>
        <w:rPr>
          <w:rFonts w:ascii="Times" w:hAnsi="Times" w:cs="Times"/>
          <w:color w:val="000000"/>
          <w:sz w:val="16"/>
          <w:szCs w:val="16"/>
        </w:rPr>
        <w:t>–</w:t>
      </w:r>
      <w:r w:rsidR="001C2959">
        <w:rPr>
          <w:rFonts w:ascii="Times" w:hAnsi="Times" w:cs="Times"/>
          <w:color w:val="000000"/>
          <w:sz w:val="16"/>
          <w:szCs w:val="16"/>
        </w:rPr>
        <w:t xml:space="preserve"> пібрентасвір; </w:t>
      </w:r>
      <w:r w:rsidRPr="00EE40FE">
        <w:rPr>
          <w:rFonts w:ascii="Times" w:hAnsi="Times" w:cs="Times"/>
          <w:color w:val="000000"/>
          <w:sz w:val="16"/>
          <w:szCs w:val="16"/>
        </w:rPr>
        <w:t>PTV</w:t>
      </w:r>
      <w:r>
        <w:rPr>
          <w:rFonts w:ascii="Times" w:hAnsi="Times" w:cs="Times"/>
          <w:color w:val="000000"/>
          <w:sz w:val="16"/>
          <w:szCs w:val="16"/>
          <w:lang w:val="uk-UA"/>
        </w:rPr>
        <w:t xml:space="preserve"> </w:t>
      </w:r>
      <w:r>
        <w:rPr>
          <w:rFonts w:ascii="Times" w:hAnsi="Times" w:cs="Times"/>
          <w:color w:val="000000"/>
          <w:sz w:val="16"/>
          <w:szCs w:val="16"/>
        </w:rPr>
        <w:t>–</w:t>
      </w:r>
      <w:r w:rsidR="001C2959">
        <w:rPr>
          <w:rFonts w:ascii="Times" w:hAnsi="Times" w:cs="Times"/>
          <w:color w:val="000000"/>
          <w:sz w:val="16"/>
          <w:szCs w:val="16"/>
        </w:rPr>
        <w:t xml:space="preserve"> </w:t>
      </w:r>
      <w:r w:rsidR="00DA25AC">
        <w:rPr>
          <w:rFonts w:ascii="Times" w:hAnsi="Times" w:cs="Times"/>
          <w:color w:val="000000"/>
          <w:sz w:val="16"/>
          <w:szCs w:val="16"/>
          <w:lang w:val="uk-UA"/>
        </w:rPr>
        <w:t>п</w:t>
      </w:r>
      <w:r w:rsidR="00E76D74">
        <w:rPr>
          <w:rFonts w:ascii="Times" w:hAnsi="Times" w:cs="Times"/>
          <w:color w:val="000000"/>
          <w:sz w:val="16"/>
          <w:szCs w:val="16"/>
        </w:rPr>
        <w:t>аритапревір</w:t>
      </w:r>
      <w:r w:rsidR="001C2959" w:rsidRPr="001C2959">
        <w:rPr>
          <w:rFonts w:ascii="Times" w:hAnsi="Times" w:cs="Times"/>
          <w:color w:val="000000"/>
          <w:sz w:val="16"/>
          <w:szCs w:val="16"/>
        </w:rPr>
        <w:t>; г</w:t>
      </w:r>
      <w:r>
        <w:rPr>
          <w:rFonts w:ascii="Times" w:hAnsi="Times" w:cs="Times"/>
          <w:color w:val="000000"/>
          <w:sz w:val="16"/>
          <w:szCs w:val="16"/>
          <w:lang w:val="uk-UA"/>
        </w:rPr>
        <w:t xml:space="preserve"> </w:t>
      </w:r>
      <w:r>
        <w:rPr>
          <w:rFonts w:ascii="Times" w:hAnsi="Times" w:cs="Times"/>
          <w:color w:val="000000"/>
          <w:sz w:val="16"/>
          <w:szCs w:val="16"/>
        </w:rPr>
        <w:t>–</w:t>
      </w:r>
      <w:r w:rsidR="001C2959" w:rsidRPr="001C2959">
        <w:rPr>
          <w:rFonts w:ascii="Times" w:hAnsi="Times" w:cs="Times"/>
          <w:color w:val="000000"/>
          <w:sz w:val="16"/>
          <w:szCs w:val="16"/>
        </w:rPr>
        <w:t xml:space="preserve"> ритона</w:t>
      </w:r>
      <w:r w:rsidR="001C2959">
        <w:rPr>
          <w:rFonts w:ascii="Times" w:hAnsi="Times" w:cs="Times"/>
          <w:color w:val="000000"/>
          <w:sz w:val="16"/>
          <w:szCs w:val="16"/>
        </w:rPr>
        <w:t>вір; SOF</w:t>
      </w:r>
      <w:r>
        <w:rPr>
          <w:rFonts w:ascii="Times" w:hAnsi="Times" w:cs="Times"/>
          <w:color w:val="000000"/>
          <w:sz w:val="16"/>
          <w:szCs w:val="16"/>
          <w:lang w:val="uk-UA"/>
        </w:rPr>
        <w:t xml:space="preserve"> </w:t>
      </w:r>
      <w:r>
        <w:rPr>
          <w:rFonts w:ascii="Times" w:hAnsi="Times" w:cs="Times"/>
          <w:color w:val="000000"/>
          <w:sz w:val="16"/>
          <w:szCs w:val="16"/>
        </w:rPr>
        <w:t>–</w:t>
      </w:r>
      <w:r w:rsidR="001C2959">
        <w:rPr>
          <w:rFonts w:ascii="Times" w:hAnsi="Times" w:cs="Times"/>
          <w:color w:val="000000"/>
          <w:sz w:val="16"/>
          <w:szCs w:val="16"/>
        </w:rPr>
        <w:t xml:space="preserve"> софосбувір; VEL</w:t>
      </w:r>
      <w:r>
        <w:rPr>
          <w:rFonts w:ascii="Times" w:hAnsi="Times" w:cs="Times"/>
          <w:color w:val="000000"/>
          <w:sz w:val="16"/>
          <w:szCs w:val="16"/>
          <w:lang w:val="uk-UA"/>
        </w:rPr>
        <w:t xml:space="preserve"> </w:t>
      </w:r>
      <w:r>
        <w:rPr>
          <w:rFonts w:ascii="Times" w:hAnsi="Times" w:cs="Times"/>
          <w:color w:val="000000"/>
          <w:sz w:val="16"/>
          <w:szCs w:val="16"/>
        </w:rPr>
        <w:t>–</w:t>
      </w:r>
      <w:r w:rsidR="001C2959">
        <w:rPr>
          <w:rFonts w:ascii="Times" w:hAnsi="Times" w:cs="Times"/>
          <w:color w:val="000000"/>
          <w:sz w:val="16"/>
          <w:szCs w:val="16"/>
        </w:rPr>
        <w:t xml:space="preserve"> велпатасвір</w:t>
      </w:r>
      <w:r>
        <w:rPr>
          <w:rFonts w:ascii="Times" w:hAnsi="Times" w:cs="Times"/>
          <w:color w:val="000000"/>
          <w:sz w:val="16"/>
          <w:szCs w:val="16"/>
        </w:rPr>
        <w:t>; VOX –</w:t>
      </w:r>
      <w:r w:rsidR="001C2959" w:rsidRPr="001C2959">
        <w:rPr>
          <w:rFonts w:ascii="Times" w:hAnsi="Times" w:cs="Times"/>
          <w:color w:val="000000"/>
          <w:sz w:val="16"/>
          <w:szCs w:val="16"/>
        </w:rPr>
        <w:t xml:space="preserve"> воксілапревір.</w:t>
      </w:r>
    </w:p>
    <w:p w14:paraId="7F14C27E" w14:textId="77777777" w:rsidR="001C2959" w:rsidRDefault="001C2959" w:rsidP="001C2959">
      <w:pPr>
        <w:tabs>
          <w:tab w:val="left" w:pos="1089"/>
        </w:tabs>
        <w:ind w:left="360"/>
        <w:rPr>
          <w:rFonts w:ascii="Times" w:hAnsi="Times" w:cs="Times"/>
          <w:color w:val="000000"/>
          <w:sz w:val="16"/>
          <w:szCs w:val="16"/>
        </w:rPr>
      </w:pPr>
    </w:p>
    <w:p w14:paraId="45927633" w14:textId="3DC205D5" w:rsidR="001C2959" w:rsidRPr="001C2959" w:rsidRDefault="001C2959" w:rsidP="001C2959">
      <w:pPr>
        <w:tabs>
          <w:tab w:val="left" w:pos="1089"/>
        </w:tabs>
        <w:ind w:left="360"/>
        <w:rPr>
          <w:rFonts w:ascii="Times" w:hAnsi="Times" w:cs="Times"/>
          <w:color w:val="000000"/>
          <w:sz w:val="16"/>
          <w:szCs w:val="16"/>
        </w:rPr>
      </w:pPr>
      <w:r w:rsidRPr="001C2959">
        <w:rPr>
          <w:rFonts w:ascii="Times" w:hAnsi="Times" w:cs="Times"/>
          <w:color w:val="000000"/>
          <w:sz w:val="16"/>
          <w:szCs w:val="16"/>
        </w:rPr>
        <w:t xml:space="preserve">* </w:t>
      </w:r>
      <w:r w:rsidR="00AD7F1B">
        <w:rPr>
          <w:rFonts w:ascii="Times" w:hAnsi="Times" w:cs="Times"/>
          <w:color w:val="000000"/>
          <w:sz w:val="16"/>
          <w:szCs w:val="16"/>
          <w:lang w:val="uk-UA"/>
        </w:rPr>
        <w:t>Потрійна</w:t>
      </w:r>
      <w:r w:rsidRPr="001C2959">
        <w:rPr>
          <w:rFonts w:ascii="Times" w:hAnsi="Times" w:cs="Times"/>
          <w:color w:val="000000"/>
          <w:sz w:val="16"/>
          <w:szCs w:val="16"/>
        </w:rPr>
        <w:t xml:space="preserve"> комбінована т</w:t>
      </w:r>
      <w:r>
        <w:rPr>
          <w:rFonts w:ascii="Times" w:hAnsi="Times" w:cs="Times"/>
          <w:color w:val="000000"/>
          <w:sz w:val="16"/>
          <w:szCs w:val="16"/>
        </w:rPr>
        <w:t>ерапія ефективна, але не є доцільною</w:t>
      </w:r>
      <w:r w:rsidRPr="001C2959">
        <w:rPr>
          <w:rFonts w:ascii="Times" w:hAnsi="Times" w:cs="Times"/>
          <w:color w:val="000000"/>
          <w:sz w:val="16"/>
          <w:szCs w:val="16"/>
        </w:rPr>
        <w:t xml:space="preserve"> через е</w:t>
      </w:r>
      <w:r>
        <w:rPr>
          <w:rFonts w:ascii="Times" w:hAnsi="Times" w:cs="Times"/>
          <w:color w:val="000000"/>
          <w:sz w:val="16"/>
          <w:szCs w:val="16"/>
        </w:rPr>
        <w:t>фективність подвійних комбінованих режимів</w:t>
      </w:r>
      <w:r w:rsidRPr="001C2959">
        <w:rPr>
          <w:rFonts w:ascii="Times" w:hAnsi="Times" w:cs="Times"/>
          <w:color w:val="000000"/>
          <w:sz w:val="16"/>
          <w:szCs w:val="16"/>
        </w:rPr>
        <w:t>.</w:t>
      </w:r>
    </w:p>
    <w:p w14:paraId="0973CC1A" w14:textId="77777777" w:rsidR="001C2959" w:rsidRDefault="001C2959" w:rsidP="001C2959">
      <w:pPr>
        <w:tabs>
          <w:tab w:val="left" w:pos="1089"/>
        </w:tabs>
        <w:ind w:left="360"/>
        <w:rPr>
          <w:rFonts w:ascii="Times" w:hAnsi="Times" w:cs="Times"/>
          <w:color w:val="000000"/>
          <w:sz w:val="16"/>
          <w:szCs w:val="16"/>
        </w:rPr>
      </w:pPr>
    </w:p>
    <w:p w14:paraId="1ECD4DFC" w14:textId="6D4A07F1" w:rsidR="001C2959" w:rsidRPr="001C2959" w:rsidRDefault="001C2959" w:rsidP="001C2959">
      <w:pPr>
        <w:tabs>
          <w:tab w:val="left" w:pos="1089"/>
        </w:tabs>
        <w:ind w:left="360"/>
        <w:rPr>
          <w:rFonts w:ascii="Times" w:hAnsi="Times" w:cs="Times"/>
          <w:color w:val="000000"/>
          <w:sz w:val="16"/>
          <w:szCs w:val="16"/>
        </w:rPr>
      </w:pPr>
      <w:r w:rsidRPr="001C2959">
        <w:rPr>
          <w:rFonts w:ascii="Times" w:hAnsi="Times" w:cs="Times"/>
          <w:b/>
          <w:color w:val="000000"/>
          <w:sz w:val="16"/>
          <w:szCs w:val="16"/>
          <w:lang w:val="en-US"/>
        </w:rPr>
        <w:t>a</w:t>
      </w:r>
      <w:r w:rsidRPr="006C7989">
        <w:rPr>
          <w:rFonts w:ascii="Times" w:hAnsi="Times" w:cs="Times"/>
          <w:color w:val="000000"/>
          <w:sz w:val="16"/>
          <w:szCs w:val="16"/>
        </w:rPr>
        <w:t xml:space="preserve"> </w:t>
      </w:r>
      <w:r>
        <w:rPr>
          <w:rFonts w:ascii="Times" w:hAnsi="Times" w:cs="Times"/>
          <w:color w:val="000000"/>
          <w:sz w:val="16"/>
          <w:szCs w:val="16"/>
        </w:rPr>
        <w:t>пацієнти без цироз</w:t>
      </w:r>
      <w:r w:rsidR="00330C4A">
        <w:rPr>
          <w:rFonts w:ascii="Times" w:hAnsi="Times" w:cs="Times"/>
          <w:color w:val="000000"/>
          <w:sz w:val="16"/>
          <w:szCs w:val="16"/>
          <w:lang w:val="uk-UA"/>
        </w:rPr>
        <w:t>у</w:t>
      </w:r>
      <w:r w:rsidRPr="001C2959">
        <w:rPr>
          <w:rFonts w:ascii="Times" w:hAnsi="Times" w:cs="Times"/>
          <w:color w:val="000000"/>
          <w:sz w:val="16"/>
          <w:szCs w:val="16"/>
        </w:rPr>
        <w:t xml:space="preserve"> печінки або з компенсованим (Child</w:t>
      </w:r>
      <w:r w:rsidR="00FC6D8A">
        <w:rPr>
          <w:rFonts w:ascii="Times" w:hAnsi="Times" w:cs="Times"/>
          <w:color w:val="000000"/>
          <w:sz w:val="16"/>
          <w:szCs w:val="16"/>
        </w:rPr>
        <w:t>–</w:t>
      </w:r>
      <w:r w:rsidRPr="001C2959">
        <w:rPr>
          <w:rFonts w:ascii="Times" w:hAnsi="Times" w:cs="Times"/>
          <w:color w:val="000000"/>
          <w:sz w:val="16"/>
          <w:szCs w:val="16"/>
        </w:rPr>
        <w:t>Pugh A) цирозом печінки.</w:t>
      </w:r>
    </w:p>
    <w:p w14:paraId="45356CA7" w14:textId="7F2D1BA6" w:rsidR="001C2959" w:rsidRPr="001C2959" w:rsidRDefault="001C2959" w:rsidP="001C2959">
      <w:pPr>
        <w:tabs>
          <w:tab w:val="left" w:pos="1089"/>
        </w:tabs>
        <w:ind w:left="360"/>
        <w:rPr>
          <w:rFonts w:ascii="Times" w:hAnsi="Times" w:cs="Times"/>
          <w:color w:val="000000"/>
          <w:sz w:val="16"/>
          <w:szCs w:val="16"/>
        </w:rPr>
      </w:pPr>
      <w:r>
        <w:rPr>
          <w:rFonts w:ascii="Times" w:hAnsi="Times" w:cs="Times"/>
          <w:b/>
          <w:color w:val="000000"/>
          <w:sz w:val="16"/>
          <w:szCs w:val="16"/>
        </w:rPr>
        <w:t xml:space="preserve">b </w:t>
      </w:r>
      <w:r w:rsidRPr="001C2959">
        <w:rPr>
          <w:rFonts w:ascii="Times" w:hAnsi="Times" w:cs="Times"/>
          <w:color w:val="000000"/>
          <w:sz w:val="16"/>
          <w:szCs w:val="16"/>
        </w:rPr>
        <w:t>Лікування</w:t>
      </w:r>
      <w:r w:rsidRPr="001C2959">
        <w:rPr>
          <w:rFonts w:ascii="Times" w:hAnsi="Times" w:cs="Times"/>
          <w:color w:val="000000"/>
          <w:sz w:val="16"/>
          <w:szCs w:val="16"/>
          <w:lang w:val="uk-UA"/>
        </w:rPr>
        <w:t xml:space="preserve"> </w:t>
      </w:r>
      <w:r w:rsidR="00FC6D8A">
        <w:rPr>
          <w:rFonts w:ascii="Times" w:hAnsi="Times" w:cs="Times"/>
          <w:color w:val="000000"/>
          <w:sz w:val="16"/>
          <w:szCs w:val="16"/>
          <w:lang w:val="uk-UA"/>
        </w:rPr>
        <w:t>–</w:t>
      </w:r>
      <w:r>
        <w:rPr>
          <w:rFonts w:ascii="Times" w:hAnsi="Times" w:cs="Times"/>
          <w:color w:val="000000"/>
          <w:sz w:val="16"/>
          <w:szCs w:val="16"/>
          <w:lang w:val="uk-UA"/>
        </w:rPr>
        <w:t xml:space="preserve"> </w:t>
      </w:r>
      <w:r w:rsidR="00652F9A" w:rsidRPr="00652F9A">
        <w:rPr>
          <w:rFonts w:ascii="Times" w:hAnsi="Times" w:cs="Times"/>
          <w:color w:val="000000"/>
          <w:sz w:val="16"/>
          <w:szCs w:val="16"/>
        </w:rPr>
        <w:t>“</w:t>
      </w:r>
      <w:r>
        <w:rPr>
          <w:rFonts w:ascii="Times" w:hAnsi="Times" w:cs="Times"/>
          <w:color w:val="000000"/>
          <w:sz w:val="16"/>
          <w:szCs w:val="16"/>
          <w:lang w:val="uk-UA"/>
        </w:rPr>
        <w:t>н</w:t>
      </w:r>
      <w:r w:rsidRPr="001C2959">
        <w:rPr>
          <w:rFonts w:ascii="Times" w:hAnsi="Times" w:cs="Times"/>
          <w:color w:val="000000"/>
          <w:sz w:val="16"/>
          <w:szCs w:val="16"/>
          <w:lang w:val="uk-UA"/>
        </w:rPr>
        <w:t>аївні</w:t>
      </w:r>
      <w:r w:rsidR="00652F9A" w:rsidRPr="00652F9A">
        <w:rPr>
          <w:rFonts w:ascii="Times" w:hAnsi="Times" w:cs="Times"/>
          <w:color w:val="000000"/>
          <w:sz w:val="16"/>
          <w:szCs w:val="16"/>
        </w:rPr>
        <w:t>”</w:t>
      </w:r>
      <w:r w:rsidRPr="001C2959">
        <w:rPr>
          <w:rFonts w:ascii="Times" w:hAnsi="Times" w:cs="Times"/>
          <w:color w:val="000000"/>
          <w:sz w:val="16"/>
          <w:szCs w:val="16"/>
        </w:rPr>
        <w:t xml:space="preserve"> та пацієнти</w:t>
      </w:r>
      <w:r w:rsidR="00652F9A" w:rsidRPr="00652F9A">
        <w:t xml:space="preserve"> </w:t>
      </w:r>
      <w:r w:rsidR="00652F9A" w:rsidRPr="00652F9A">
        <w:rPr>
          <w:rFonts w:ascii="Times" w:hAnsi="Times" w:cs="Times"/>
          <w:color w:val="000000"/>
          <w:sz w:val="16"/>
          <w:szCs w:val="16"/>
        </w:rPr>
        <w:t>з досвідом лікування</w:t>
      </w:r>
      <w:r w:rsidR="00652F9A">
        <w:rPr>
          <w:rFonts w:ascii="Times" w:hAnsi="Times" w:cs="Times"/>
          <w:color w:val="000000"/>
          <w:sz w:val="16"/>
          <w:szCs w:val="16"/>
          <w:lang w:val="uk-UA"/>
        </w:rPr>
        <w:t xml:space="preserve"> </w:t>
      </w:r>
      <w:r w:rsidRPr="001C2959">
        <w:rPr>
          <w:rFonts w:ascii="Times" w:hAnsi="Times" w:cs="Times"/>
          <w:color w:val="000000"/>
          <w:sz w:val="16"/>
          <w:szCs w:val="16"/>
        </w:rPr>
        <w:t xml:space="preserve"> без цироз</w:t>
      </w:r>
      <w:r w:rsidR="00565EE9">
        <w:rPr>
          <w:rFonts w:ascii="Times" w:hAnsi="Times" w:cs="Times"/>
          <w:color w:val="000000"/>
          <w:sz w:val="16"/>
          <w:szCs w:val="16"/>
          <w:lang w:val="uk-UA"/>
        </w:rPr>
        <w:t>у</w:t>
      </w:r>
      <w:r w:rsidRPr="001C2959">
        <w:rPr>
          <w:rFonts w:ascii="Times" w:hAnsi="Times" w:cs="Times"/>
          <w:color w:val="000000"/>
          <w:sz w:val="16"/>
          <w:szCs w:val="16"/>
        </w:rPr>
        <w:t xml:space="preserve"> печінки або компенсован</w:t>
      </w:r>
      <w:r w:rsidR="00565EE9">
        <w:rPr>
          <w:rFonts w:ascii="Times" w:hAnsi="Times" w:cs="Times"/>
          <w:color w:val="000000"/>
          <w:sz w:val="16"/>
          <w:szCs w:val="16"/>
          <w:lang w:val="uk-UA"/>
        </w:rPr>
        <w:t>им</w:t>
      </w:r>
      <w:r w:rsidRPr="001C2959">
        <w:rPr>
          <w:rFonts w:ascii="Times" w:hAnsi="Times" w:cs="Times"/>
          <w:color w:val="000000"/>
          <w:sz w:val="16"/>
          <w:szCs w:val="16"/>
        </w:rPr>
        <w:t xml:space="preserve"> (Child</w:t>
      </w:r>
      <w:r w:rsidR="00FC6D8A">
        <w:rPr>
          <w:rFonts w:ascii="Times" w:hAnsi="Times" w:cs="Times"/>
          <w:color w:val="000000"/>
          <w:sz w:val="16"/>
          <w:szCs w:val="16"/>
        </w:rPr>
        <w:t>–</w:t>
      </w:r>
      <w:r>
        <w:rPr>
          <w:rFonts w:ascii="Times" w:hAnsi="Times" w:cs="Times"/>
          <w:color w:val="000000"/>
          <w:sz w:val="16"/>
          <w:szCs w:val="16"/>
        </w:rPr>
        <w:t>Pugh A) цироз</w:t>
      </w:r>
      <w:r w:rsidR="00565EE9">
        <w:rPr>
          <w:rFonts w:ascii="Times" w:hAnsi="Times" w:cs="Times"/>
          <w:color w:val="000000"/>
          <w:sz w:val="16"/>
          <w:szCs w:val="16"/>
          <w:lang w:val="uk-UA"/>
        </w:rPr>
        <w:t>ом</w:t>
      </w:r>
      <w:r>
        <w:rPr>
          <w:rFonts w:ascii="Times" w:hAnsi="Times" w:cs="Times"/>
          <w:color w:val="000000"/>
          <w:sz w:val="16"/>
          <w:szCs w:val="16"/>
        </w:rPr>
        <w:t xml:space="preserve"> </w:t>
      </w:r>
      <w:r w:rsidR="00184380">
        <w:rPr>
          <w:rFonts w:ascii="Times" w:hAnsi="Times" w:cs="Times"/>
          <w:color w:val="000000"/>
          <w:sz w:val="16"/>
          <w:szCs w:val="16"/>
          <w:lang w:val="uk-UA"/>
        </w:rPr>
        <w:t xml:space="preserve">печінки </w:t>
      </w:r>
      <w:r>
        <w:rPr>
          <w:rFonts w:ascii="Times" w:hAnsi="Times" w:cs="Times"/>
          <w:color w:val="000000"/>
          <w:sz w:val="16"/>
          <w:szCs w:val="16"/>
        </w:rPr>
        <w:t>з рівнем РНК ВГС</w:t>
      </w:r>
      <w:r w:rsidRPr="001C2959">
        <w:rPr>
          <w:rFonts w:ascii="Times" w:hAnsi="Times" w:cs="Times"/>
          <w:color w:val="000000"/>
          <w:sz w:val="16"/>
          <w:szCs w:val="16"/>
        </w:rPr>
        <w:t xml:space="preserve"> ≤ 800 000 МО / мл (5.9 Log10 IU / ml).</w:t>
      </w:r>
    </w:p>
    <w:p w14:paraId="2D960DAC" w14:textId="48396CFF" w:rsidR="001C2959" w:rsidRPr="001C2959" w:rsidRDefault="001C2959" w:rsidP="001C2959">
      <w:pPr>
        <w:tabs>
          <w:tab w:val="left" w:pos="1089"/>
        </w:tabs>
        <w:ind w:left="360"/>
        <w:rPr>
          <w:rFonts w:ascii="Times" w:hAnsi="Times" w:cs="Times"/>
          <w:color w:val="000000"/>
          <w:sz w:val="16"/>
          <w:szCs w:val="16"/>
        </w:rPr>
      </w:pPr>
      <w:r w:rsidRPr="001C2959">
        <w:rPr>
          <w:rFonts w:ascii="Times" w:hAnsi="Times" w:cs="Times"/>
          <w:b/>
          <w:color w:val="000000"/>
          <w:sz w:val="16"/>
          <w:szCs w:val="16"/>
        </w:rPr>
        <w:t>c</w:t>
      </w:r>
      <w:r w:rsidRPr="001C2959">
        <w:rPr>
          <w:rFonts w:ascii="Times" w:hAnsi="Times" w:cs="Times"/>
          <w:color w:val="000000"/>
          <w:sz w:val="16"/>
          <w:szCs w:val="16"/>
        </w:rPr>
        <w:t xml:space="preserve"> Лікування</w:t>
      </w:r>
      <w:r w:rsidR="00FC6D8A">
        <w:rPr>
          <w:rFonts w:ascii="Times" w:hAnsi="Times" w:cs="Times"/>
          <w:color w:val="000000"/>
          <w:sz w:val="16"/>
          <w:szCs w:val="16"/>
        </w:rPr>
        <w:t>–</w:t>
      </w:r>
      <w:r w:rsidR="00652F9A" w:rsidRPr="00652F9A">
        <w:rPr>
          <w:rFonts w:ascii="Times" w:hAnsi="Times" w:cs="Times"/>
          <w:color w:val="000000"/>
          <w:sz w:val="16"/>
          <w:szCs w:val="16"/>
        </w:rPr>
        <w:t>“</w:t>
      </w:r>
      <w:r w:rsidRPr="001C2959">
        <w:rPr>
          <w:rFonts w:ascii="Times" w:hAnsi="Times" w:cs="Times"/>
          <w:color w:val="000000"/>
          <w:sz w:val="16"/>
          <w:szCs w:val="16"/>
        </w:rPr>
        <w:t>наївні</w:t>
      </w:r>
      <w:r w:rsidR="00652F9A" w:rsidRPr="00652F9A">
        <w:rPr>
          <w:rFonts w:ascii="Times" w:hAnsi="Times" w:cs="Times"/>
          <w:color w:val="000000"/>
          <w:sz w:val="16"/>
          <w:szCs w:val="16"/>
        </w:rPr>
        <w:t>”</w:t>
      </w:r>
      <w:r w:rsidRPr="001C2959">
        <w:rPr>
          <w:rFonts w:ascii="Times" w:hAnsi="Times" w:cs="Times"/>
          <w:color w:val="000000"/>
          <w:sz w:val="16"/>
          <w:szCs w:val="16"/>
        </w:rPr>
        <w:t xml:space="preserve"> та пацієнти</w:t>
      </w:r>
      <w:r w:rsidR="00652F9A">
        <w:rPr>
          <w:rFonts w:ascii="Times" w:hAnsi="Times" w:cs="Times"/>
          <w:color w:val="000000"/>
          <w:sz w:val="16"/>
          <w:szCs w:val="16"/>
          <w:lang w:val="uk-UA"/>
        </w:rPr>
        <w:t xml:space="preserve"> </w:t>
      </w:r>
      <w:r w:rsidR="00652F9A" w:rsidRPr="00652F9A">
        <w:rPr>
          <w:rFonts w:ascii="Times" w:hAnsi="Times" w:cs="Times"/>
          <w:color w:val="000000"/>
          <w:sz w:val="16"/>
          <w:szCs w:val="16"/>
          <w:lang w:val="uk-UA"/>
        </w:rPr>
        <w:t>з досвідом лікування</w:t>
      </w:r>
      <w:r w:rsidRPr="001C2959">
        <w:rPr>
          <w:rFonts w:ascii="Times" w:hAnsi="Times" w:cs="Times"/>
          <w:color w:val="000000"/>
          <w:sz w:val="16"/>
          <w:szCs w:val="16"/>
        </w:rPr>
        <w:t xml:space="preserve"> без цирозу.</w:t>
      </w:r>
    </w:p>
    <w:p w14:paraId="70975281" w14:textId="7B155CA4" w:rsidR="001C2959" w:rsidRPr="001C2959" w:rsidRDefault="001C2959" w:rsidP="001C2959">
      <w:pPr>
        <w:tabs>
          <w:tab w:val="left" w:pos="1089"/>
        </w:tabs>
        <w:ind w:left="360"/>
        <w:rPr>
          <w:rFonts w:ascii="Times" w:hAnsi="Times" w:cs="Times"/>
          <w:color w:val="000000"/>
          <w:sz w:val="16"/>
          <w:szCs w:val="16"/>
        </w:rPr>
      </w:pPr>
      <w:r w:rsidRPr="001C2959">
        <w:rPr>
          <w:rFonts w:ascii="Times" w:hAnsi="Times" w:cs="Times"/>
          <w:b/>
          <w:color w:val="000000"/>
          <w:sz w:val="16"/>
          <w:szCs w:val="16"/>
        </w:rPr>
        <w:t>d</w:t>
      </w:r>
      <w:r w:rsidRPr="001C2959">
        <w:rPr>
          <w:rFonts w:ascii="Times" w:hAnsi="Times" w:cs="Times"/>
          <w:color w:val="000000"/>
          <w:sz w:val="16"/>
          <w:szCs w:val="16"/>
        </w:rPr>
        <w:t xml:space="preserve"> Лікування</w:t>
      </w:r>
      <w:r w:rsidR="00FC6D8A">
        <w:rPr>
          <w:rFonts w:ascii="Times" w:hAnsi="Times" w:cs="Times"/>
          <w:color w:val="000000"/>
          <w:sz w:val="16"/>
          <w:szCs w:val="16"/>
        </w:rPr>
        <w:t>–</w:t>
      </w:r>
      <w:r w:rsidR="00652F9A" w:rsidRPr="00652F9A">
        <w:rPr>
          <w:rFonts w:ascii="Times" w:hAnsi="Times" w:cs="Times"/>
          <w:color w:val="000000"/>
          <w:sz w:val="16"/>
          <w:szCs w:val="16"/>
        </w:rPr>
        <w:t>“</w:t>
      </w:r>
      <w:r w:rsidRPr="001C2959">
        <w:rPr>
          <w:rFonts w:ascii="Times" w:hAnsi="Times" w:cs="Times"/>
          <w:color w:val="000000"/>
          <w:sz w:val="16"/>
          <w:szCs w:val="16"/>
        </w:rPr>
        <w:t>наївні</w:t>
      </w:r>
      <w:r w:rsidR="00652F9A" w:rsidRPr="00652F9A">
        <w:rPr>
          <w:rFonts w:ascii="Times" w:hAnsi="Times" w:cs="Times"/>
          <w:color w:val="000000"/>
          <w:sz w:val="16"/>
          <w:szCs w:val="16"/>
        </w:rPr>
        <w:t>”</w:t>
      </w:r>
      <w:r w:rsidRPr="001C2959">
        <w:rPr>
          <w:rFonts w:ascii="Times" w:hAnsi="Times" w:cs="Times"/>
          <w:color w:val="000000"/>
          <w:sz w:val="16"/>
          <w:szCs w:val="16"/>
        </w:rPr>
        <w:t xml:space="preserve"> та пацієнти</w:t>
      </w:r>
      <w:r w:rsidR="00652F9A">
        <w:rPr>
          <w:rFonts w:ascii="Times" w:hAnsi="Times" w:cs="Times"/>
          <w:color w:val="000000"/>
          <w:sz w:val="16"/>
          <w:szCs w:val="16"/>
          <w:lang w:val="uk-UA"/>
        </w:rPr>
        <w:t xml:space="preserve"> </w:t>
      </w:r>
      <w:r w:rsidR="00652F9A" w:rsidRPr="00652F9A">
        <w:rPr>
          <w:rFonts w:ascii="Times" w:hAnsi="Times" w:cs="Times"/>
          <w:color w:val="000000"/>
          <w:sz w:val="16"/>
          <w:szCs w:val="16"/>
          <w:lang w:val="uk-UA"/>
        </w:rPr>
        <w:t>з досвідом лікування</w:t>
      </w:r>
      <w:r w:rsidRPr="001C2959">
        <w:rPr>
          <w:rFonts w:ascii="Times" w:hAnsi="Times" w:cs="Times"/>
          <w:color w:val="000000"/>
          <w:sz w:val="16"/>
          <w:szCs w:val="16"/>
        </w:rPr>
        <w:t xml:space="preserve"> з компенсованим (Child</w:t>
      </w:r>
      <w:r w:rsidR="00FC6D8A">
        <w:rPr>
          <w:rFonts w:ascii="Times" w:hAnsi="Times" w:cs="Times"/>
          <w:color w:val="000000"/>
          <w:sz w:val="16"/>
          <w:szCs w:val="16"/>
        </w:rPr>
        <w:t>–</w:t>
      </w:r>
      <w:r w:rsidRPr="001C2959">
        <w:rPr>
          <w:rFonts w:ascii="Times" w:hAnsi="Times" w:cs="Times"/>
          <w:color w:val="000000"/>
          <w:sz w:val="16"/>
          <w:szCs w:val="16"/>
        </w:rPr>
        <w:t>Pugh A) цирозом печінки.</w:t>
      </w:r>
    </w:p>
    <w:p w14:paraId="1E362FB8" w14:textId="609B4539" w:rsidR="001C2959" w:rsidRDefault="001C2959" w:rsidP="001C2959">
      <w:pPr>
        <w:tabs>
          <w:tab w:val="left" w:pos="1089"/>
        </w:tabs>
        <w:ind w:left="360"/>
        <w:rPr>
          <w:rFonts w:ascii="Times" w:hAnsi="Times" w:cs="Times"/>
          <w:b/>
          <w:color w:val="000000"/>
          <w:sz w:val="16"/>
          <w:szCs w:val="16"/>
          <w:lang w:val="uk-UA"/>
        </w:rPr>
      </w:pPr>
      <w:r w:rsidRPr="001C2959">
        <w:rPr>
          <w:rFonts w:ascii="Times" w:hAnsi="Times" w:cs="Times"/>
          <w:b/>
          <w:color w:val="000000"/>
          <w:sz w:val="16"/>
          <w:szCs w:val="16"/>
        </w:rPr>
        <w:t>e</w:t>
      </w:r>
      <w:r>
        <w:rPr>
          <w:rFonts w:ascii="Times" w:hAnsi="Times" w:cs="Times"/>
          <w:color w:val="000000"/>
          <w:sz w:val="16"/>
          <w:szCs w:val="16"/>
        </w:rPr>
        <w:t xml:space="preserve"> </w:t>
      </w:r>
      <w:r w:rsidRPr="001C2959">
        <w:rPr>
          <w:rFonts w:ascii="Times" w:hAnsi="Times" w:cs="Times"/>
          <w:color w:val="000000"/>
          <w:sz w:val="16"/>
          <w:szCs w:val="16"/>
        </w:rPr>
        <w:t>Лікування</w:t>
      </w:r>
      <w:r>
        <w:rPr>
          <w:rFonts w:ascii="Times" w:hAnsi="Times" w:cs="Times"/>
          <w:color w:val="000000"/>
          <w:sz w:val="16"/>
          <w:szCs w:val="16"/>
        </w:rPr>
        <w:t xml:space="preserve"> без цирозу</w:t>
      </w:r>
      <w:r w:rsidRPr="001C2959">
        <w:rPr>
          <w:rFonts w:ascii="Times" w:hAnsi="Times" w:cs="Times"/>
          <w:color w:val="000000"/>
          <w:sz w:val="16"/>
          <w:szCs w:val="16"/>
        </w:rPr>
        <w:t xml:space="preserve"> печінки або з компенсованим (Child</w:t>
      </w:r>
      <w:r w:rsidR="00FC6D8A">
        <w:rPr>
          <w:rFonts w:ascii="Times" w:hAnsi="Times" w:cs="Times"/>
          <w:color w:val="000000"/>
          <w:sz w:val="16"/>
          <w:szCs w:val="16"/>
        </w:rPr>
        <w:t>–</w:t>
      </w:r>
      <w:r w:rsidRPr="001C2959">
        <w:rPr>
          <w:rFonts w:ascii="Times" w:hAnsi="Times" w:cs="Times"/>
          <w:color w:val="000000"/>
          <w:sz w:val="16"/>
          <w:szCs w:val="16"/>
        </w:rPr>
        <w:t xml:space="preserve">Pugh A) цирозом печінки з рівнем РНК </w:t>
      </w:r>
      <w:r>
        <w:rPr>
          <w:rFonts w:ascii="Times" w:hAnsi="Times" w:cs="Times"/>
          <w:color w:val="000000"/>
          <w:sz w:val="16"/>
          <w:szCs w:val="16"/>
        </w:rPr>
        <w:t>ВГС</w:t>
      </w:r>
      <w:r w:rsidRPr="001C2959">
        <w:rPr>
          <w:rFonts w:ascii="Times" w:hAnsi="Times" w:cs="Times"/>
          <w:color w:val="000000"/>
          <w:sz w:val="16"/>
          <w:szCs w:val="16"/>
        </w:rPr>
        <w:t xml:space="preserve"> ≤ 800 000 МО / мл (5.9 Log10 IU / ml</w:t>
      </w:r>
      <w:r w:rsidRPr="001C2959">
        <w:rPr>
          <w:rFonts w:ascii="Times" w:hAnsi="Times" w:cs="Times"/>
          <w:b/>
          <w:color w:val="000000"/>
          <w:sz w:val="16"/>
          <w:szCs w:val="16"/>
          <w:lang w:val="uk-UA"/>
        </w:rPr>
        <w:t xml:space="preserve"> </w:t>
      </w:r>
    </w:p>
    <w:p w14:paraId="3DB58C74" w14:textId="77777777" w:rsidR="001C2959" w:rsidRDefault="001C2959" w:rsidP="001C2959">
      <w:pPr>
        <w:tabs>
          <w:tab w:val="left" w:pos="1089"/>
        </w:tabs>
        <w:ind w:left="360"/>
        <w:rPr>
          <w:rFonts w:ascii="Times" w:hAnsi="Times" w:cs="Times"/>
          <w:b/>
          <w:color w:val="000000"/>
          <w:sz w:val="16"/>
          <w:szCs w:val="16"/>
          <w:lang w:val="uk-UA"/>
        </w:rPr>
      </w:pPr>
    </w:p>
    <w:p w14:paraId="5BAE5979" w14:textId="77777777" w:rsidR="00F9216A" w:rsidRDefault="00F9216A" w:rsidP="001C2959">
      <w:pPr>
        <w:tabs>
          <w:tab w:val="left" w:pos="1089"/>
        </w:tabs>
        <w:ind w:left="360"/>
        <w:rPr>
          <w:rFonts w:ascii="Times New Roman" w:hAnsi="Times New Roman" w:cs="Times New Roman"/>
          <w:b/>
          <w:color w:val="000000" w:themeColor="text1"/>
          <w:lang w:val="uk-UA"/>
        </w:rPr>
      </w:pPr>
    </w:p>
    <w:p w14:paraId="4AAB689F" w14:textId="62809644" w:rsidR="00F9216A" w:rsidRDefault="00F9216A" w:rsidP="001C2959">
      <w:pPr>
        <w:tabs>
          <w:tab w:val="left" w:pos="1089"/>
        </w:tabs>
        <w:ind w:left="360"/>
        <w:rPr>
          <w:rFonts w:ascii="Times New Roman" w:hAnsi="Times New Roman" w:cs="Times New Roman"/>
          <w:b/>
          <w:color w:val="000000" w:themeColor="text1"/>
          <w:lang w:val="uk-UA"/>
        </w:rPr>
      </w:pPr>
    </w:p>
    <w:p w14:paraId="7A11A16A" w14:textId="146B9B73" w:rsidR="00525692" w:rsidRDefault="00525692" w:rsidP="001C2959">
      <w:pPr>
        <w:tabs>
          <w:tab w:val="left" w:pos="1089"/>
        </w:tabs>
        <w:ind w:left="360"/>
        <w:rPr>
          <w:rFonts w:ascii="Times New Roman" w:hAnsi="Times New Roman" w:cs="Times New Roman"/>
          <w:b/>
          <w:color w:val="000000" w:themeColor="text1"/>
          <w:lang w:val="uk-UA"/>
        </w:rPr>
      </w:pPr>
    </w:p>
    <w:p w14:paraId="7F374511" w14:textId="09579AB7" w:rsidR="000B1E45" w:rsidRDefault="000B1E45" w:rsidP="001C2959">
      <w:pPr>
        <w:tabs>
          <w:tab w:val="left" w:pos="1089"/>
        </w:tabs>
        <w:ind w:left="360"/>
        <w:rPr>
          <w:rFonts w:ascii="Times New Roman" w:hAnsi="Times New Roman" w:cs="Times New Roman"/>
          <w:b/>
          <w:color w:val="000000" w:themeColor="text1"/>
          <w:lang w:val="uk-UA"/>
        </w:rPr>
      </w:pPr>
    </w:p>
    <w:p w14:paraId="00D70A9E" w14:textId="62FEAF49" w:rsidR="000B1E45" w:rsidRDefault="000B1E45" w:rsidP="001C2959">
      <w:pPr>
        <w:tabs>
          <w:tab w:val="left" w:pos="1089"/>
        </w:tabs>
        <w:ind w:left="360"/>
        <w:rPr>
          <w:rFonts w:ascii="Times New Roman" w:hAnsi="Times New Roman" w:cs="Times New Roman"/>
          <w:b/>
          <w:color w:val="000000" w:themeColor="text1"/>
          <w:lang w:val="uk-UA"/>
        </w:rPr>
      </w:pPr>
    </w:p>
    <w:p w14:paraId="5F976B38" w14:textId="77777777" w:rsidR="000B1E45" w:rsidRDefault="000B1E45" w:rsidP="001C2959">
      <w:pPr>
        <w:tabs>
          <w:tab w:val="left" w:pos="1089"/>
        </w:tabs>
        <w:ind w:left="360"/>
        <w:rPr>
          <w:rFonts w:ascii="Times New Roman" w:hAnsi="Times New Roman" w:cs="Times New Roman"/>
          <w:b/>
          <w:color w:val="000000" w:themeColor="text1"/>
          <w:lang w:val="uk-UA"/>
        </w:rPr>
      </w:pPr>
    </w:p>
    <w:p w14:paraId="2CD98AA8" w14:textId="77777777" w:rsidR="00F9216A" w:rsidRDefault="00F9216A" w:rsidP="001C2959">
      <w:pPr>
        <w:tabs>
          <w:tab w:val="left" w:pos="1089"/>
        </w:tabs>
        <w:ind w:left="360"/>
        <w:rPr>
          <w:rFonts w:ascii="Times New Roman" w:hAnsi="Times New Roman" w:cs="Times New Roman"/>
          <w:b/>
          <w:color w:val="000000" w:themeColor="text1"/>
          <w:lang w:val="uk-UA"/>
        </w:rPr>
      </w:pPr>
    </w:p>
    <w:p w14:paraId="4E3ECF8F" w14:textId="77777777" w:rsidR="00F9216A" w:rsidRDefault="00F9216A" w:rsidP="00565EE9">
      <w:pPr>
        <w:tabs>
          <w:tab w:val="left" w:pos="1089"/>
        </w:tabs>
        <w:rPr>
          <w:rFonts w:ascii="Times New Roman" w:hAnsi="Times New Roman" w:cs="Times New Roman"/>
          <w:b/>
          <w:color w:val="000000" w:themeColor="text1"/>
          <w:lang w:val="uk-UA"/>
        </w:rPr>
      </w:pPr>
    </w:p>
    <w:p w14:paraId="5AAD7504" w14:textId="77777777" w:rsidR="00F9216A" w:rsidRDefault="00F9216A" w:rsidP="001C2959">
      <w:pPr>
        <w:tabs>
          <w:tab w:val="left" w:pos="1089"/>
        </w:tabs>
        <w:ind w:left="360"/>
        <w:rPr>
          <w:rFonts w:ascii="Times New Roman" w:hAnsi="Times New Roman" w:cs="Times New Roman"/>
          <w:b/>
          <w:color w:val="000000" w:themeColor="text1"/>
          <w:lang w:val="uk-UA"/>
        </w:rPr>
      </w:pPr>
    </w:p>
    <w:p w14:paraId="1DE5619A" w14:textId="3227F30D" w:rsidR="00E92A90" w:rsidRDefault="00616F70" w:rsidP="00F53078">
      <w:pPr>
        <w:tabs>
          <w:tab w:val="left" w:pos="1089"/>
        </w:tabs>
        <w:ind w:left="360"/>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lastRenderedPageBreak/>
        <w:t>Таблиця 7</w:t>
      </w:r>
      <w:r w:rsidR="00E92A90" w:rsidRPr="00E92A90">
        <w:rPr>
          <w:rFonts w:ascii="Times New Roman" w:hAnsi="Times New Roman" w:cs="Times New Roman"/>
          <w:b/>
          <w:color w:val="000000" w:themeColor="text1"/>
          <w:lang w:val="uk-UA"/>
        </w:rPr>
        <w:t>. Рекоменда</w:t>
      </w:r>
      <w:r w:rsidR="00E92A90">
        <w:rPr>
          <w:rFonts w:ascii="Times New Roman" w:hAnsi="Times New Roman" w:cs="Times New Roman"/>
          <w:b/>
          <w:color w:val="000000" w:themeColor="text1"/>
          <w:lang w:val="uk-UA"/>
        </w:rPr>
        <w:t xml:space="preserve">ції щодо лікування хворих </w:t>
      </w:r>
      <w:r w:rsidR="00AD7F1B">
        <w:rPr>
          <w:rFonts w:ascii="Times New Roman" w:hAnsi="Times New Roman" w:cs="Times New Roman"/>
          <w:b/>
          <w:color w:val="000000" w:themeColor="text1"/>
          <w:lang w:val="uk-UA"/>
        </w:rPr>
        <w:t>з</w:t>
      </w:r>
      <w:r w:rsidR="00E92A90">
        <w:rPr>
          <w:rFonts w:ascii="Times New Roman" w:hAnsi="Times New Roman" w:cs="Times New Roman"/>
          <w:b/>
          <w:color w:val="000000" w:themeColor="text1"/>
          <w:lang w:val="uk-UA"/>
        </w:rPr>
        <w:t xml:space="preserve"> ВГС</w:t>
      </w:r>
      <w:r w:rsidR="00525692">
        <w:rPr>
          <w:rFonts w:ascii="Times New Roman" w:hAnsi="Times New Roman" w:cs="Times New Roman"/>
          <w:b/>
          <w:color w:val="000000" w:themeColor="text1"/>
          <w:lang w:val="uk-UA"/>
        </w:rPr>
        <w:t>-</w:t>
      </w:r>
      <w:r w:rsidR="00E92A90">
        <w:rPr>
          <w:rFonts w:ascii="Times New Roman" w:hAnsi="Times New Roman" w:cs="Times New Roman"/>
          <w:b/>
          <w:color w:val="000000" w:themeColor="text1"/>
          <w:lang w:val="uk-UA"/>
        </w:rPr>
        <w:t>моноінфекці</w:t>
      </w:r>
      <w:r w:rsidR="00AD7F1B">
        <w:rPr>
          <w:rFonts w:ascii="Times New Roman" w:hAnsi="Times New Roman" w:cs="Times New Roman"/>
          <w:b/>
          <w:color w:val="000000" w:themeColor="text1"/>
          <w:lang w:val="uk-UA"/>
        </w:rPr>
        <w:t>єю</w:t>
      </w:r>
      <w:r w:rsidR="00E92A90" w:rsidRPr="00E92A90">
        <w:rPr>
          <w:rFonts w:ascii="Times New Roman" w:hAnsi="Times New Roman" w:cs="Times New Roman"/>
          <w:b/>
          <w:color w:val="000000" w:themeColor="text1"/>
          <w:lang w:val="uk-UA"/>
        </w:rPr>
        <w:t xml:space="preserve"> </w:t>
      </w:r>
      <w:r w:rsidR="00525692">
        <w:rPr>
          <w:rFonts w:ascii="Times New Roman" w:hAnsi="Times New Roman" w:cs="Times New Roman"/>
          <w:b/>
          <w:color w:val="000000" w:themeColor="text1"/>
          <w:lang w:val="uk-UA"/>
        </w:rPr>
        <w:t>або ВІЛ/</w:t>
      </w:r>
      <w:r w:rsidR="00E92A90">
        <w:rPr>
          <w:rFonts w:ascii="Times New Roman" w:hAnsi="Times New Roman" w:cs="Times New Roman"/>
          <w:b/>
          <w:color w:val="000000" w:themeColor="text1"/>
          <w:lang w:val="uk-UA"/>
        </w:rPr>
        <w:t xml:space="preserve">ВГС </w:t>
      </w:r>
      <w:r w:rsidR="00E92A90" w:rsidRPr="00E92A90">
        <w:rPr>
          <w:rFonts w:ascii="Times New Roman" w:hAnsi="Times New Roman" w:cs="Times New Roman"/>
          <w:b/>
          <w:color w:val="000000" w:themeColor="text1"/>
          <w:lang w:val="uk-UA"/>
        </w:rPr>
        <w:t>пацієнтів без цирозу, включаючи пацієнтів, які</w:t>
      </w:r>
      <w:r w:rsidR="00E92A90">
        <w:rPr>
          <w:rFonts w:ascii="Times New Roman" w:hAnsi="Times New Roman" w:cs="Times New Roman"/>
          <w:b/>
          <w:color w:val="000000" w:themeColor="text1"/>
          <w:lang w:val="uk-UA"/>
        </w:rPr>
        <w:t xml:space="preserve"> раніше не отримували лікування</w:t>
      </w:r>
      <w:r w:rsidR="00E92A90" w:rsidRPr="00E92A90">
        <w:rPr>
          <w:rFonts w:ascii="Times New Roman" w:hAnsi="Times New Roman" w:cs="Times New Roman"/>
          <w:b/>
          <w:color w:val="000000" w:themeColor="text1"/>
          <w:lang w:val="uk-UA"/>
        </w:rPr>
        <w:t xml:space="preserve"> та пацієнтів із досвідом лікування (визначені як пацієнти, </w:t>
      </w:r>
      <w:r w:rsidR="00E92A90" w:rsidRPr="006A5A2E">
        <w:rPr>
          <w:rFonts w:ascii="Times New Roman" w:hAnsi="Times New Roman" w:cs="Times New Roman"/>
          <w:b/>
          <w:color w:val="000000" w:themeColor="text1"/>
          <w:lang w:val="uk-UA"/>
        </w:rPr>
        <w:t>які раніше отримували пегінтерферон</w:t>
      </w:r>
      <w:r w:rsidR="00FC6D8A">
        <w:rPr>
          <w:rFonts w:ascii="Times New Roman" w:hAnsi="Times New Roman" w:cs="Times New Roman"/>
          <w:b/>
          <w:color w:val="000000" w:themeColor="text1"/>
          <w:lang w:val="uk-UA"/>
        </w:rPr>
        <w:t>–</w:t>
      </w:r>
      <w:r w:rsidR="00E92A90" w:rsidRPr="006A5A2E">
        <w:rPr>
          <w:rFonts w:ascii="Times New Roman" w:hAnsi="Times New Roman" w:cs="Times New Roman"/>
          <w:b/>
          <w:color w:val="000000" w:themeColor="text1"/>
          <w:lang w:val="uk-UA"/>
        </w:rPr>
        <w:t>альфа та рібавірин, або пегінтерферон</w:t>
      </w:r>
      <w:r w:rsidR="00FC6D8A">
        <w:rPr>
          <w:rFonts w:ascii="Times New Roman" w:hAnsi="Times New Roman" w:cs="Times New Roman"/>
          <w:b/>
          <w:color w:val="000000" w:themeColor="text1"/>
          <w:lang w:val="uk-UA"/>
        </w:rPr>
        <w:t>–</w:t>
      </w:r>
      <w:r w:rsidR="00E92A90" w:rsidRPr="006A5A2E">
        <w:rPr>
          <w:rFonts w:ascii="Times New Roman" w:hAnsi="Times New Roman" w:cs="Times New Roman"/>
          <w:b/>
          <w:color w:val="000000" w:themeColor="text1"/>
          <w:lang w:val="uk-UA"/>
        </w:rPr>
        <w:t>альфа, рибавірин та софосбувір, або софосбувір та рибавірин</w:t>
      </w:r>
      <w:r w:rsidR="00E92A90" w:rsidRPr="00E92A90">
        <w:rPr>
          <w:rFonts w:ascii="Times New Roman" w:hAnsi="Times New Roman" w:cs="Times New Roman"/>
          <w:b/>
          <w:color w:val="000000" w:themeColor="text1"/>
          <w:lang w:val="uk-UA"/>
        </w:rPr>
        <w:t>).</w:t>
      </w:r>
    </w:p>
    <w:p w14:paraId="37925250" w14:textId="6D6AA2B6" w:rsidR="00827E72" w:rsidRDefault="00827E72" w:rsidP="00F53078">
      <w:pPr>
        <w:tabs>
          <w:tab w:val="left" w:pos="1089"/>
        </w:tabs>
        <w:ind w:left="360"/>
        <w:jc w:val="both"/>
        <w:rPr>
          <w:rFonts w:ascii="Times New Roman" w:hAnsi="Times New Roman" w:cs="Times New Roman"/>
          <w:b/>
          <w:color w:val="000000" w:themeColor="text1"/>
          <w:lang w:val="uk-UA"/>
        </w:rPr>
      </w:pPr>
    </w:p>
    <w:tbl>
      <w:tblPr>
        <w:tblStyle w:val="a6"/>
        <w:tblW w:w="9983" w:type="dxa"/>
        <w:tblInd w:w="360" w:type="dxa"/>
        <w:tblLayout w:type="fixed"/>
        <w:tblLook w:val="04A0" w:firstRow="1" w:lastRow="0" w:firstColumn="1" w:lastColumn="0" w:noHBand="0" w:noVBand="1"/>
      </w:tblPr>
      <w:tblGrid>
        <w:gridCol w:w="1195"/>
        <w:gridCol w:w="2126"/>
        <w:gridCol w:w="709"/>
        <w:gridCol w:w="708"/>
        <w:gridCol w:w="1134"/>
        <w:gridCol w:w="1276"/>
        <w:gridCol w:w="1418"/>
        <w:gridCol w:w="1417"/>
      </w:tblGrid>
      <w:tr w:rsidR="00827E72" w:rsidRPr="00970304" w14:paraId="4F1714C4" w14:textId="77777777" w:rsidTr="00D005A1">
        <w:tc>
          <w:tcPr>
            <w:tcW w:w="1195" w:type="dxa"/>
          </w:tcPr>
          <w:p w14:paraId="1A40CFD6" w14:textId="4E062C7C" w:rsidR="00827E72" w:rsidRPr="00970304" w:rsidRDefault="00827E72" w:rsidP="00682493">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Пацієнти</w:t>
            </w:r>
          </w:p>
        </w:tc>
        <w:tc>
          <w:tcPr>
            <w:tcW w:w="2126" w:type="dxa"/>
          </w:tcPr>
          <w:p w14:paraId="4ED16041" w14:textId="09D3FE2A" w:rsidR="00827E72" w:rsidRPr="00970304" w:rsidRDefault="00827E72" w:rsidP="00682493">
            <w:pPr>
              <w:tabs>
                <w:tab w:val="left" w:pos="1089"/>
              </w:tabs>
              <w:jc w:val="both"/>
              <w:rPr>
                <w:rFonts w:ascii="Times New Roman" w:hAnsi="Times New Roman" w:cs="Times New Roman"/>
                <w:b/>
                <w:color w:val="000000" w:themeColor="text1"/>
                <w:sz w:val="20"/>
                <w:szCs w:val="20"/>
                <w:lang w:val="it-IT"/>
              </w:rPr>
            </w:pPr>
            <w:r w:rsidRPr="00970304">
              <w:rPr>
                <w:rFonts w:ascii="Times New Roman" w:hAnsi="Times New Roman" w:cs="Times New Roman"/>
                <w:b/>
                <w:color w:val="000000" w:themeColor="text1"/>
                <w:sz w:val="20"/>
                <w:szCs w:val="20"/>
                <w:lang w:val="uk-UA"/>
              </w:rPr>
              <w:t>Попередній досвід лікування</w:t>
            </w:r>
          </w:p>
        </w:tc>
        <w:tc>
          <w:tcPr>
            <w:tcW w:w="709" w:type="dxa"/>
          </w:tcPr>
          <w:p w14:paraId="43720A47" w14:textId="0036BBDB" w:rsidR="00827E72" w:rsidRPr="00970304" w:rsidRDefault="00827E72" w:rsidP="00682493">
            <w:pPr>
              <w:tabs>
                <w:tab w:val="left" w:pos="1089"/>
              </w:tabs>
              <w:jc w:val="both"/>
              <w:rPr>
                <w:rFonts w:ascii="Times New Roman" w:hAnsi="Times New Roman" w:cs="Times New Roman"/>
                <w:b/>
                <w:color w:val="000000" w:themeColor="text1"/>
                <w:sz w:val="20"/>
                <w:szCs w:val="20"/>
                <w:lang w:val="it-IT"/>
              </w:rPr>
            </w:pPr>
            <w:r w:rsidRPr="00970304">
              <w:rPr>
                <w:rFonts w:ascii="Times New Roman" w:hAnsi="Times New Roman" w:cs="Times New Roman"/>
                <w:b/>
                <w:color w:val="000000" w:themeColor="text1"/>
                <w:sz w:val="20"/>
                <w:szCs w:val="20"/>
                <w:lang w:val="it-IT"/>
              </w:rPr>
              <w:t>SOF/VEL</w:t>
            </w:r>
          </w:p>
        </w:tc>
        <w:tc>
          <w:tcPr>
            <w:tcW w:w="708" w:type="dxa"/>
          </w:tcPr>
          <w:p w14:paraId="09010EDA" w14:textId="77777777" w:rsidR="00827E72" w:rsidRPr="00970304" w:rsidRDefault="00827E72" w:rsidP="00682493">
            <w:pPr>
              <w:tabs>
                <w:tab w:val="left" w:pos="1089"/>
              </w:tabs>
              <w:jc w:val="both"/>
              <w:rPr>
                <w:rFonts w:ascii="Times New Roman" w:hAnsi="Times New Roman" w:cs="Times New Roman"/>
                <w:b/>
                <w:color w:val="000000" w:themeColor="text1"/>
                <w:sz w:val="20"/>
                <w:szCs w:val="20"/>
                <w:lang w:val="it-IT"/>
              </w:rPr>
            </w:pPr>
            <w:r w:rsidRPr="00970304">
              <w:rPr>
                <w:rFonts w:ascii="Times New Roman" w:hAnsi="Times New Roman" w:cs="Times New Roman"/>
                <w:b/>
                <w:color w:val="000000" w:themeColor="text1"/>
                <w:sz w:val="20"/>
                <w:szCs w:val="20"/>
                <w:lang w:val="it-IT"/>
              </w:rPr>
              <w:t>GLE/PIB</w:t>
            </w:r>
          </w:p>
        </w:tc>
        <w:tc>
          <w:tcPr>
            <w:tcW w:w="1134" w:type="dxa"/>
          </w:tcPr>
          <w:p w14:paraId="08A3787F" w14:textId="77777777" w:rsidR="00827E72" w:rsidRPr="00970304" w:rsidRDefault="00827E72" w:rsidP="00682493">
            <w:pPr>
              <w:tabs>
                <w:tab w:val="left" w:pos="1089"/>
              </w:tabs>
              <w:jc w:val="both"/>
              <w:rPr>
                <w:rFonts w:ascii="Times New Roman" w:hAnsi="Times New Roman" w:cs="Times New Roman"/>
                <w:b/>
                <w:color w:val="000000" w:themeColor="text1"/>
                <w:sz w:val="20"/>
                <w:szCs w:val="20"/>
                <w:lang w:val="it-IT"/>
              </w:rPr>
            </w:pPr>
            <w:r w:rsidRPr="00970304">
              <w:rPr>
                <w:rFonts w:ascii="Times New Roman" w:hAnsi="Times New Roman" w:cs="Times New Roman"/>
                <w:b/>
                <w:color w:val="000000" w:themeColor="text1"/>
                <w:sz w:val="20"/>
                <w:szCs w:val="20"/>
                <w:lang w:val="it-IT"/>
              </w:rPr>
              <w:t>SOF/VEL/VOX</w:t>
            </w:r>
          </w:p>
        </w:tc>
        <w:tc>
          <w:tcPr>
            <w:tcW w:w="1276" w:type="dxa"/>
          </w:tcPr>
          <w:p w14:paraId="02525591" w14:textId="77777777" w:rsidR="00827E72" w:rsidRPr="00970304" w:rsidRDefault="00827E72" w:rsidP="00682493">
            <w:pPr>
              <w:tabs>
                <w:tab w:val="left" w:pos="1089"/>
              </w:tabs>
              <w:jc w:val="both"/>
              <w:rPr>
                <w:rFonts w:ascii="Times New Roman" w:hAnsi="Times New Roman" w:cs="Times New Roman"/>
                <w:b/>
                <w:color w:val="000000" w:themeColor="text1"/>
                <w:sz w:val="20"/>
                <w:szCs w:val="20"/>
                <w:lang w:val="it-IT"/>
              </w:rPr>
            </w:pPr>
            <w:r w:rsidRPr="00970304">
              <w:rPr>
                <w:rFonts w:ascii="Times New Roman" w:hAnsi="Times New Roman" w:cs="Times New Roman"/>
                <w:b/>
                <w:color w:val="000000" w:themeColor="text1"/>
                <w:sz w:val="20"/>
                <w:szCs w:val="20"/>
                <w:lang w:val="it-IT"/>
              </w:rPr>
              <w:t>SOF/LDV</w:t>
            </w:r>
          </w:p>
        </w:tc>
        <w:tc>
          <w:tcPr>
            <w:tcW w:w="1418" w:type="dxa"/>
          </w:tcPr>
          <w:p w14:paraId="2BA93C59" w14:textId="77777777" w:rsidR="00827E72" w:rsidRPr="00970304" w:rsidRDefault="00827E72" w:rsidP="00682493">
            <w:pPr>
              <w:tabs>
                <w:tab w:val="left" w:pos="1089"/>
              </w:tabs>
              <w:jc w:val="both"/>
              <w:rPr>
                <w:rFonts w:ascii="Times New Roman" w:hAnsi="Times New Roman" w:cs="Times New Roman"/>
                <w:b/>
                <w:color w:val="000000" w:themeColor="text1"/>
                <w:sz w:val="20"/>
                <w:szCs w:val="20"/>
                <w:lang w:val="it-IT"/>
              </w:rPr>
            </w:pPr>
            <w:r w:rsidRPr="00970304">
              <w:rPr>
                <w:rFonts w:ascii="Times New Roman" w:hAnsi="Times New Roman" w:cs="Times New Roman"/>
                <w:b/>
                <w:color w:val="000000" w:themeColor="text1"/>
                <w:sz w:val="20"/>
                <w:szCs w:val="20"/>
                <w:lang w:val="it-IT"/>
              </w:rPr>
              <w:t>GZR/EBR</w:t>
            </w:r>
          </w:p>
        </w:tc>
        <w:tc>
          <w:tcPr>
            <w:tcW w:w="1417" w:type="dxa"/>
          </w:tcPr>
          <w:p w14:paraId="167CDD4E" w14:textId="77777777" w:rsidR="00827E72" w:rsidRPr="00970304" w:rsidRDefault="00827E72" w:rsidP="00682493">
            <w:pPr>
              <w:tabs>
                <w:tab w:val="left" w:pos="1089"/>
              </w:tabs>
              <w:jc w:val="both"/>
              <w:rPr>
                <w:rFonts w:ascii="Times New Roman" w:hAnsi="Times New Roman" w:cs="Times New Roman"/>
                <w:b/>
                <w:color w:val="000000" w:themeColor="text1"/>
                <w:sz w:val="20"/>
                <w:szCs w:val="20"/>
                <w:lang w:val="it-IT"/>
              </w:rPr>
            </w:pPr>
            <w:r w:rsidRPr="00970304">
              <w:rPr>
                <w:rFonts w:ascii="Times New Roman" w:hAnsi="Times New Roman" w:cs="Times New Roman"/>
                <w:b/>
                <w:color w:val="000000" w:themeColor="text1"/>
                <w:sz w:val="20"/>
                <w:szCs w:val="20"/>
                <w:lang w:val="it-IT"/>
              </w:rPr>
              <w:t>OBV/PTV/r+</w:t>
            </w:r>
          </w:p>
          <w:p w14:paraId="4F42C1F1" w14:textId="77777777" w:rsidR="00827E72" w:rsidRPr="00970304" w:rsidRDefault="00827E72" w:rsidP="00682493">
            <w:pPr>
              <w:tabs>
                <w:tab w:val="left" w:pos="1089"/>
              </w:tabs>
              <w:jc w:val="both"/>
              <w:rPr>
                <w:rFonts w:ascii="Times New Roman" w:hAnsi="Times New Roman" w:cs="Times New Roman"/>
                <w:b/>
                <w:color w:val="000000" w:themeColor="text1"/>
                <w:sz w:val="20"/>
                <w:szCs w:val="20"/>
                <w:lang w:val="it-IT"/>
              </w:rPr>
            </w:pPr>
            <w:r w:rsidRPr="00970304">
              <w:rPr>
                <w:rFonts w:ascii="Times New Roman" w:hAnsi="Times New Roman" w:cs="Times New Roman"/>
                <w:b/>
                <w:color w:val="000000" w:themeColor="text1"/>
                <w:sz w:val="20"/>
                <w:szCs w:val="20"/>
                <w:lang w:val="it-IT"/>
              </w:rPr>
              <w:t>DSV</w:t>
            </w:r>
          </w:p>
        </w:tc>
      </w:tr>
      <w:tr w:rsidR="00682493" w:rsidRPr="00970304" w14:paraId="5157744E" w14:textId="77777777" w:rsidTr="00D005A1">
        <w:tc>
          <w:tcPr>
            <w:tcW w:w="1195" w:type="dxa"/>
          </w:tcPr>
          <w:p w14:paraId="4384715A" w14:textId="77777777" w:rsidR="00682493" w:rsidRPr="00970304" w:rsidRDefault="00682493" w:rsidP="00682493">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Генотип 1а</w:t>
            </w:r>
          </w:p>
        </w:tc>
        <w:tc>
          <w:tcPr>
            <w:tcW w:w="2126" w:type="dxa"/>
            <w:shd w:val="clear" w:color="auto" w:fill="FFFFFF" w:themeFill="background1"/>
          </w:tcPr>
          <w:p w14:paraId="620D2831" w14:textId="43802443" w:rsidR="00682493" w:rsidRPr="00970304" w:rsidRDefault="00652F9A" w:rsidP="00682493">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en-US"/>
              </w:rPr>
              <w:t>“</w:t>
            </w:r>
            <w:r w:rsidR="00682493" w:rsidRPr="00970304">
              <w:rPr>
                <w:rFonts w:ascii="Times New Roman" w:hAnsi="Times New Roman" w:cs="Times New Roman"/>
                <w:b/>
                <w:color w:val="000000" w:themeColor="text1"/>
                <w:sz w:val="20"/>
                <w:szCs w:val="20"/>
                <w:lang w:val="uk-UA"/>
              </w:rPr>
              <w:t>Наївні</w:t>
            </w:r>
            <w:r>
              <w:rPr>
                <w:rFonts w:ascii="Times New Roman" w:hAnsi="Times New Roman" w:cs="Times New Roman"/>
                <w:b/>
                <w:color w:val="000000" w:themeColor="text1"/>
                <w:sz w:val="20"/>
                <w:szCs w:val="20"/>
                <w:lang w:val="en-US"/>
              </w:rPr>
              <w:t>”</w:t>
            </w:r>
            <w:r w:rsidR="00682493" w:rsidRPr="00970304">
              <w:rPr>
                <w:rFonts w:ascii="Times New Roman" w:hAnsi="Times New Roman" w:cs="Times New Roman"/>
                <w:b/>
                <w:color w:val="000000" w:themeColor="text1"/>
                <w:sz w:val="20"/>
                <w:szCs w:val="20"/>
                <w:lang w:val="uk-UA"/>
              </w:rPr>
              <w:t xml:space="preserve"> пацієнти</w:t>
            </w:r>
          </w:p>
        </w:tc>
        <w:tc>
          <w:tcPr>
            <w:tcW w:w="709" w:type="dxa"/>
            <w:shd w:val="clear" w:color="auto" w:fill="BDD6EE" w:themeFill="accent1" w:themeFillTint="66"/>
          </w:tcPr>
          <w:p w14:paraId="4AFD74D8" w14:textId="1B85DCB2" w:rsidR="00682493" w:rsidRPr="00970304" w:rsidRDefault="00682493" w:rsidP="00682493">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12 т</w:t>
            </w:r>
            <w:r w:rsidR="00970304" w:rsidRPr="00970304">
              <w:rPr>
                <w:rFonts w:ascii="Times New Roman" w:hAnsi="Times New Roman" w:cs="Times New Roman"/>
                <w:b/>
                <w:color w:val="000000" w:themeColor="text1"/>
                <w:sz w:val="20"/>
                <w:szCs w:val="20"/>
                <w:lang w:val="uk-UA"/>
              </w:rPr>
              <w:t>иж</w:t>
            </w:r>
          </w:p>
        </w:tc>
        <w:tc>
          <w:tcPr>
            <w:tcW w:w="708" w:type="dxa"/>
            <w:shd w:val="clear" w:color="auto" w:fill="BDD6EE" w:themeFill="accent1" w:themeFillTint="66"/>
          </w:tcPr>
          <w:p w14:paraId="78785290" w14:textId="7179A576" w:rsidR="00682493" w:rsidRPr="00970304" w:rsidRDefault="00970304" w:rsidP="00682493">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 xml:space="preserve">8 </w:t>
            </w:r>
            <w:r w:rsidRPr="00970304">
              <w:rPr>
                <w:rFonts w:ascii="Times New Roman" w:hAnsi="Times New Roman" w:cs="Times New Roman"/>
                <w:b/>
                <w:color w:val="000000" w:themeColor="text1"/>
                <w:sz w:val="20"/>
                <w:szCs w:val="20"/>
                <w:lang w:val="uk-UA"/>
              </w:rPr>
              <w:t>тиж</w:t>
            </w:r>
          </w:p>
        </w:tc>
        <w:tc>
          <w:tcPr>
            <w:tcW w:w="1134" w:type="dxa"/>
            <w:shd w:val="clear" w:color="auto" w:fill="F244C0"/>
          </w:tcPr>
          <w:p w14:paraId="3B04652F" w14:textId="198878DF" w:rsidR="00682493" w:rsidRPr="00970304" w:rsidRDefault="00682493" w:rsidP="00682493">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276" w:type="dxa"/>
            <w:shd w:val="clear" w:color="auto" w:fill="BDD6EE" w:themeFill="accent1" w:themeFillTint="66"/>
          </w:tcPr>
          <w:p w14:paraId="32AA941E" w14:textId="6388FB4F" w:rsidR="00682493" w:rsidRPr="00970304" w:rsidRDefault="00682493" w:rsidP="00682493">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8</w:t>
            </w:r>
            <w:r w:rsidR="00FC6D8A" w:rsidRPr="00970304">
              <w:rPr>
                <w:rFonts w:ascii="Times New Roman" w:hAnsi="Times New Roman" w:cs="Times New Roman"/>
                <w:b/>
                <w:color w:val="000000" w:themeColor="text1"/>
                <w:sz w:val="20"/>
                <w:szCs w:val="20"/>
                <w:lang w:val="uk-UA"/>
              </w:rPr>
              <w:t>–</w:t>
            </w:r>
            <w:r w:rsidR="00970304">
              <w:rPr>
                <w:rFonts w:ascii="Times New Roman" w:hAnsi="Times New Roman" w:cs="Times New Roman"/>
                <w:b/>
                <w:color w:val="000000" w:themeColor="text1"/>
                <w:sz w:val="20"/>
                <w:szCs w:val="20"/>
                <w:lang w:val="uk-UA"/>
              </w:rPr>
              <w:t xml:space="preserve">12 </w:t>
            </w:r>
            <w:r w:rsidR="00970304" w:rsidRPr="00970304">
              <w:rPr>
                <w:rFonts w:ascii="Times New Roman" w:hAnsi="Times New Roman" w:cs="Times New Roman"/>
                <w:b/>
                <w:color w:val="000000" w:themeColor="text1"/>
                <w:sz w:val="20"/>
                <w:szCs w:val="20"/>
                <w:lang w:val="uk-UA"/>
              </w:rPr>
              <w:t>тиж</w:t>
            </w:r>
          </w:p>
        </w:tc>
        <w:tc>
          <w:tcPr>
            <w:tcW w:w="1418" w:type="dxa"/>
            <w:shd w:val="clear" w:color="auto" w:fill="BDD6EE" w:themeFill="accent1" w:themeFillTint="66"/>
          </w:tcPr>
          <w:p w14:paraId="550106C8" w14:textId="08DA7718" w:rsidR="00682493" w:rsidRPr="00970304" w:rsidRDefault="00970304" w:rsidP="00682493">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 xml:space="preserve">12 </w:t>
            </w:r>
            <w:r w:rsidRPr="00970304">
              <w:rPr>
                <w:rFonts w:ascii="Times New Roman" w:hAnsi="Times New Roman" w:cs="Times New Roman"/>
                <w:b/>
                <w:color w:val="000000" w:themeColor="text1"/>
                <w:sz w:val="20"/>
                <w:szCs w:val="20"/>
                <w:lang w:val="uk-UA"/>
              </w:rPr>
              <w:t>тиж</w:t>
            </w:r>
            <w:r w:rsidR="00682493" w:rsidRPr="00970304">
              <w:rPr>
                <w:rFonts w:ascii="Times New Roman" w:hAnsi="Times New Roman" w:cs="Times New Roman"/>
                <w:b/>
                <w:color w:val="000000" w:themeColor="text1"/>
                <w:sz w:val="20"/>
                <w:szCs w:val="20"/>
                <w:lang w:val="uk-UA"/>
              </w:rPr>
              <w:t xml:space="preserve"> (РНК ВГС </w:t>
            </w:r>
            <w:r w:rsidR="00682493" w:rsidRPr="00970304">
              <w:rPr>
                <w:rFonts w:ascii="Times New Roman" w:hAnsi="Times New Roman" w:cs="Times New Roman"/>
                <w:b/>
                <w:color w:val="000000" w:themeColor="text1"/>
                <w:sz w:val="20"/>
                <w:szCs w:val="20"/>
                <w:lang w:val="it-IT"/>
              </w:rPr>
              <w:t xml:space="preserve">≤ 800 000 </w:t>
            </w:r>
            <w:r w:rsidR="00682493" w:rsidRPr="00970304">
              <w:rPr>
                <w:rFonts w:ascii="Times New Roman" w:hAnsi="Times New Roman" w:cs="Times New Roman"/>
                <w:b/>
                <w:color w:val="000000" w:themeColor="text1"/>
                <w:sz w:val="20"/>
                <w:szCs w:val="20"/>
                <w:lang w:val="uk-UA"/>
              </w:rPr>
              <w:t>МО/мл</w:t>
            </w:r>
          </w:p>
        </w:tc>
        <w:tc>
          <w:tcPr>
            <w:tcW w:w="1417" w:type="dxa"/>
            <w:shd w:val="clear" w:color="auto" w:fill="F244C0"/>
          </w:tcPr>
          <w:p w14:paraId="236E163A" w14:textId="71925EA0" w:rsidR="00682493" w:rsidRPr="00970304" w:rsidRDefault="00682493" w:rsidP="00682493">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Ні</w:t>
            </w:r>
          </w:p>
        </w:tc>
      </w:tr>
      <w:tr w:rsidR="00682493" w:rsidRPr="00970304" w14:paraId="50CCA7D2" w14:textId="77777777" w:rsidTr="00D005A1">
        <w:tc>
          <w:tcPr>
            <w:tcW w:w="1195" w:type="dxa"/>
          </w:tcPr>
          <w:p w14:paraId="4A6FA091" w14:textId="77777777" w:rsidR="00682493" w:rsidRPr="00970304" w:rsidRDefault="00682493" w:rsidP="00682493">
            <w:pPr>
              <w:tabs>
                <w:tab w:val="left" w:pos="1089"/>
              </w:tabs>
              <w:jc w:val="both"/>
              <w:rPr>
                <w:rFonts w:ascii="Times New Roman" w:hAnsi="Times New Roman" w:cs="Times New Roman"/>
                <w:b/>
                <w:color w:val="000000" w:themeColor="text1"/>
                <w:sz w:val="20"/>
                <w:szCs w:val="20"/>
                <w:lang w:val="uk-UA"/>
              </w:rPr>
            </w:pPr>
          </w:p>
        </w:tc>
        <w:tc>
          <w:tcPr>
            <w:tcW w:w="2126" w:type="dxa"/>
            <w:shd w:val="clear" w:color="auto" w:fill="FFFFFF" w:themeFill="background1"/>
          </w:tcPr>
          <w:p w14:paraId="376FB424" w14:textId="1F9287B7" w:rsidR="00682493" w:rsidRPr="00970304" w:rsidRDefault="00682493" w:rsidP="00682493">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З досвідом лікування</w:t>
            </w:r>
          </w:p>
        </w:tc>
        <w:tc>
          <w:tcPr>
            <w:tcW w:w="709" w:type="dxa"/>
            <w:shd w:val="clear" w:color="auto" w:fill="BDD6EE" w:themeFill="accent1" w:themeFillTint="66"/>
          </w:tcPr>
          <w:p w14:paraId="535E9E45" w14:textId="4D29BF69" w:rsidR="00682493" w:rsidRPr="00970304" w:rsidRDefault="00970304" w:rsidP="00682493">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 xml:space="preserve">12 </w:t>
            </w:r>
            <w:r w:rsidRPr="00970304">
              <w:rPr>
                <w:rFonts w:ascii="Times New Roman" w:hAnsi="Times New Roman" w:cs="Times New Roman"/>
                <w:b/>
                <w:color w:val="000000" w:themeColor="text1"/>
                <w:sz w:val="20"/>
                <w:szCs w:val="20"/>
                <w:lang w:val="uk-UA"/>
              </w:rPr>
              <w:t>тиж</w:t>
            </w:r>
          </w:p>
        </w:tc>
        <w:tc>
          <w:tcPr>
            <w:tcW w:w="708" w:type="dxa"/>
            <w:shd w:val="clear" w:color="auto" w:fill="BDD6EE" w:themeFill="accent1" w:themeFillTint="66"/>
          </w:tcPr>
          <w:p w14:paraId="6FEAAB0F" w14:textId="527149FE" w:rsidR="00682493" w:rsidRPr="00970304" w:rsidRDefault="00682493"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8 </w:t>
            </w:r>
            <w:r w:rsidR="00970304" w:rsidRPr="00970304">
              <w:rPr>
                <w:rFonts w:ascii="Times New Roman" w:hAnsi="Times New Roman" w:cs="Times New Roman"/>
                <w:b/>
                <w:color w:val="000000" w:themeColor="text1"/>
                <w:sz w:val="20"/>
                <w:szCs w:val="20"/>
                <w:lang w:val="uk-UA"/>
              </w:rPr>
              <w:t>тиж</w:t>
            </w:r>
          </w:p>
        </w:tc>
        <w:tc>
          <w:tcPr>
            <w:tcW w:w="1134" w:type="dxa"/>
            <w:shd w:val="clear" w:color="auto" w:fill="F244C0"/>
          </w:tcPr>
          <w:p w14:paraId="18B1512B" w14:textId="63B27194" w:rsidR="00682493" w:rsidRPr="00970304" w:rsidRDefault="00682493" w:rsidP="00682493">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276" w:type="dxa"/>
            <w:shd w:val="clear" w:color="auto" w:fill="F244C0"/>
          </w:tcPr>
          <w:p w14:paraId="658395B1" w14:textId="0740730E" w:rsidR="00682493" w:rsidRPr="00970304" w:rsidRDefault="00682493" w:rsidP="00682493">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418" w:type="dxa"/>
            <w:shd w:val="clear" w:color="auto" w:fill="BDD6EE" w:themeFill="accent1" w:themeFillTint="66"/>
          </w:tcPr>
          <w:p w14:paraId="0412948D" w14:textId="4FEA9364" w:rsidR="00682493" w:rsidRPr="00970304" w:rsidRDefault="00970304" w:rsidP="00682493">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 xml:space="preserve">12 </w:t>
            </w:r>
            <w:r w:rsidRPr="00970304">
              <w:rPr>
                <w:rFonts w:ascii="Times New Roman" w:hAnsi="Times New Roman" w:cs="Times New Roman"/>
                <w:b/>
                <w:color w:val="000000" w:themeColor="text1"/>
                <w:sz w:val="20"/>
                <w:szCs w:val="20"/>
                <w:lang w:val="uk-UA"/>
              </w:rPr>
              <w:t>тиж</w:t>
            </w:r>
            <w:r w:rsidR="00682493" w:rsidRPr="00970304">
              <w:rPr>
                <w:rFonts w:ascii="Times New Roman" w:hAnsi="Times New Roman" w:cs="Times New Roman"/>
                <w:b/>
                <w:color w:val="000000" w:themeColor="text1"/>
                <w:sz w:val="20"/>
                <w:szCs w:val="20"/>
                <w:lang w:val="uk-UA"/>
              </w:rPr>
              <w:t xml:space="preserve"> (РНК ВГС </w:t>
            </w:r>
            <w:r w:rsidR="00682493" w:rsidRPr="00970304">
              <w:rPr>
                <w:rFonts w:ascii="Times New Roman" w:hAnsi="Times New Roman" w:cs="Times New Roman"/>
                <w:b/>
                <w:color w:val="000000" w:themeColor="text1"/>
                <w:sz w:val="20"/>
                <w:szCs w:val="20"/>
                <w:lang w:val="it-IT"/>
              </w:rPr>
              <w:t xml:space="preserve">≤ 800 000 </w:t>
            </w:r>
            <w:r w:rsidR="00682493" w:rsidRPr="00970304">
              <w:rPr>
                <w:rFonts w:ascii="Times New Roman" w:hAnsi="Times New Roman" w:cs="Times New Roman"/>
                <w:b/>
                <w:color w:val="000000" w:themeColor="text1"/>
                <w:sz w:val="20"/>
                <w:szCs w:val="20"/>
                <w:lang w:val="uk-UA"/>
              </w:rPr>
              <w:t>МО/мл</w:t>
            </w:r>
          </w:p>
        </w:tc>
        <w:tc>
          <w:tcPr>
            <w:tcW w:w="1417" w:type="dxa"/>
            <w:shd w:val="clear" w:color="auto" w:fill="F244C0"/>
          </w:tcPr>
          <w:p w14:paraId="57D99241" w14:textId="17451145" w:rsidR="00682493" w:rsidRPr="00970304" w:rsidRDefault="00682493" w:rsidP="00682493">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Ні</w:t>
            </w:r>
          </w:p>
        </w:tc>
      </w:tr>
      <w:tr w:rsidR="00682493" w:rsidRPr="00970304" w14:paraId="15D29C8F" w14:textId="77777777" w:rsidTr="00D005A1">
        <w:tc>
          <w:tcPr>
            <w:tcW w:w="1195" w:type="dxa"/>
          </w:tcPr>
          <w:p w14:paraId="2315A7E2" w14:textId="77777777" w:rsidR="00682493" w:rsidRPr="00970304" w:rsidRDefault="00682493" w:rsidP="00682493">
            <w:pPr>
              <w:tabs>
                <w:tab w:val="left" w:pos="1089"/>
              </w:tabs>
              <w:jc w:val="both"/>
              <w:rPr>
                <w:rFonts w:ascii="Times New Roman" w:hAnsi="Times New Roman" w:cs="Times New Roman"/>
                <w:b/>
                <w:color w:val="000000" w:themeColor="text1"/>
                <w:sz w:val="20"/>
                <w:szCs w:val="20"/>
                <w:lang w:val="it-IT"/>
              </w:rPr>
            </w:pPr>
            <w:r w:rsidRPr="00970304">
              <w:rPr>
                <w:rFonts w:ascii="Times New Roman" w:hAnsi="Times New Roman" w:cs="Times New Roman"/>
                <w:b/>
                <w:color w:val="000000" w:themeColor="text1"/>
                <w:sz w:val="20"/>
                <w:szCs w:val="20"/>
                <w:lang w:val="uk-UA"/>
              </w:rPr>
              <w:t>Генотип 1</w:t>
            </w:r>
            <w:r w:rsidRPr="00970304">
              <w:rPr>
                <w:rFonts w:ascii="Times New Roman" w:hAnsi="Times New Roman" w:cs="Times New Roman"/>
                <w:b/>
                <w:color w:val="000000" w:themeColor="text1"/>
                <w:sz w:val="20"/>
                <w:szCs w:val="20"/>
                <w:lang w:val="it-IT"/>
              </w:rPr>
              <w:t>b</w:t>
            </w:r>
          </w:p>
        </w:tc>
        <w:tc>
          <w:tcPr>
            <w:tcW w:w="2126" w:type="dxa"/>
            <w:shd w:val="clear" w:color="auto" w:fill="FFFFFF" w:themeFill="background1"/>
          </w:tcPr>
          <w:p w14:paraId="7B94FAA2" w14:textId="40F59E6A" w:rsidR="00682493" w:rsidRPr="00970304" w:rsidRDefault="00652F9A" w:rsidP="00682493">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Наївні</w:t>
            </w: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 xml:space="preserve"> </w:t>
            </w:r>
            <w:r w:rsidR="00682493" w:rsidRPr="00970304">
              <w:rPr>
                <w:rFonts w:ascii="Times New Roman" w:hAnsi="Times New Roman" w:cs="Times New Roman"/>
                <w:b/>
                <w:color w:val="000000" w:themeColor="text1"/>
                <w:sz w:val="20"/>
                <w:szCs w:val="20"/>
                <w:lang w:val="uk-UA"/>
              </w:rPr>
              <w:t>пацієнти</w:t>
            </w:r>
          </w:p>
        </w:tc>
        <w:tc>
          <w:tcPr>
            <w:tcW w:w="709" w:type="dxa"/>
            <w:shd w:val="clear" w:color="auto" w:fill="BDD6EE" w:themeFill="accent1" w:themeFillTint="66"/>
          </w:tcPr>
          <w:p w14:paraId="10D650E3" w14:textId="7450EF61" w:rsidR="00682493" w:rsidRPr="00970304" w:rsidRDefault="00970304" w:rsidP="00682493">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 xml:space="preserve">12 </w:t>
            </w:r>
            <w:r w:rsidRPr="00970304">
              <w:rPr>
                <w:rFonts w:ascii="Times New Roman" w:hAnsi="Times New Roman" w:cs="Times New Roman"/>
                <w:b/>
                <w:color w:val="000000" w:themeColor="text1"/>
                <w:sz w:val="20"/>
                <w:szCs w:val="20"/>
                <w:lang w:val="uk-UA"/>
              </w:rPr>
              <w:t>тиж</w:t>
            </w:r>
          </w:p>
        </w:tc>
        <w:tc>
          <w:tcPr>
            <w:tcW w:w="708" w:type="dxa"/>
            <w:shd w:val="clear" w:color="auto" w:fill="BDD6EE" w:themeFill="accent1" w:themeFillTint="66"/>
          </w:tcPr>
          <w:p w14:paraId="08E9C865" w14:textId="42D2DA76" w:rsidR="00682493" w:rsidRPr="00970304" w:rsidRDefault="00682493"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8 </w:t>
            </w:r>
            <w:r w:rsidR="00970304" w:rsidRPr="00970304">
              <w:rPr>
                <w:rFonts w:ascii="Times New Roman" w:hAnsi="Times New Roman" w:cs="Times New Roman"/>
                <w:b/>
                <w:color w:val="000000" w:themeColor="text1"/>
                <w:sz w:val="20"/>
                <w:szCs w:val="20"/>
                <w:lang w:val="uk-UA"/>
              </w:rPr>
              <w:t>тиж</w:t>
            </w:r>
          </w:p>
        </w:tc>
        <w:tc>
          <w:tcPr>
            <w:tcW w:w="1134" w:type="dxa"/>
            <w:shd w:val="clear" w:color="auto" w:fill="F244C0"/>
          </w:tcPr>
          <w:p w14:paraId="0BB97973" w14:textId="4FBC19C6" w:rsidR="00682493" w:rsidRPr="00970304" w:rsidRDefault="00682493" w:rsidP="00682493">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276" w:type="dxa"/>
            <w:shd w:val="clear" w:color="auto" w:fill="BDD6EE" w:themeFill="accent1" w:themeFillTint="66"/>
          </w:tcPr>
          <w:p w14:paraId="6574F170" w14:textId="17B12021" w:rsidR="00682493" w:rsidRPr="00970304" w:rsidRDefault="00682493" w:rsidP="00682493">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8</w:t>
            </w:r>
            <w:r w:rsidR="00FC6D8A" w:rsidRPr="00970304">
              <w:rPr>
                <w:rFonts w:ascii="Times New Roman" w:hAnsi="Times New Roman" w:cs="Times New Roman"/>
                <w:b/>
                <w:color w:val="000000" w:themeColor="text1"/>
                <w:sz w:val="20"/>
                <w:szCs w:val="20"/>
                <w:lang w:val="uk-UA"/>
              </w:rPr>
              <w:t>–</w:t>
            </w:r>
            <w:r w:rsidR="00970304">
              <w:rPr>
                <w:rFonts w:ascii="Times New Roman" w:hAnsi="Times New Roman" w:cs="Times New Roman"/>
                <w:b/>
                <w:color w:val="000000" w:themeColor="text1"/>
                <w:sz w:val="20"/>
                <w:szCs w:val="20"/>
                <w:lang w:val="uk-UA"/>
              </w:rPr>
              <w:t xml:space="preserve">12 </w:t>
            </w:r>
            <w:r w:rsidR="00970304" w:rsidRPr="00970304">
              <w:rPr>
                <w:rFonts w:ascii="Times New Roman" w:hAnsi="Times New Roman" w:cs="Times New Roman"/>
                <w:b/>
                <w:color w:val="000000" w:themeColor="text1"/>
                <w:sz w:val="20"/>
                <w:szCs w:val="20"/>
                <w:lang w:val="uk-UA"/>
              </w:rPr>
              <w:t>тиж</w:t>
            </w:r>
          </w:p>
        </w:tc>
        <w:tc>
          <w:tcPr>
            <w:tcW w:w="1418" w:type="dxa"/>
            <w:shd w:val="clear" w:color="auto" w:fill="BDD6EE" w:themeFill="accent1" w:themeFillTint="66"/>
          </w:tcPr>
          <w:p w14:paraId="141DD424" w14:textId="5BBC8015" w:rsidR="00682493" w:rsidRPr="00970304" w:rsidRDefault="00970304" w:rsidP="00682493">
            <w:pPr>
              <w:tabs>
                <w:tab w:val="left" w:pos="1089"/>
              </w:tabs>
              <w:jc w:val="both"/>
              <w:rPr>
                <w:rFonts w:ascii="Times New Roman" w:hAnsi="Times New Roman" w:cs="Times New Roman"/>
                <w:b/>
                <w:color w:val="000000" w:themeColor="text1"/>
                <w:sz w:val="20"/>
                <w:szCs w:val="20"/>
                <w:lang w:val="it-IT"/>
              </w:rPr>
            </w:pPr>
            <w:r>
              <w:rPr>
                <w:rFonts w:ascii="Times New Roman" w:hAnsi="Times New Roman" w:cs="Times New Roman"/>
                <w:b/>
                <w:color w:val="000000" w:themeColor="text1"/>
                <w:sz w:val="20"/>
                <w:szCs w:val="20"/>
                <w:lang w:val="uk-UA"/>
              </w:rPr>
              <w:t xml:space="preserve">8 </w:t>
            </w:r>
            <w:r w:rsidRPr="00970304">
              <w:rPr>
                <w:rFonts w:ascii="Times New Roman" w:hAnsi="Times New Roman" w:cs="Times New Roman"/>
                <w:b/>
                <w:color w:val="000000" w:themeColor="text1"/>
                <w:sz w:val="20"/>
                <w:szCs w:val="20"/>
                <w:lang w:val="uk-UA"/>
              </w:rPr>
              <w:t>тиж</w:t>
            </w:r>
            <w:r w:rsidR="00682493" w:rsidRPr="00970304">
              <w:rPr>
                <w:rFonts w:ascii="Times New Roman" w:hAnsi="Times New Roman" w:cs="Times New Roman"/>
                <w:b/>
                <w:color w:val="000000" w:themeColor="text1"/>
                <w:sz w:val="20"/>
                <w:szCs w:val="20"/>
                <w:lang w:val="uk-UA"/>
              </w:rPr>
              <w:t xml:space="preserve"> (</w:t>
            </w:r>
            <w:r w:rsidR="00682493" w:rsidRPr="00970304">
              <w:rPr>
                <w:rFonts w:ascii="Times New Roman" w:hAnsi="Times New Roman" w:cs="Times New Roman"/>
                <w:b/>
                <w:color w:val="000000" w:themeColor="text1"/>
                <w:sz w:val="20"/>
                <w:szCs w:val="20"/>
                <w:lang w:val="it-IT"/>
              </w:rPr>
              <w:t>F0</w:t>
            </w:r>
            <w:r w:rsidR="00FC6D8A" w:rsidRPr="00970304">
              <w:rPr>
                <w:rFonts w:ascii="Times New Roman" w:hAnsi="Times New Roman" w:cs="Times New Roman"/>
                <w:b/>
                <w:color w:val="000000" w:themeColor="text1"/>
                <w:sz w:val="20"/>
                <w:szCs w:val="20"/>
                <w:lang w:val="it-IT"/>
              </w:rPr>
              <w:t>–</w:t>
            </w:r>
            <w:r w:rsidR="00682493" w:rsidRPr="00970304">
              <w:rPr>
                <w:rFonts w:ascii="Times New Roman" w:hAnsi="Times New Roman" w:cs="Times New Roman"/>
                <w:b/>
                <w:color w:val="000000" w:themeColor="text1"/>
                <w:sz w:val="20"/>
                <w:szCs w:val="20"/>
                <w:lang w:val="it-IT"/>
              </w:rPr>
              <w:t>F2</w:t>
            </w:r>
            <w:r w:rsidR="00682493" w:rsidRPr="00970304">
              <w:rPr>
                <w:rFonts w:ascii="Times New Roman" w:hAnsi="Times New Roman" w:cs="Times New Roman"/>
                <w:b/>
                <w:color w:val="000000" w:themeColor="text1"/>
                <w:sz w:val="20"/>
                <w:szCs w:val="20"/>
                <w:lang w:val="uk-UA"/>
              </w:rPr>
              <w:t>)</w:t>
            </w:r>
            <w:r w:rsidR="00682493" w:rsidRPr="00970304">
              <w:rPr>
                <w:rFonts w:ascii="Times New Roman" w:hAnsi="Times New Roman" w:cs="Times New Roman"/>
                <w:b/>
                <w:color w:val="000000" w:themeColor="text1"/>
                <w:sz w:val="20"/>
                <w:szCs w:val="20"/>
                <w:lang w:val="it-IT"/>
              </w:rPr>
              <w:t xml:space="preserve"> </w:t>
            </w:r>
          </w:p>
          <w:p w14:paraId="525F4C86" w14:textId="1E2E5F63" w:rsidR="00682493" w:rsidRPr="00970304" w:rsidRDefault="00682493" w:rsidP="00682493">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it-IT"/>
              </w:rPr>
              <w:t xml:space="preserve">12 </w:t>
            </w:r>
            <w:r w:rsidR="00970304" w:rsidRPr="00970304">
              <w:rPr>
                <w:rFonts w:ascii="Times New Roman" w:hAnsi="Times New Roman" w:cs="Times New Roman"/>
                <w:b/>
                <w:color w:val="000000" w:themeColor="text1"/>
                <w:sz w:val="20"/>
                <w:szCs w:val="20"/>
                <w:lang w:val="uk-UA"/>
              </w:rPr>
              <w:t>тиж</w:t>
            </w:r>
            <w:r w:rsidRPr="00970304">
              <w:rPr>
                <w:rFonts w:ascii="Times New Roman" w:hAnsi="Times New Roman" w:cs="Times New Roman"/>
                <w:b/>
                <w:color w:val="000000" w:themeColor="text1"/>
                <w:sz w:val="20"/>
                <w:szCs w:val="20"/>
                <w:lang w:val="uk-UA"/>
              </w:rPr>
              <w:t xml:space="preserve"> (</w:t>
            </w:r>
            <w:r w:rsidRPr="00970304">
              <w:rPr>
                <w:rFonts w:ascii="Times New Roman" w:hAnsi="Times New Roman" w:cs="Times New Roman"/>
                <w:b/>
                <w:color w:val="000000" w:themeColor="text1"/>
                <w:sz w:val="20"/>
                <w:szCs w:val="20"/>
                <w:lang w:val="it-IT"/>
              </w:rPr>
              <w:t>F3</w:t>
            </w:r>
            <w:r w:rsidRPr="00970304">
              <w:rPr>
                <w:rFonts w:ascii="Times New Roman" w:hAnsi="Times New Roman" w:cs="Times New Roman"/>
                <w:b/>
                <w:color w:val="000000" w:themeColor="text1"/>
                <w:sz w:val="20"/>
                <w:szCs w:val="20"/>
                <w:lang w:val="uk-UA"/>
              </w:rPr>
              <w:t>)</w:t>
            </w:r>
          </w:p>
        </w:tc>
        <w:tc>
          <w:tcPr>
            <w:tcW w:w="1417" w:type="dxa"/>
            <w:shd w:val="clear" w:color="auto" w:fill="BDD6EE" w:themeFill="accent1" w:themeFillTint="66"/>
          </w:tcPr>
          <w:p w14:paraId="6722C6A0" w14:textId="77369644" w:rsidR="00682493" w:rsidRPr="00970304" w:rsidRDefault="00970304" w:rsidP="00682493">
            <w:pPr>
              <w:tabs>
                <w:tab w:val="left" w:pos="1089"/>
              </w:tabs>
              <w:jc w:val="both"/>
              <w:rPr>
                <w:rFonts w:ascii="Times New Roman" w:hAnsi="Times New Roman" w:cs="Times New Roman"/>
                <w:b/>
                <w:color w:val="000000" w:themeColor="text1"/>
                <w:sz w:val="20"/>
                <w:szCs w:val="20"/>
                <w:lang w:val="it-IT"/>
              </w:rPr>
            </w:pPr>
            <w:r>
              <w:rPr>
                <w:rFonts w:ascii="Times New Roman" w:hAnsi="Times New Roman" w:cs="Times New Roman"/>
                <w:b/>
                <w:color w:val="000000" w:themeColor="text1"/>
                <w:sz w:val="20"/>
                <w:szCs w:val="20"/>
                <w:lang w:val="uk-UA"/>
              </w:rPr>
              <w:t xml:space="preserve">8 </w:t>
            </w:r>
            <w:r w:rsidRPr="00970304">
              <w:rPr>
                <w:rFonts w:ascii="Times New Roman" w:hAnsi="Times New Roman" w:cs="Times New Roman"/>
                <w:b/>
                <w:color w:val="000000" w:themeColor="text1"/>
                <w:sz w:val="20"/>
                <w:szCs w:val="20"/>
                <w:lang w:val="uk-UA"/>
              </w:rPr>
              <w:t>тиж</w:t>
            </w:r>
            <w:r w:rsidR="00682493" w:rsidRPr="00970304">
              <w:rPr>
                <w:rFonts w:ascii="Times New Roman" w:hAnsi="Times New Roman" w:cs="Times New Roman"/>
                <w:b/>
                <w:color w:val="000000" w:themeColor="text1"/>
                <w:sz w:val="20"/>
                <w:szCs w:val="20"/>
                <w:lang w:val="uk-UA"/>
              </w:rPr>
              <w:t xml:space="preserve"> (</w:t>
            </w:r>
            <w:r w:rsidR="00682493" w:rsidRPr="00970304">
              <w:rPr>
                <w:rFonts w:ascii="Times New Roman" w:hAnsi="Times New Roman" w:cs="Times New Roman"/>
                <w:b/>
                <w:color w:val="000000" w:themeColor="text1"/>
                <w:sz w:val="20"/>
                <w:szCs w:val="20"/>
                <w:lang w:val="it-IT"/>
              </w:rPr>
              <w:t>F0</w:t>
            </w:r>
            <w:r w:rsidR="00FC6D8A" w:rsidRPr="00970304">
              <w:rPr>
                <w:rFonts w:ascii="Times New Roman" w:hAnsi="Times New Roman" w:cs="Times New Roman"/>
                <w:b/>
                <w:color w:val="000000" w:themeColor="text1"/>
                <w:sz w:val="20"/>
                <w:szCs w:val="20"/>
                <w:lang w:val="it-IT"/>
              </w:rPr>
              <w:t>–</w:t>
            </w:r>
            <w:r w:rsidR="00682493" w:rsidRPr="00970304">
              <w:rPr>
                <w:rFonts w:ascii="Times New Roman" w:hAnsi="Times New Roman" w:cs="Times New Roman"/>
                <w:b/>
                <w:color w:val="000000" w:themeColor="text1"/>
                <w:sz w:val="20"/>
                <w:szCs w:val="20"/>
                <w:lang w:val="it-IT"/>
              </w:rPr>
              <w:t>F2</w:t>
            </w:r>
            <w:r w:rsidR="00682493" w:rsidRPr="00970304">
              <w:rPr>
                <w:rFonts w:ascii="Times New Roman" w:hAnsi="Times New Roman" w:cs="Times New Roman"/>
                <w:b/>
                <w:color w:val="000000" w:themeColor="text1"/>
                <w:sz w:val="20"/>
                <w:szCs w:val="20"/>
                <w:lang w:val="uk-UA"/>
              </w:rPr>
              <w:t>)</w:t>
            </w:r>
            <w:r w:rsidR="00682493" w:rsidRPr="00970304">
              <w:rPr>
                <w:rFonts w:ascii="Times New Roman" w:hAnsi="Times New Roman" w:cs="Times New Roman"/>
                <w:b/>
                <w:color w:val="000000" w:themeColor="text1"/>
                <w:sz w:val="20"/>
                <w:szCs w:val="20"/>
                <w:lang w:val="it-IT"/>
              </w:rPr>
              <w:t xml:space="preserve"> </w:t>
            </w:r>
          </w:p>
          <w:p w14:paraId="2D078DAB" w14:textId="4BB87311" w:rsidR="00682493" w:rsidRPr="00970304" w:rsidRDefault="00682493" w:rsidP="00682493">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it-IT"/>
              </w:rPr>
              <w:t xml:space="preserve">12 </w:t>
            </w:r>
            <w:r w:rsidR="00970304" w:rsidRPr="00970304">
              <w:rPr>
                <w:rFonts w:ascii="Times New Roman" w:hAnsi="Times New Roman" w:cs="Times New Roman"/>
                <w:b/>
                <w:color w:val="000000" w:themeColor="text1"/>
                <w:sz w:val="20"/>
                <w:szCs w:val="20"/>
                <w:lang w:val="uk-UA"/>
              </w:rPr>
              <w:t>тиж</w:t>
            </w:r>
            <w:r w:rsidRPr="00970304">
              <w:rPr>
                <w:rFonts w:ascii="Times New Roman" w:hAnsi="Times New Roman" w:cs="Times New Roman"/>
                <w:b/>
                <w:color w:val="000000" w:themeColor="text1"/>
                <w:sz w:val="20"/>
                <w:szCs w:val="20"/>
                <w:lang w:val="uk-UA"/>
              </w:rPr>
              <w:t xml:space="preserve"> (</w:t>
            </w:r>
            <w:r w:rsidRPr="00970304">
              <w:rPr>
                <w:rFonts w:ascii="Times New Roman" w:hAnsi="Times New Roman" w:cs="Times New Roman"/>
                <w:b/>
                <w:color w:val="000000" w:themeColor="text1"/>
                <w:sz w:val="20"/>
                <w:szCs w:val="20"/>
                <w:lang w:val="it-IT"/>
              </w:rPr>
              <w:t>F3</w:t>
            </w:r>
            <w:r w:rsidRPr="00970304">
              <w:rPr>
                <w:rFonts w:ascii="Times New Roman" w:hAnsi="Times New Roman" w:cs="Times New Roman"/>
                <w:b/>
                <w:color w:val="000000" w:themeColor="text1"/>
                <w:sz w:val="20"/>
                <w:szCs w:val="20"/>
                <w:lang w:val="uk-UA"/>
              </w:rPr>
              <w:t>)</w:t>
            </w:r>
          </w:p>
        </w:tc>
      </w:tr>
      <w:tr w:rsidR="00682493" w:rsidRPr="00970304" w14:paraId="0072D7C4" w14:textId="77777777" w:rsidTr="00D005A1">
        <w:tc>
          <w:tcPr>
            <w:tcW w:w="1195" w:type="dxa"/>
          </w:tcPr>
          <w:p w14:paraId="36DBFA81" w14:textId="77777777" w:rsidR="00682493" w:rsidRPr="00970304" w:rsidRDefault="00682493" w:rsidP="00682493">
            <w:pPr>
              <w:tabs>
                <w:tab w:val="left" w:pos="1089"/>
              </w:tabs>
              <w:jc w:val="both"/>
              <w:rPr>
                <w:rFonts w:ascii="Times New Roman" w:hAnsi="Times New Roman" w:cs="Times New Roman"/>
                <w:b/>
                <w:color w:val="000000" w:themeColor="text1"/>
                <w:sz w:val="20"/>
                <w:szCs w:val="20"/>
                <w:lang w:val="uk-UA"/>
              </w:rPr>
            </w:pPr>
          </w:p>
        </w:tc>
        <w:tc>
          <w:tcPr>
            <w:tcW w:w="2126" w:type="dxa"/>
            <w:shd w:val="clear" w:color="auto" w:fill="FFFFFF" w:themeFill="background1"/>
          </w:tcPr>
          <w:p w14:paraId="3026043A" w14:textId="4EE88493" w:rsidR="00682493" w:rsidRPr="00970304" w:rsidRDefault="00682493" w:rsidP="00682493">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З досвідом лікування</w:t>
            </w:r>
          </w:p>
        </w:tc>
        <w:tc>
          <w:tcPr>
            <w:tcW w:w="709" w:type="dxa"/>
            <w:shd w:val="clear" w:color="auto" w:fill="BDD6EE" w:themeFill="accent1" w:themeFillTint="66"/>
          </w:tcPr>
          <w:p w14:paraId="3D7CE4FC" w14:textId="0E6CF980" w:rsidR="00682493" w:rsidRPr="00970304" w:rsidRDefault="00970304" w:rsidP="00682493">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 xml:space="preserve">12 </w:t>
            </w:r>
            <w:r w:rsidRPr="00970304">
              <w:rPr>
                <w:rFonts w:ascii="Times New Roman" w:hAnsi="Times New Roman" w:cs="Times New Roman"/>
                <w:b/>
                <w:color w:val="000000" w:themeColor="text1"/>
                <w:sz w:val="20"/>
                <w:szCs w:val="20"/>
                <w:lang w:val="uk-UA"/>
              </w:rPr>
              <w:t>тиж</w:t>
            </w:r>
          </w:p>
        </w:tc>
        <w:tc>
          <w:tcPr>
            <w:tcW w:w="708" w:type="dxa"/>
            <w:shd w:val="clear" w:color="auto" w:fill="BDD6EE" w:themeFill="accent1" w:themeFillTint="66"/>
          </w:tcPr>
          <w:p w14:paraId="7B696F0F" w14:textId="7AAB1B19" w:rsidR="00682493" w:rsidRPr="00970304" w:rsidRDefault="00682493"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8 </w:t>
            </w:r>
            <w:r w:rsidR="00970304" w:rsidRPr="00970304">
              <w:rPr>
                <w:rFonts w:ascii="Times New Roman" w:hAnsi="Times New Roman" w:cs="Times New Roman"/>
                <w:b/>
                <w:color w:val="000000" w:themeColor="text1"/>
                <w:sz w:val="20"/>
                <w:szCs w:val="20"/>
                <w:lang w:val="uk-UA"/>
              </w:rPr>
              <w:t>тиж</w:t>
            </w:r>
          </w:p>
        </w:tc>
        <w:tc>
          <w:tcPr>
            <w:tcW w:w="1134" w:type="dxa"/>
            <w:shd w:val="clear" w:color="auto" w:fill="F244C0"/>
          </w:tcPr>
          <w:p w14:paraId="16D698A6" w14:textId="7E35A70E" w:rsidR="00682493" w:rsidRPr="00970304" w:rsidRDefault="00682493" w:rsidP="00682493">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276" w:type="dxa"/>
            <w:shd w:val="clear" w:color="auto" w:fill="BDD6EE" w:themeFill="accent1" w:themeFillTint="66"/>
          </w:tcPr>
          <w:p w14:paraId="41AAD812" w14:textId="0B212865" w:rsidR="00682493" w:rsidRPr="00970304" w:rsidRDefault="00682493"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12 </w:t>
            </w:r>
            <w:r w:rsidR="00970304" w:rsidRPr="00970304">
              <w:rPr>
                <w:rFonts w:ascii="Times New Roman" w:hAnsi="Times New Roman" w:cs="Times New Roman"/>
                <w:b/>
                <w:color w:val="000000" w:themeColor="text1"/>
                <w:sz w:val="20"/>
                <w:szCs w:val="20"/>
                <w:lang w:val="uk-UA"/>
              </w:rPr>
              <w:t>тиж</w:t>
            </w:r>
          </w:p>
        </w:tc>
        <w:tc>
          <w:tcPr>
            <w:tcW w:w="1418" w:type="dxa"/>
            <w:shd w:val="clear" w:color="auto" w:fill="BDD6EE" w:themeFill="accent1" w:themeFillTint="66"/>
          </w:tcPr>
          <w:p w14:paraId="522FF41E" w14:textId="5EA23153" w:rsidR="00682493" w:rsidRPr="00970304" w:rsidRDefault="00682493"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it-IT"/>
              </w:rPr>
              <w:t xml:space="preserve">12 </w:t>
            </w:r>
            <w:r w:rsidR="00970304" w:rsidRPr="00970304">
              <w:rPr>
                <w:rFonts w:ascii="Times New Roman" w:hAnsi="Times New Roman" w:cs="Times New Roman"/>
                <w:b/>
                <w:color w:val="000000" w:themeColor="text1"/>
                <w:sz w:val="20"/>
                <w:szCs w:val="20"/>
                <w:lang w:val="uk-UA"/>
              </w:rPr>
              <w:t>тиж</w:t>
            </w:r>
          </w:p>
        </w:tc>
        <w:tc>
          <w:tcPr>
            <w:tcW w:w="1417" w:type="dxa"/>
            <w:shd w:val="clear" w:color="auto" w:fill="BDD6EE" w:themeFill="accent1" w:themeFillTint="66"/>
          </w:tcPr>
          <w:p w14:paraId="14B50AFA" w14:textId="1155FF8C" w:rsidR="00682493" w:rsidRPr="00970304" w:rsidRDefault="00682493" w:rsidP="00682493">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it-IT"/>
              </w:rPr>
              <w:t xml:space="preserve">12 </w:t>
            </w:r>
            <w:r w:rsidR="00970304" w:rsidRPr="00970304">
              <w:rPr>
                <w:rFonts w:ascii="Times New Roman" w:hAnsi="Times New Roman" w:cs="Times New Roman"/>
                <w:b/>
                <w:color w:val="000000" w:themeColor="text1"/>
                <w:sz w:val="20"/>
                <w:szCs w:val="20"/>
                <w:lang w:val="uk-UA"/>
              </w:rPr>
              <w:t>тиж</w:t>
            </w:r>
          </w:p>
        </w:tc>
      </w:tr>
      <w:tr w:rsidR="00970304" w:rsidRPr="00970304" w14:paraId="7B927B95" w14:textId="77777777" w:rsidTr="00D005A1">
        <w:tc>
          <w:tcPr>
            <w:tcW w:w="1195" w:type="dxa"/>
          </w:tcPr>
          <w:p w14:paraId="4BCCDFB5" w14:textId="77777777" w:rsidR="00970304" w:rsidRPr="00970304" w:rsidRDefault="00970304" w:rsidP="00970304">
            <w:pPr>
              <w:tabs>
                <w:tab w:val="left" w:pos="1089"/>
              </w:tabs>
              <w:jc w:val="both"/>
              <w:rPr>
                <w:rFonts w:ascii="Times New Roman" w:hAnsi="Times New Roman" w:cs="Times New Roman"/>
                <w:b/>
                <w:color w:val="000000" w:themeColor="text1"/>
                <w:sz w:val="20"/>
                <w:szCs w:val="20"/>
                <w:lang w:val="it-IT"/>
              </w:rPr>
            </w:pPr>
            <w:r w:rsidRPr="00970304">
              <w:rPr>
                <w:rFonts w:ascii="Times New Roman" w:hAnsi="Times New Roman" w:cs="Times New Roman"/>
                <w:b/>
                <w:color w:val="000000" w:themeColor="text1"/>
                <w:sz w:val="20"/>
                <w:szCs w:val="20"/>
                <w:lang w:val="uk-UA"/>
              </w:rPr>
              <w:t>Генотип</w:t>
            </w:r>
            <w:r w:rsidRPr="00970304">
              <w:rPr>
                <w:rFonts w:ascii="Times New Roman" w:hAnsi="Times New Roman" w:cs="Times New Roman"/>
                <w:b/>
                <w:color w:val="000000" w:themeColor="text1"/>
                <w:sz w:val="20"/>
                <w:szCs w:val="20"/>
                <w:lang w:val="it-IT"/>
              </w:rPr>
              <w:t xml:space="preserve"> 2</w:t>
            </w:r>
          </w:p>
        </w:tc>
        <w:tc>
          <w:tcPr>
            <w:tcW w:w="2126" w:type="dxa"/>
            <w:shd w:val="clear" w:color="auto" w:fill="FFFFFF" w:themeFill="background1"/>
          </w:tcPr>
          <w:p w14:paraId="0C770B59" w14:textId="732AA865" w:rsidR="00970304" w:rsidRPr="00970304" w:rsidRDefault="00652F9A"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Наївні</w:t>
            </w: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 xml:space="preserve"> </w:t>
            </w:r>
            <w:r w:rsidR="00970304" w:rsidRPr="00970304">
              <w:rPr>
                <w:rFonts w:ascii="Times New Roman" w:hAnsi="Times New Roman" w:cs="Times New Roman"/>
                <w:b/>
                <w:color w:val="000000" w:themeColor="text1"/>
                <w:sz w:val="20"/>
                <w:szCs w:val="20"/>
                <w:lang w:val="uk-UA"/>
              </w:rPr>
              <w:t>пацієнти</w:t>
            </w:r>
          </w:p>
        </w:tc>
        <w:tc>
          <w:tcPr>
            <w:tcW w:w="709" w:type="dxa"/>
            <w:shd w:val="clear" w:color="auto" w:fill="BDD6EE" w:themeFill="accent1" w:themeFillTint="66"/>
          </w:tcPr>
          <w:p w14:paraId="0DAF00B8" w14:textId="40CFB977"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0DBB3DC8" w14:textId="37590598"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734814">
              <w:rPr>
                <w:rFonts w:ascii="Times New Roman" w:hAnsi="Times New Roman" w:cs="Times New Roman"/>
                <w:b/>
                <w:color w:val="000000" w:themeColor="text1"/>
                <w:sz w:val="20"/>
                <w:szCs w:val="20"/>
                <w:lang w:val="uk-UA"/>
              </w:rPr>
              <w:t>8 тиж</w:t>
            </w:r>
          </w:p>
        </w:tc>
        <w:tc>
          <w:tcPr>
            <w:tcW w:w="1134" w:type="dxa"/>
            <w:shd w:val="clear" w:color="auto" w:fill="F244C0"/>
          </w:tcPr>
          <w:p w14:paraId="633DD834" w14:textId="6B56B407"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276" w:type="dxa"/>
            <w:shd w:val="clear" w:color="auto" w:fill="F244C0"/>
          </w:tcPr>
          <w:p w14:paraId="569C25B8" w14:textId="4CEC93CD"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Ні</w:t>
            </w:r>
          </w:p>
        </w:tc>
        <w:tc>
          <w:tcPr>
            <w:tcW w:w="1418" w:type="dxa"/>
            <w:shd w:val="clear" w:color="auto" w:fill="F244C0"/>
          </w:tcPr>
          <w:p w14:paraId="3F5FF416" w14:textId="0E3A1ACA"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417" w:type="dxa"/>
            <w:shd w:val="clear" w:color="auto" w:fill="F244C0"/>
          </w:tcPr>
          <w:p w14:paraId="5F23CD93" w14:textId="62F8E2F9"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r>
      <w:tr w:rsidR="00970304" w:rsidRPr="00970304" w14:paraId="43C66534" w14:textId="77777777" w:rsidTr="00D005A1">
        <w:tc>
          <w:tcPr>
            <w:tcW w:w="1195" w:type="dxa"/>
          </w:tcPr>
          <w:p w14:paraId="3C17774D" w14:textId="77777777"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p>
        </w:tc>
        <w:tc>
          <w:tcPr>
            <w:tcW w:w="2126" w:type="dxa"/>
            <w:shd w:val="clear" w:color="auto" w:fill="FFFFFF" w:themeFill="background1"/>
          </w:tcPr>
          <w:p w14:paraId="6B4894C5" w14:textId="66F4D9CE"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З досвідом лікування</w:t>
            </w:r>
          </w:p>
        </w:tc>
        <w:tc>
          <w:tcPr>
            <w:tcW w:w="709" w:type="dxa"/>
            <w:shd w:val="clear" w:color="auto" w:fill="BDD6EE" w:themeFill="accent1" w:themeFillTint="66"/>
          </w:tcPr>
          <w:p w14:paraId="5A804007" w14:textId="4996404C"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CF19F8">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05252D21" w14:textId="26324104"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734814">
              <w:rPr>
                <w:rFonts w:ascii="Times New Roman" w:hAnsi="Times New Roman" w:cs="Times New Roman"/>
                <w:b/>
                <w:color w:val="000000" w:themeColor="text1"/>
                <w:sz w:val="20"/>
                <w:szCs w:val="20"/>
                <w:lang w:val="uk-UA"/>
              </w:rPr>
              <w:t>8 тиж</w:t>
            </w:r>
          </w:p>
        </w:tc>
        <w:tc>
          <w:tcPr>
            <w:tcW w:w="1134" w:type="dxa"/>
            <w:shd w:val="clear" w:color="auto" w:fill="F244C0"/>
          </w:tcPr>
          <w:p w14:paraId="7E4103A1" w14:textId="784558C4"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276" w:type="dxa"/>
            <w:shd w:val="clear" w:color="auto" w:fill="F244C0"/>
          </w:tcPr>
          <w:p w14:paraId="1F3543FB" w14:textId="39ECD41E"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Ні</w:t>
            </w:r>
          </w:p>
        </w:tc>
        <w:tc>
          <w:tcPr>
            <w:tcW w:w="1418" w:type="dxa"/>
            <w:shd w:val="clear" w:color="auto" w:fill="F244C0"/>
          </w:tcPr>
          <w:p w14:paraId="597DBDD6" w14:textId="70D9803B"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417" w:type="dxa"/>
            <w:shd w:val="clear" w:color="auto" w:fill="F244C0"/>
          </w:tcPr>
          <w:p w14:paraId="47E8A9C9" w14:textId="4539E6A1"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r>
      <w:tr w:rsidR="00970304" w:rsidRPr="00970304" w14:paraId="5758099B" w14:textId="77777777" w:rsidTr="00D005A1">
        <w:tc>
          <w:tcPr>
            <w:tcW w:w="1195" w:type="dxa"/>
          </w:tcPr>
          <w:p w14:paraId="3D9BF4A5" w14:textId="77777777" w:rsidR="00970304" w:rsidRPr="00970304" w:rsidRDefault="00970304" w:rsidP="00970304">
            <w:pPr>
              <w:tabs>
                <w:tab w:val="left" w:pos="1089"/>
              </w:tabs>
              <w:jc w:val="both"/>
              <w:rPr>
                <w:rFonts w:ascii="Times New Roman" w:hAnsi="Times New Roman" w:cs="Times New Roman"/>
                <w:b/>
                <w:color w:val="000000" w:themeColor="text1"/>
                <w:sz w:val="20"/>
                <w:szCs w:val="20"/>
                <w:lang w:val="it-IT"/>
              </w:rPr>
            </w:pPr>
            <w:r w:rsidRPr="00970304">
              <w:rPr>
                <w:rFonts w:ascii="Times New Roman" w:hAnsi="Times New Roman" w:cs="Times New Roman"/>
                <w:b/>
                <w:color w:val="000000" w:themeColor="text1"/>
                <w:sz w:val="20"/>
                <w:szCs w:val="20"/>
                <w:lang w:val="uk-UA"/>
              </w:rPr>
              <w:t>Генотип</w:t>
            </w:r>
            <w:r w:rsidRPr="00970304">
              <w:rPr>
                <w:rFonts w:ascii="Times New Roman" w:hAnsi="Times New Roman" w:cs="Times New Roman"/>
                <w:b/>
                <w:color w:val="000000" w:themeColor="text1"/>
                <w:sz w:val="20"/>
                <w:szCs w:val="20"/>
                <w:lang w:val="it-IT"/>
              </w:rPr>
              <w:t xml:space="preserve"> 3</w:t>
            </w:r>
          </w:p>
        </w:tc>
        <w:tc>
          <w:tcPr>
            <w:tcW w:w="2126" w:type="dxa"/>
            <w:shd w:val="clear" w:color="auto" w:fill="FFFFFF" w:themeFill="background1"/>
          </w:tcPr>
          <w:p w14:paraId="341D4CE5" w14:textId="625B778F" w:rsidR="00970304" w:rsidRPr="00970304" w:rsidRDefault="00652F9A"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Наївні</w:t>
            </w: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 xml:space="preserve"> </w:t>
            </w:r>
            <w:r w:rsidR="00970304" w:rsidRPr="00970304">
              <w:rPr>
                <w:rFonts w:ascii="Times New Roman" w:hAnsi="Times New Roman" w:cs="Times New Roman"/>
                <w:b/>
                <w:color w:val="000000" w:themeColor="text1"/>
                <w:sz w:val="20"/>
                <w:szCs w:val="20"/>
                <w:lang w:val="uk-UA"/>
              </w:rPr>
              <w:t>пацієнти</w:t>
            </w:r>
          </w:p>
        </w:tc>
        <w:tc>
          <w:tcPr>
            <w:tcW w:w="709" w:type="dxa"/>
            <w:shd w:val="clear" w:color="auto" w:fill="BDD6EE" w:themeFill="accent1" w:themeFillTint="66"/>
          </w:tcPr>
          <w:p w14:paraId="23053EFA" w14:textId="7FA87CA7"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CF19F8">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1B4DB8EA" w14:textId="016B425B"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734814">
              <w:rPr>
                <w:rFonts w:ascii="Times New Roman" w:hAnsi="Times New Roman" w:cs="Times New Roman"/>
                <w:b/>
                <w:color w:val="000000" w:themeColor="text1"/>
                <w:sz w:val="20"/>
                <w:szCs w:val="20"/>
                <w:lang w:val="uk-UA"/>
              </w:rPr>
              <w:t>8 тиж</w:t>
            </w:r>
          </w:p>
        </w:tc>
        <w:tc>
          <w:tcPr>
            <w:tcW w:w="1134" w:type="dxa"/>
            <w:shd w:val="clear" w:color="auto" w:fill="F244C0"/>
          </w:tcPr>
          <w:p w14:paraId="0FBBB669" w14:textId="176B4A85" w:rsidR="00970304" w:rsidRPr="00970304" w:rsidRDefault="00970304" w:rsidP="00970304">
            <w:pPr>
              <w:tabs>
                <w:tab w:val="left" w:pos="1089"/>
              </w:tabs>
              <w:jc w:val="both"/>
              <w:rPr>
                <w:rFonts w:ascii="Times New Roman" w:hAnsi="Times New Roman" w:cs="Times New Roman"/>
                <w:b/>
                <w:color w:val="000000" w:themeColor="text1"/>
                <w:sz w:val="20"/>
                <w:szCs w:val="20"/>
                <w:lang w:val="it-IT"/>
              </w:rPr>
            </w:pPr>
            <w:r w:rsidRPr="00970304">
              <w:rPr>
                <w:rFonts w:ascii="Times New Roman" w:hAnsi="Times New Roman" w:cs="Times New Roman"/>
                <w:b/>
                <w:color w:val="000000" w:themeColor="text1"/>
                <w:sz w:val="20"/>
                <w:szCs w:val="20"/>
                <w:lang w:val="uk-UA"/>
              </w:rPr>
              <w:t xml:space="preserve">Ні </w:t>
            </w:r>
          </w:p>
        </w:tc>
        <w:tc>
          <w:tcPr>
            <w:tcW w:w="1276" w:type="dxa"/>
            <w:shd w:val="clear" w:color="auto" w:fill="F244C0"/>
          </w:tcPr>
          <w:p w14:paraId="2F51A5F9" w14:textId="549E2B72"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Ні</w:t>
            </w:r>
          </w:p>
        </w:tc>
        <w:tc>
          <w:tcPr>
            <w:tcW w:w="1418" w:type="dxa"/>
            <w:shd w:val="clear" w:color="auto" w:fill="F244C0"/>
          </w:tcPr>
          <w:p w14:paraId="6A591467" w14:textId="6319425B"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417" w:type="dxa"/>
            <w:shd w:val="clear" w:color="auto" w:fill="F244C0"/>
          </w:tcPr>
          <w:p w14:paraId="7670902D" w14:textId="59518554"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r>
      <w:tr w:rsidR="00970304" w:rsidRPr="00970304" w14:paraId="19E07AB0" w14:textId="77777777" w:rsidTr="00D005A1">
        <w:tc>
          <w:tcPr>
            <w:tcW w:w="1195" w:type="dxa"/>
          </w:tcPr>
          <w:p w14:paraId="0EA52699" w14:textId="77777777"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p>
        </w:tc>
        <w:tc>
          <w:tcPr>
            <w:tcW w:w="2126" w:type="dxa"/>
            <w:shd w:val="clear" w:color="auto" w:fill="FFFFFF" w:themeFill="background1"/>
          </w:tcPr>
          <w:p w14:paraId="70C67E7E" w14:textId="6119F511"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З досвідом лікування</w:t>
            </w:r>
          </w:p>
        </w:tc>
        <w:tc>
          <w:tcPr>
            <w:tcW w:w="709" w:type="dxa"/>
            <w:shd w:val="clear" w:color="auto" w:fill="BDD6EE" w:themeFill="accent1" w:themeFillTint="66"/>
          </w:tcPr>
          <w:p w14:paraId="09EF897C" w14:textId="408C7D30"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CF19F8">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457A0821" w14:textId="2A78CFB5"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12 т</w:t>
            </w:r>
            <w:r>
              <w:rPr>
                <w:rFonts w:ascii="Times New Roman" w:hAnsi="Times New Roman" w:cs="Times New Roman"/>
                <w:b/>
                <w:color w:val="000000" w:themeColor="text1"/>
                <w:sz w:val="20"/>
                <w:szCs w:val="20"/>
                <w:lang w:val="uk-UA"/>
              </w:rPr>
              <w:t>иж</w:t>
            </w:r>
          </w:p>
        </w:tc>
        <w:tc>
          <w:tcPr>
            <w:tcW w:w="1134" w:type="dxa"/>
            <w:shd w:val="clear" w:color="auto" w:fill="F244C0"/>
          </w:tcPr>
          <w:p w14:paraId="7596A8A9" w14:textId="0A1698C7"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276" w:type="dxa"/>
            <w:shd w:val="clear" w:color="auto" w:fill="F244C0"/>
          </w:tcPr>
          <w:p w14:paraId="2FD150F5" w14:textId="4B27ECCA"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Ні</w:t>
            </w:r>
          </w:p>
        </w:tc>
        <w:tc>
          <w:tcPr>
            <w:tcW w:w="1418" w:type="dxa"/>
            <w:shd w:val="clear" w:color="auto" w:fill="F244C0"/>
          </w:tcPr>
          <w:p w14:paraId="0C1BA0B2" w14:textId="5B137EB0"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417" w:type="dxa"/>
            <w:shd w:val="clear" w:color="auto" w:fill="F244C0"/>
          </w:tcPr>
          <w:p w14:paraId="1AF09067" w14:textId="2774D55D"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r>
      <w:tr w:rsidR="00970304" w:rsidRPr="00970304" w14:paraId="3C1D9B21" w14:textId="77777777" w:rsidTr="00D005A1">
        <w:tc>
          <w:tcPr>
            <w:tcW w:w="1195" w:type="dxa"/>
          </w:tcPr>
          <w:p w14:paraId="67755181" w14:textId="77777777" w:rsidR="00970304" w:rsidRPr="00970304" w:rsidRDefault="00970304" w:rsidP="00970304">
            <w:pPr>
              <w:tabs>
                <w:tab w:val="left" w:pos="1089"/>
              </w:tabs>
              <w:jc w:val="both"/>
              <w:rPr>
                <w:rFonts w:ascii="Times New Roman" w:hAnsi="Times New Roman" w:cs="Times New Roman"/>
                <w:b/>
                <w:color w:val="000000" w:themeColor="text1"/>
                <w:sz w:val="20"/>
                <w:szCs w:val="20"/>
                <w:lang w:val="it-IT"/>
              </w:rPr>
            </w:pPr>
            <w:r w:rsidRPr="00970304">
              <w:rPr>
                <w:rFonts w:ascii="Times New Roman" w:hAnsi="Times New Roman" w:cs="Times New Roman"/>
                <w:b/>
                <w:color w:val="000000" w:themeColor="text1"/>
                <w:sz w:val="20"/>
                <w:szCs w:val="20"/>
                <w:lang w:val="uk-UA"/>
              </w:rPr>
              <w:t>Генотип</w:t>
            </w:r>
            <w:r w:rsidRPr="00970304">
              <w:rPr>
                <w:rFonts w:ascii="Times New Roman" w:hAnsi="Times New Roman" w:cs="Times New Roman"/>
                <w:b/>
                <w:color w:val="000000" w:themeColor="text1"/>
                <w:sz w:val="20"/>
                <w:szCs w:val="20"/>
                <w:lang w:val="it-IT"/>
              </w:rPr>
              <w:t xml:space="preserve"> 4</w:t>
            </w:r>
          </w:p>
        </w:tc>
        <w:tc>
          <w:tcPr>
            <w:tcW w:w="2126" w:type="dxa"/>
            <w:shd w:val="clear" w:color="auto" w:fill="FFFFFF" w:themeFill="background1"/>
          </w:tcPr>
          <w:p w14:paraId="3C02ABD4" w14:textId="1A8046C5" w:rsidR="00970304" w:rsidRPr="00970304" w:rsidRDefault="00652F9A"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Наївні</w:t>
            </w: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 xml:space="preserve"> </w:t>
            </w:r>
            <w:r w:rsidR="00970304" w:rsidRPr="00970304">
              <w:rPr>
                <w:rFonts w:ascii="Times New Roman" w:hAnsi="Times New Roman" w:cs="Times New Roman"/>
                <w:b/>
                <w:color w:val="000000" w:themeColor="text1"/>
                <w:sz w:val="20"/>
                <w:szCs w:val="20"/>
                <w:lang w:val="uk-UA"/>
              </w:rPr>
              <w:t>пацієнти</w:t>
            </w:r>
          </w:p>
        </w:tc>
        <w:tc>
          <w:tcPr>
            <w:tcW w:w="709" w:type="dxa"/>
            <w:shd w:val="clear" w:color="auto" w:fill="BDD6EE" w:themeFill="accent1" w:themeFillTint="66"/>
          </w:tcPr>
          <w:p w14:paraId="1AC4A5AC" w14:textId="15E04AB9"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CF19F8">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051468DE" w14:textId="42023270"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E77035">
              <w:rPr>
                <w:rFonts w:ascii="Times New Roman" w:hAnsi="Times New Roman" w:cs="Times New Roman"/>
                <w:b/>
                <w:color w:val="000000" w:themeColor="text1"/>
                <w:sz w:val="20"/>
                <w:szCs w:val="20"/>
                <w:lang w:val="uk-UA"/>
              </w:rPr>
              <w:t>8 тиж</w:t>
            </w:r>
          </w:p>
        </w:tc>
        <w:tc>
          <w:tcPr>
            <w:tcW w:w="1134" w:type="dxa"/>
            <w:shd w:val="clear" w:color="auto" w:fill="F244C0"/>
          </w:tcPr>
          <w:p w14:paraId="7B07B4A8" w14:textId="1FEFB035"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276" w:type="dxa"/>
            <w:shd w:val="clear" w:color="auto" w:fill="BDD6EE" w:themeFill="accent1" w:themeFillTint="66"/>
          </w:tcPr>
          <w:p w14:paraId="71AA9115" w14:textId="369C630F"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12 т</w:t>
            </w:r>
            <w:r>
              <w:rPr>
                <w:rFonts w:ascii="Times New Roman" w:hAnsi="Times New Roman" w:cs="Times New Roman"/>
                <w:b/>
                <w:color w:val="000000" w:themeColor="text1"/>
                <w:sz w:val="20"/>
                <w:szCs w:val="20"/>
                <w:lang w:val="uk-UA"/>
              </w:rPr>
              <w:t>иж</w:t>
            </w:r>
          </w:p>
        </w:tc>
        <w:tc>
          <w:tcPr>
            <w:tcW w:w="1418" w:type="dxa"/>
            <w:shd w:val="clear" w:color="auto" w:fill="BDD6EE" w:themeFill="accent1" w:themeFillTint="66"/>
          </w:tcPr>
          <w:p w14:paraId="378CBCCE" w14:textId="68B0953C"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12 т</w:t>
            </w:r>
            <w:r>
              <w:rPr>
                <w:rFonts w:ascii="Times New Roman" w:hAnsi="Times New Roman" w:cs="Times New Roman"/>
                <w:b/>
                <w:color w:val="000000" w:themeColor="text1"/>
                <w:sz w:val="20"/>
                <w:szCs w:val="20"/>
                <w:lang w:val="uk-UA"/>
              </w:rPr>
              <w:t>иж</w:t>
            </w:r>
            <w:r w:rsidRPr="00970304">
              <w:rPr>
                <w:rFonts w:ascii="Times New Roman" w:hAnsi="Times New Roman" w:cs="Times New Roman"/>
                <w:b/>
                <w:color w:val="000000" w:themeColor="text1"/>
                <w:sz w:val="20"/>
                <w:szCs w:val="20"/>
                <w:lang w:val="uk-UA"/>
              </w:rPr>
              <w:t xml:space="preserve"> (РНК ВГС </w:t>
            </w:r>
            <w:r w:rsidRPr="00970304">
              <w:rPr>
                <w:rFonts w:ascii="Times New Roman" w:hAnsi="Times New Roman" w:cs="Times New Roman"/>
                <w:b/>
                <w:color w:val="000000" w:themeColor="text1"/>
                <w:sz w:val="20"/>
                <w:szCs w:val="20"/>
                <w:lang w:val="it-IT"/>
              </w:rPr>
              <w:t xml:space="preserve">≤ 800 000 </w:t>
            </w:r>
            <w:r w:rsidRPr="00970304">
              <w:rPr>
                <w:rFonts w:ascii="Times New Roman" w:hAnsi="Times New Roman" w:cs="Times New Roman"/>
                <w:b/>
                <w:color w:val="000000" w:themeColor="text1"/>
                <w:sz w:val="20"/>
                <w:szCs w:val="20"/>
                <w:lang w:val="uk-UA"/>
              </w:rPr>
              <w:t>МО/мл</w:t>
            </w:r>
          </w:p>
        </w:tc>
        <w:tc>
          <w:tcPr>
            <w:tcW w:w="1417" w:type="dxa"/>
            <w:shd w:val="clear" w:color="auto" w:fill="F244C0"/>
          </w:tcPr>
          <w:p w14:paraId="2D33ED26" w14:textId="2875E158"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Ні</w:t>
            </w:r>
          </w:p>
        </w:tc>
      </w:tr>
      <w:tr w:rsidR="00970304" w:rsidRPr="00970304" w14:paraId="65C7B4EE" w14:textId="77777777" w:rsidTr="00D005A1">
        <w:tc>
          <w:tcPr>
            <w:tcW w:w="1195" w:type="dxa"/>
          </w:tcPr>
          <w:p w14:paraId="0CA49BFD" w14:textId="77777777"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p>
        </w:tc>
        <w:tc>
          <w:tcPr>
            <w:tcW w:w="2126" w:type="dxa"/>
            <w:shd w:val="clear" w:color="auto" w:fill="FFFFFF" w:themeFill="background1"/>
          </w:tcPr>
          <w:p w14:paraId="2200EBDD" w14:textId="3C7DE60A"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З досвідом лікування</w:t>
            </w:r>
          </w:p>
        </w:tc>
        <w:tc>
          <w:tcPr>
            <w:tcW w:w="709" w:type="dxa"/>
            <w:shd w:val="clear" w:color="auto" w:fill="BDD6EE" w:themeFill="accent1" w:themeFillTint="66"/>
          </w:tcPr>
          <w:p w14:paraId="1865448B" w14:textId="76DEB019"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CF19F8">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00035860" w14:textId="1DECEDB0"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E77035">
              <w:rPr>
                <w:rFonts w:ascii="Times New Roman" w:hAnsi="Times New Roman" w:cs="Times New Roman"/>
                <w:b/>
                <w:color w:val="000000" w:themeColor="text1"/>
                <w:sz w:val="20"/>
                <w:szCs w:val="20"/>
                <w:lang w:val="uk-UA"/>
              </w:rPr>
              <w:t>8 тиж</w:t>
            </w:r>
          </w:p>
        </w:tc>
        <w:tc>
          <w:tcPr>
            <w:tcW w:w="1134" w:type="dxa"/>
            <w:shd w:val="clear" w:color="auto" w:fill="F244C0"/>
          </w:tcPr>
          <w:p w14:paraId="1B62001E" w14:textId="4947B7A5"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276" w:type="dxa"/>
            <w:shd w:val="clear" w:color="auto" w:fill="F244C0"/>
          </w:tcPr>
          <w:p w14:paraId="19AB3CF1" w14:textId="334165AA"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418" w:type="dxa"/>
            <w:shd w:val="clear" w:color="auto" w:fill="F244C0"/>
          </w:tcPr>
          <w:p w14:paraId="594DBA23" w14:textId="49ABEA01"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417" w:type="dxa"/>
            <w:shd w:val="clear" w:color="auto" w:fill="F244C0"/>
          </w:tcPr>
          <w:p w14:paraId="15EAA4F9" w14:textId="4D52C4B6"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Ні</w:t>
            </w:r>
          </w:p>
        </w:tc>
      </w:tr>
      <w:tr w:rsidR="00970304" w:rsidRPr="00970304" w14:paraId="61E187DE" w14:textId="77777777" w:rsidTr="00D005A1">
        <w:tc>
          <w:tcPr>
            <w:tcW w:w="1195" w:type="dxa"/>
          </w:tcPr>
          <w:p w14:paraId="56D51009" w14:textId="77777777" w:rsidR="00970304" w:rsidRPr="00970304" w:rsidRDefault="00970304" w:rsidP="00970304">
            <w:pPr>
              <w:tabs>
                <w:tab w:val="left" w:pos="1089"/>
              </w:tabs>
              <w:jc w:val="both"/>
              <w:rPr>
                <w:rFonts w:ascii="Times New Roman" w:hAnsi="Times New Roman" w:cs="Times New Roman"/>
                <w:b/>
                <w:color w:val="000000" w:themeColor="text1"/>
                <w:sz w:val="20"/>
                <w:szCs w:val="20"/>
                <w:lang w:val="it-IT"/>
              </w:rPr>
            </w:pPr>
            <w:r w:rsidRPr="00970304">
              <w:rPr>
                <w:rFonts w:ascii="Times New Roman" w:hAnsi="Times New Roman" w:cs="Times New Roman"/>
                <w:b/>
                <w:color w:val="000000" w:themeColor="text1"/>
                <w:sz w:val="20"/>
                <w:szCs w:val="20"/>
                <w:lang w:val="uk-UA"/>
              </w:rPr>
              <w:t>Генотип</w:t>
            </w:r>
            <w:r w:rsidRPr="00970304">
              <w:rPr>
                <w:rFonts w:ascii="Times New Roman" w:hAnsi="Times New Roman" w:cs="Times New Roman"/>
                <w:b/>
                <w:color w:val="000000" w:themeColor="text1"/>
                <w:sz w:val="20"/>
                <w:szCs w:val="20"/>
                <w:lang w:val="it-IT"/>
              </w:rPr>
              <w:t xml:space="preserve"> 5</w:t>
            </w:r>
          </w:p>
        </w:tc>
        <w:tc>
          <w:tcPr>
            <w:tcW w:w="2126" w:type="dxa"/>
            <w:shd w:val="clear" w:color="auto" w:fill="FFFFFF" w:themeFill="background1"/>
          </w:tcPr>
          <w:p w14:paraId="447374A3" w14:textId="79740BD9" w:rsidR="00970304" w:rsidRPr="00970304" w:rsidRDefault="00652F9A"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Наївні</w:t>
            </w: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 xml:space="preserve"> </w:t>
            </w:r>
            <w:r w:rsidR="00970304" w:rsidRPr="00970304">
              <w:rPr>
                <w:rFonts w:ascii="Times New Roman" w:hAnsi="Times New Roman" w:cs="Times New Roman"/>
                <w:b/>
                <w:color w:val="000000" w:themeColor="text1"/>
                <w:sz w:val="20"/>
                <w:szCs w:val="20"/>
                <w:lang w:val="uk-UA"/>
              </w:rPr>
              <w:t>пацієнти</w:t>
            </w:r>
          </w:p>
        </w:tc>
        <w:tc>
          <w:tcPr>
            <w:tcW w:w="709" w:type="dxa"/>
            <w:shd w:val="clear" w:color="auto" w:fill="BDD6EE" w:themeFill="accent1" w:themeFillTint="66"/>
          </w:tcPr>
          <w:p w14:paraId="46D51B4F" w14:textId="7A468A24"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CF19F8">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78859111" w14:textId="05362C9E"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E77035">
              <w:rPr>
                <w:rFonts w:ascii="Times New Roman" w:hAnsi="Times New Roman" w:cs="Times New Roman"/>
                <w:b/>
                <w:color w:val="000000" w:themeColor="text1"/>
                <w:sz w:val="20"/>
                <w:szCs w:val="20"/>
                <w:lang w:val="uk-UA"/>
              </w:rPr>
              <w:t>8 тиж</w:t>
            </w:r>
          </w:p>
        </w:tc>
        <w:tc>
          <w:tcPr>
            <w:tcW w:w="1134" w:type="dxa"/>
            <w:shd w:val="clear" w:color="auto" w:fill="F244C0"/>
          </w:tcPr>
          <w:p w14:paraId="371B448B" w14:textId="5F5D1F57"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276" w:type="dxa"/>
            <w:shd w:val="clear" w:color="auto" w:fill="BDD6EE" w:themeFill="accent1" w:themeFillTint="66"/>
          </w:tcPr>
          <w:p w14:paraId="2C215CA4" w14:textId="79F56654"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12 т</w:t>
            </w:r>
            <w:r>
              <w:rPr>
                <w:rFonts w:ascii="Times New Roman" w:hAnsi="Times New Roman" w:cs="Times New Roman"/>
                <w:b/>
                <w:color w:val="000000" w:themeColor="text1"/>
                <w:sz w:val="20"/>
                <w:szCs w:val="20"/>
                <w:lang w:val="uk-UA"/>
              </w:rPr>
              <w:t>иж</w:t>
            </w:r>
          </w:p>
        </w:tc>
        <w:tc>
          <w:tcPr>
            <w:tcW w:w="1418" w:type="dxa"/>
            <w:shd w:val="clear" w:color="auto" w:fill="F244C0"/>
          </w:tcPr>
          <w:p w14:paraId="16EBD8BF" w14:textId="633D0280"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417" w:type="dxa"/>
            <w:shd w:val="clear" w:color="auto" w:fill="F244C0"/>
          </w:tcPr>
          <w:p w14:paraId="70E6D0B4" w14:textId="7B51487D"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Ні</w:t>
            </w:r>
          </w:p>
        </w:tc>
      </w:tr>
      <w:tr w:rsidR="00970304" w:rsidRPr="00970304" w14:paraId="1061574C" w14:textId="77777777" w:rsidTr="00D005A1">
        <w:tc>
          <w:tcPr>
            <w:tcW w:w="1195" w:type="dxa"/>
          </w:tcPr>
          <w:p w14:paraId="515DA9E5" w14:textId="77777777"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p>
        </w:tc>
        <w:tc>
          <w:tcPr>
            <w:tcW w:w="2126" w:type="dxa"/>
            <w:shd w:val="clear" w:color="auto" w:fill="FFFFFF" w:themeFill="background1"/>
          </w:tcPr>
          <w:p w14:paraId="114B94AE" w14:textId="3098B735"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З досвідом лікування</w:t>
            </w:r>
          </w:p>
        </w:tc>
        <w:tc>
          <w:tcPr>
            <w:tcW w:w="709" w:type="dxa"/>
            <w:shd w:val="clear" w:color="auto" w:fill="BDD6EE" w:themeFill="accent1" w:themeFillTint="66"/>
          </w:tcPr>
          <w:p w14:paraId="1B938C90" w14:textId="36A40B5B"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CF19F8">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06843061" w14:textId="4A3C116E"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E77035">
              <w:rPr>
                <w:rFonts w:ascii="Times New Roman" w:hAnsi="Times New Roman" w:cs="Times New Roman"/>
                <w:b/>
                <w:color w:val="000000" w:themeColor="text1"/>
                <w:sz w:val="20"/>
                <w:szCs w:val="20"/>
                <w:lang w:val="uk-UA"/>
              </w:rPr>
              <w:t>8 тиж</w:t>
            </w:r>
          </w:p>
        </w:tc>
        <w:tc>
          <w:tcPr>
            <w:tcW w:w="1134" w:type="dxa"/>
            <w:shd w:val="clear" w:color="auto" w:fill="F244C0"/>
          </w:tcPr>
          <w:p w14:paraId="1840B855" w14:textId="128823C0"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276" w:type="dxa"/>
            <w:shd w:val="clear" w:color="auto" w:fill="F244C0"/>
          </w:tcPr>
          <w:p w14:paraId="05EC461C" w14:textId="3A8FFEEB"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Ні</w:t>
            </w:r>
          </w:p>
        </w:tc>
        <w:tc>
          <w:tcPr>
            <w:tcW w:w="1418" w:type="dxa"/>
            <w:shd w:val="clear" w:color="auto" w:fill="F244C0"/>
          </w:tcPr>
          <w:p w14:paraId="544A609C" w14:textId="3695D60C"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417" w:type="dxa"/>
            <w:shd w:val="clear" w:color="auto" w:fill="F244C0"/>
          </w:tcPr>
          <w:p w14:paraId="4469229A" w14:textId="7856E376"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Ні</w:t>
            </w:r>
          </w:p>
        </w:tc>
      </w:tr>
      <w:tr w:rsidR="00970304" w:rsidRPr="00970304" w14:paraId="44C0518F" w14:textId="77777777" w:rsidTr="00D005A1">
        <w:tc>
          <w:tcPr>
            <w:tcW w:w="1195" w:type="dxa"/>
          </w:tcPr>
          <w:p w14:paraId="242640DE" w14:textId="77777777" w:rsidR="00970304" w:rsidRPr="00970304" w:rsidRDefault="00970304" w:rsidP="00970304">
            <w:pPr>
              <w:tabs>
                <w:tab w:val="left" w:pos="1089"/>
              </w:tabs>
              <w:jc w:val="both"/>
              <w:rPr>
                <w:rFonts w:ascii="Times New Roman" w:hAnsi="Times New Roman" w:cs="Times New Roman"/>
                <w:b/>
                <w:color w:val="000000" w:themeColor="text1"/>
                <w:sz w:val="20"/>
                <w:szCs w:val="20"/>
                <w:lang w:val="it-IT"/>
              </w:rPr>
            </w:pPr>
            <w:r w:rsidRPr="00970304">
              <w:rPr>
                <w:rFonts w:ascii="Times New Roman" w:hAnsi="Times New Roman" w:cs="Times New Roman"/>
                <w:b/>
                <w:color w:val="000000" w:themeColor="text1"/>
                <w:sz w:val="20"/>
                <w:szCs w:val="20"/>
                <w:lang w:val="uk-UA"/>
              </w:rPr>
              <w:t>Генотип</w:t>
            </w:r>
            <w:r w:rsidRPr="00970304">
              <w:rPr>
                <w:rFonts w:ascii="Times New Roman" w:hAnsi="Times New Roman" w:cs="Times New Roman"/>
                <w:b/>
                <w:color w:val="000000" w:themeColor="text1"/>
                <w:sz w:val="20"/>
                <w:szCs w:val="20"/>
                <w:lang w:val="it-IT"/>
              </w:rPr>
              <w:t xml:space="preserve"> 6</w:t>
            </w:r>
          </w:p>
        </w:tc>
        <w:tc>
          <w:tcPr>
            <w:tcW w:w="2126" w:type="dxa"/>
            <w:shd w:val="clear" w:color="auto" w:fill="FFFFFF" w:themeFill="background1"/>
          </w:tcPr>
          <w:p w14:paraId="0742ABB4" w14:textId="775AD891" w:rsidR="00970304" w:rsidRPr="00970304" w:rsidRDefault="00652F9A"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Наївні</w:t>
            </w: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 xml:space="preserve"> </w:t>
            </w:r>
            <w:r w:rsidR="00970304" w:rsidRPr="00970304">
              <w:rPr>
                <w:rFonts w:ascii="Times New Roman" w:hAnsi="Times New Roman" w:cs="Times New Roman"/>
                <w:b/>
                <w:color w:val="000000" w:themeColor="text1"/>
                <w:sz w:val="20"/>
                <w:szCs w:val="20"/>
                <w:lang w:val="uk-UA"/>
              </w:rPr>
              <w:t>пацієнти</w:t>
            </w:r>
          </w:p>
        </w:tc>
        <w:tc>
          <w:tcPr>
            <w:tcW w:w="709" w:type="dxa"/>
            <w:shd w:val="clear" w:color="auto" w:fill="BDD6EE" w:themeFill="accent1" w:themeFillTint="66"/>
          </w:tcPr>
          <w:p w14:paraId="6A9349BB" w14:textId="18B208C8"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CF19F8">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2F8076E8" w14:textId="2263CA69"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E77035">
              <w:rPr>
                <w:rFonts w:ascii="Times New Roman" w:hAnsi="Times New Roman" w:cs="Times New Roman"/>
                <w:b/>
                <w:color w:val="000000" w:themeColor="text1"/>
                <w:sz w:val="20"/>
                <w:szCs w:val="20"/>
                <w:lang w:val="uk-UA"/>
              </w:rPr>
              <w:t>8 тиж</w:t>
            </w:r>
          </w:p>
        </w:tc>
        <w:tc>
          <w:tcPr>
            <w:tcW w:w="1134" w:type="dxa"/>
            <w:shd w:val="clear" w:color="auto" w:fill="F244C0"/>
          </w:tcPr>
          <w:p w14:paraId="6E5E724D" w14:textId="0BD039BF"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276" w:type="dxa"/>
            <w:shd w:val="clear" w:color="auto" w:fill="BDD6EE" w:themeFill="accent1" w:themeFillTint="66"/>
          </w:tcPr>
          <w:p w14:paraId="3853F3E0" w14:textId="4AAB93F0"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12 т</w:t>
            </w:r>
            <w:r>
              <w:rPr>
                <w:rFonts w:ascii="Times New Roman" w:hAnsi="Times New Roman" w:cs="Times New Roman"/>
                <w:b/>
                <w:color w:val="000000" w:themeColor="text1"/>
                <w:sz w:val="20"/>
                <w:szCs w:val="20"/>
                <w:lang w:val="uk-UA"/>
              </w:rPr>
              <w:t>иж</w:t>
            </w:r>
          </w:p>
        </w:tc>
        <w:tc>
          <w:tcPr>
            <w:tcW w:w="1418" w:type="dxa"/>
            <w:shd w:val="clear" w:color="auto" w:fill="F244C0"/>
          </w:tcPr>
          <w:p w14:paraId="07BFB49E" w14:textId="2D415344"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417" w:type="dxa"/>
            <w:shd w:val="clear" w:color="auto" w:fill="F244C0"/>
          </w:tcPr>
          <w:p w14:paraId="6080B583" w14:textId="3861100B"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Ні</w:t>
            </w:r>
          </w:p>
        </w:tc>
      </w:tr>
      <w:tr w:rsidR="00970304" w:rsidRPr="00970304" w14:paraId="6EE3B2ED" w14:textId="77777777" w:rsidTr="00D005A1">
        <w:tc>
          <w:tcPr>
            <w:tcW w:w="1195" w:type="dxa"/>
          </w:tcPr>
          <w:p w14:paraId="376B56DB" w14:textId="77777777"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p>
        </w:tc>
        <w:tc>
          <w:tcPr>
            <w:tcW w:w="2126" w:type="dxa"/>
            <w:shd w:val="clear" w:color="auto" w:fill="FFFFFF" w:themeFill="background1"/>
          </w:tcPr>
          <w:p w14:paraId="2BEFF10B" w14:textId="488E032B"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З досвідом лікування</w:t>
            </w:r>
          </w:p>
        </w:tc>
        <w:tc>
          <w:tcPr>
            <w:tcW w:w="709" w:type="dxa"/>
            <w:shd w:val="clear" w:color="auto" w:fill="BDD6EE" w:themeFill="accent1" w:themeFillTint="66"/>
          </w:tcPr>
          <w:p w14:paraId="2EFEF289" w14:textId="1F093D24"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CF19F8">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05AB4CD0" w14:textId="12F529D4"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E77035">
              <w:rPr>
                <w:rFonts w:ascii="Times New Roman" w:hAnsi="Times New Roman" w:cs="Times New Roman"/>
                <w:b/>
                <w:color w:val="000000" w:themeColor="text1"/>
                <w:sz w:val="20"/>
                <w:szCs w:val="20"/>
                <w:lang w:val="uk-UA"/>
              </w:rPr>
              <w:t>8 тиж</w:t>
            </w:r>
          </w:p>
        </w:tc>
        <w:tc>
          <w:tcPr>
            <w:tcW w:w="1134" w:type="dxa"/>
            <w:shd w:val="clear" w:color="auto" w:fill="F244C0"/>
          </w:tcPr>
          <w:p w14:paraId="17AE6F47" w14:textId="4E440251"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276" w:type="dxa"/>
            <w:shd w:val="clear" w:color="auto" w:fill="F244C0"/>
          </w:tcPr>
          <w:p w14:paraId="19EFB49D" w14:textId="6ABDCA47"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418" w:type="dxa"/>
            <w:shd w:val="clear" w:color="auto" w:fill="F244C0"/>
          </w:tcPr>
          <w:p w14:paraId="1BF098E5" w14:textId="3E24276D"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 xml:space="preserve">Ні </w:t>
            </w:r>
          </w:p>
        </w:tc>
        <w:tc>
          <w:tcPr>
            <w:tcW w:w="1417" w:type="dxa"/>
            <w:shd w:val="clear" w:color="auto" w:fill="F244C0"/>
          </w:tcPr>
          <w:p w14:paraId="782642F5" w14:textId="7EB1384E" w:rsidR="00970304" w:rsidRPr="00970304" w:rsidRDefault="00970304" w:rsidP="00970304">
            <w:pPr>
              <w:tabs>
                <w:tab w:val="left" w:pos="1089"/>
              </w:tabs>
              <w:jc w:val="both"/>
              <w:rPr>
                <w:rFonts w:ascii="Times New Roman" w:hAnsi="Times New Roman" w:cs="Times New Roman"/>
                <w:b/>
                <w:color w:val="000000" w:themeColor="text1"/>
                <w:sz w:val="20"/>
                <w:szCs w:val="20"/>
                <w:lang w:val="uk-UA"/>
              </w:rPr>
            </w:pPr>
            <w:r w:rsidRPr="00970304">
              <w:rPr>
                <w:rFonts w:ascii="Times New Roman" w:hAnsi="Times New Roman" w:cs="Times New Roman"/>
                <w:b/>
                <w:color w:val="000000" w:themeColor="text1"/>
                <w:sz w:val="20"/>
                <w:szCs w:val="20"/>
                <w:lang w:val="uk-UA"/>
              </w:rPr>
              <w:t>Ні</w:t>
            </w:r>
          </w:p>
        </w:tc>
      </w:tr>
    </w:tbl>
    <w:p w14:paraId="2EF10652" w14:textId="77777777" w:rsidR="00827E72" w:rsidRPr="00E92A90" w:rsidRDefault="00827E72" w:rsidP="00F53078">
      <w:pPr>
        <w:tabs>
          <w:tab w:val="left" w:pos="1089"/>
        </w:tabs>
        <w:ind w:left="360"/>
        <w:jc w:val="both"/>
        <w:rPr>
          <w:rFonts w:ascii="Times New Roman" w:hAnsi="Times New Roman" w:cs="Times New Roman"/>
          <w:b/>
          <w:color w:val="000000" w:themeColor="text1"/>
          <w:lang w:val="uk-UA"/>
        </w:rPr>
      </w:pPr>
    </w:p>
    <w:p w14:paraId="3B0EC3BA" w14:textId="6AACC47C" w:rsidR="00616F70" w:rsidRDefault="00616F70" w:rsidP="00616F70">
      <w:pPr>
        <w:tabs>
          <w:tab w:val="left" w:pos="1089"/>
        </w:tabs>
        <w:ind w:left="360"/>
        <w:rPr>
          <w:rFonts w:ascii="Times" w:hAnsi="Times" w:cs="Times"/>
          <w:color w:val="000000"/>
          <w:sz w:val="16"/>
          <w:szCs w:val="16"/>
          <w:lang w:val="uk-UA"/>
        </w:rPr>
      </w:pPr>
      <w:r>
        <w:rPr>
          <w:rFonts w:ascii="Times" w:hAnsi="Times" w:cs="Times"/>
          <w:color w:val="000000"/>
          <w:sz w:val="16"/>
          <w:szCs w:val="16"/>
        </w:rPr>
        <w:t>DSV</w:t>
      </w:r>
      <w:r w:rsidR="00970304">
        <w:rPr>
          <w:rFonts w:ascii="Times" w:hAnsi="Times" w:cs="Times"/>
          <w:color w:val="000000"/>
          <w:sz w:val="16"/>
          <w:szCs w:val="16"/>
          <w:lang w:val="uk-UA"/>
        </w:rPr>
        <w:t xml:space="preserve"> –</w:t>
      </w:r>
      <w:r w:rsidRPr="00D005A1">
        <w:rPr>
          <w:rFonts w:ascii="Times" w:hAnsi="Times" w:cs="Times"/>
          <w:color w:val="000000"/>
          <w:sz w:val="16"/>
          <w:szCs w:val="16"/>
          <w:lang w:val="uk-UA"/>
        </w:rPr>
        <w:t xml:space="preserve"> дасабувір; </w:t>
      </w:r>
      <w:r>
        <w:rPr>
          <w:rFonts w:ascii="Times" w:hAnsi="Times" w:cs="Times"/>
          <w:color w:val="000000"/>
          <w:sz w:val="16"/>
          <w:szCs w:val="16"/>
        </w:rPr>
        <w:t>EBR</w:t>
      </w:r>
      <w:r w:rsidR="00970304">
        <w:rPr>
          <w:rFonts w:ascii="Times" w:hAnsi="Times" w:cs="Times"/>
          <w:color w:val="000000"/>
          <w:sz w:val="16"/>
          <w:szCs w:val="16"/>
          <w:lang w:val="uk-UA"/>
        </w:rPr>
        <w:t xml:space="preserve"> – </w:t>
      </w:r>
      <w:r w:rsidRPr="00D005A1">
        <w:rPr>
          <w:rFonts w:ascii="Times" w:hAnsi="Times" w:cs="Times"/>
          <w:color w:val="000000"/>
          <w:sz w:val="16"/>
          <w:szCs w:val="16"/>
          <w:lang w:val="uk-UA"/>
        </w:rPr>
        <w:t xml:space="preserve">елбасвір; </w:t>
      </w:r>
      <w:r>
        <w:rPr>
          <w:rFonts w:ascii="Times" w:hAnsi="Times" w:cs="Times"/>
          <w:color w:val="000000"/>
          <w:sz w:val="16"/>
          <w:szCs w:val="16"/>
        </w:rPr>
        <w:t>GLE</w:t>
      </w:r>
      <w:r w:rsidR="00970304">
        <w:rPr>
          <w:rFonts w:ascii="Times" w:hAnsi="Times" w:cs="Times"/>
          <w:color w:val="000000"/>
          <w:sz w:val="16"/>
          <w:szCs w:val="16"/>
          <w:lang w:val="uk-UA"/>
        </w:rPr>
        <w:t xml:space="preserve"> –</w:t>
      </w:r>
      <w:r w:rsidRPr="00D005A1">
        <w:rPr>
          <w:rFonts w:ascii="Times" w:hAnsi="Times" w:cs="Times"/>
          <w:color w:val="000000"/>
          <w:sz w:val="16"/>
          <w:szCs w:val="16"/>
          <w:lang w:val="uk-UA"/>
        </w:rPr>
        <w:t xml:space="preserve"> глекапревір; </w:t>
      </w:r>
      <w:r w:rsidRPr="001C2959">
        <w:rPr>
          <w:rFonts w:ascii="Times" w:hAnsi="Times" w:cs="Times"/>
          <w:color w:val="000000"/>
          <w:sz w:val="16"/>
          <w:szCs w:val="16"/>
        </w:rPr>
        <w:t>GZR</w:t>
      </w:r>
      <w:r w:rsidR="00970304">
        <w:rPr>
          <w:rFonts w:ascii="Times" w:hAnsi="Times" w:cs="Times"/>
          <w:color w:val="000000"/>
          <w:sz w:val="16"/>
          <w:szCs w:val="16"/>
          <w:lang w:val="uk-UA"/>
        </w:rPr>
        <w:t xml:space="preserve"> –</w:t>
      </w:r>
      <w:r w:rsidRPr="00D005A1">
        <w:rPr>
          <w:rFonts w:ascii="Times" w:hAnsi="Times" w:cs="Times"/>
          <w:color w:val="000000"/>
          <w:sz w:val="16"/>
          <w:szCs w:val="16"/>
          <w:lang w:val="uk-UA"/>
        </w:rPr>
        <w:t xml:space="preserve"> гразопревір; </w:t>
      </w:r>
      <w:r>
        <w:rPr>
          <w:rFonts w:ascii="Times" w:hAnsi="Times" w:cs="Times"/>
          <w:color w:val="000000"/>
          <w:sz w:val="16"/>
          <w:szCs w:val="16"/>
        </w:rPr>
        <w:t>IFN</w:t>
      </w:r>
      <w:r w:rsidR="00970304">
        <w:rPr>
          <w:rFonts w:ascii="Times" w:hAnsi="Times" w:cs="Times"/>
          <w:color w:val="000000"/>
          <w:sz w:val="16"/>
          <w:szCs w:val="16"/>
          <w:lang w:val="uk-UA"/>
        </w:rPr>
        <w:t xml:space="preserve"> –</w:t>
      </w:r>
      <w:r w:rsidRPr="00D005A1">
        <w:rPr>
          <w:rFonts w:ascii="Times" w:hAnsi="Times" w:cs="Times"/>
          <w:color w:val="000000"/>
          <w:sz w:val="16"/>
          <w:szCs w:val="16"/>
          <w:lang w:val="uk-UA"/>
        </w:rPr>
        <w:t xml:space="preserve"> інтерферон; </w:t>
      </w:r>
      <w:r>
        <w:rPr>
          <w:rFonts w:ascii="Times" w:hAnsi="Times" w:cs="Times"/>
          <w:color w:val="000000"/>
          <w:sz w:val="16"/>
          <w:szCs w:val="16"/>
        </w:rPr>
        <w:t>LDV</w:t>
      </w:r>
      <w:r w:rsidR="00970304">
        <w:rPr>
          <w:rFonts w:ascii="Times" w:hAnsi="Times" w:cs="Times"/>
          <w:color w:val="000000"/>
          <w:sz w:val="16"/>
          <w:szCs w:val="16"/>
          <w:lang w:val="uk-UA"/>
        </w:rPr>
        <w:t xml:space="preserve"> – леді</w:t>
      </w:r>
      <w:r w:rsidRPr="00D005A1">
        <w:rPr>
          <w:rFonts w:ascii="Times" w:hAnsi="Times" w:cs="Times"/>
          <w:color w:val="000000"/>
          <w:sz w:val="16"/>
          <w:szCs w:val="16"/>
          <w:lang w:val="uk-UA"/>
        </w:rPr>
        <w:t>па</w:t>
      </w:r>
      <w:r w:rsidR="00970304">
        <w:rPr>
          <w:rFonts w:ascii="Times" w:hAnsi="Times" w:cs="Times"/>
          <w:color w:val="000000"/>
          <w:sz w:val="16"/>
          <w:szCs w:val="16"/>
          <w:lang w:val="uk-UA"/>
        </w:rPr>
        <w:t>с</w:t>
      </w:r>
      <w:r w:rsidRPr="00D005A1">
        <w:rPr>
          <w:rFonts w:ascii="Times" w:hAnsi="Times" w:cs="Times"/>
          <w:color w:val="000000"/>
          <w:sz w:val="16"/>
          <w:szCs w:val="16"/>
          <w:lang w:val="uk-UA"/>
        </w:rPr>
        <w:t xml:space="preserve">вір; </w:t>
      </w:r>
      <w:r w:rsidR="00970304">
        <w:rPr>
          <w:rFonts w:ascii="Times" w:hAnsi="Times" w:cs="Times"/>
          <w:color w:val="000000"/>
          <w:sz w:val="16"/>
          <w:szCs w:val="16"/>
          <w:lang w:val="it-IT"/>
        </w:rPr>
        <w:t xml:space="preserve">OBV </w:t>
      </w:r>
      <w:r w:rsidR="00970304">
        <w:rPr>
          <w:rFonts w:ascii="Times" w:hAnsi="Times" w:cs="Times"/>
          <w:color w:val="000000"/>
          <w:sz w:val="16"/>
          <w:szCs w:val="16"/>
          <w:lang w:val="uk-UA"/>
        </w:rPr>
        <w:t>–</w:t>
      </w:r>
      <w:r w:rsidRPr="00D005A1">
        <w:rPr>
          <w:rFonts w:ascii="Times" w:hAnsi="Times" w:cs="Times"/>
          <w:color w:val="000000"/>
          <w:sz w:val="16"/>
          <w:szCs w:val="16"/>
          <w:lang w:val="uk-UA"/>
        </w:rPr>
        <w:t xml:space="preserve"> омбітісвір; </w:t>
      </w:r>
      <w:r>
        <w:rPr>
          <w:rFonts w:ascii="Times" w:hAnsi="Times" w:cs="Times"/>
          <w:color w:val="000000"/>
          <w:sz w:val="16"/>
          <w:szCs w:val="16"/>
        </w:rPr>
        <w:t>PIB</w:t>
      </w:r>
      <w:r w:rsidR="00970304">
        <w:rPr>
          <w:rFonts w:ascii="Times" w:hAnsi="Times" w:cs="Times"/>
          <w:color w:val="000000"/>
          <w:sz w:val="16"/>
          <w:szCs w:val="16"/>
          <w:lang w:val="it-IT"/>
        </w:rPr>
        <w:t xml:space="preserve"> </w:t>
      </w:r>
      <w:r w:rsidR="00970304">
        <w:rPr>
          <w:rFonts w:ascii="Times" w:hAnsi="Times" w:cs="Times"/>
          <w:color w:val="000000"/>
          <w:sz w:val="16"/>
          <w:szCs w:val="16"/>
          <w:lang w:val="uk-UA"/>
        </w:rPr>
        <w:t>–</w:t>
      </w:r>
      <w:r w:rsidRPr="00D005A1">
        <w:rPr>
          <w:rFonts w:ascii="Times" w:hAnsi="Times" w:cs="Times"/>
          <w:color w:val="000000"/>
          <w:sz w:val="16"/>
          <w:szCs w:val="16"/>
          <w:lang w:val="uk-UA"/>
        </w:rPr>
        <w:t xml:space="preserve"> пібрентасвір; </w:t>
      </w:r>
      <w:r w:rsidR="00970304">
        <w:rPr>
          <w:rFonts w:ascii="Times" w:hAnsi="Times" w:cs="Times"/>
          <w:color w:val="000000"/>
          <w:sz w:val="16"/>
          <w:szCs w:val="16"/>
          <w:lang w:val="it-IT"/>
        </w:rPr>
        <w:t xml:space="preserve">PTV </w:t>
      </w:r>
      <w:r w:rsidR="00970304">
        <w:rPr>
          <w:rFonts w:ascii="Times" w:hAnsi="Times" w:cs="Times"/>
          <w:color w:val="000000"/>
          <w:sz w:val="16"/>
          <w:szCs w:val="16"/>
          <w:lang w:val="uk-UA"/>
        </w:rPr>
        <w:t>–</w:t>
      </w:r>
      <w:r w:rsidRPr="00D005A1">
        <w:rPr>
          <w:rFonts w:ascii="Times" w:hAnsi="Times" w:cs="Times"/>
          <w:color w:val="000000"/>
          <w:sz w:val="16"/>
          <w:szCs w:val="16"/>
          <w:lang w:val="uk-UA"/>
        </w:rPr>
        <w:t xml:space="preserve"> </w:t>
      </w:r>
      <w:r w:rsidR="00DA25AC">
        <w:rPr>
          <w:rFonts w:ascii="Times" w:hAnsi="Times" w:cs="Times"/>
          <w:color w:val="000000"/>
          <w:sz w:val="16"/>
          <w:szCs w:val="16"/>
          <w:lang w:val="uk-UA"/>
        </w:rPr>
        <w:t>п</w:t>
      </w:r>
      <w:r w:rsidR="00E76D74" w:rsidRPr="00D005A1">
        <w:rPr>
          <w:rFonts w:ascii="Times" w:hAnsi="Times" w:cs="Times"/>
          <w:color w:val="000000"/>
          <w:sz w:val="16"/>
          <w:szCs w:val="16"/>
          <w:lang w:val="uk-UA"/>
        </w:rPr>
        <w:t>аритапревір</w:t>
      </w:r>
      <w:r w:rsidRPr="00D005A1">
        <w:rPr>
          <w:rFonts w:ascii="Times" w:hAnsi="Times" w:cs="Times"/>
          <w:color w:val="000000"/>
          <w:sz w:val="16"/>
          <w:szCs w:val="16"/>
          <w:lang w:val="uk-UA"/>
        </w:rPr>
        <w:t>; г</w:t>
      </w:r>
      <w:r w:rsidR="00970304">
        <w:rPr>
          <w:rFonts w:ascii="Times" w:hAnsi="Times" w:cs="Times"/>
          <w:color w:val="000000"/>
          <w:sz w:val="16"/>
          <w:szCs w:val="16"/>
          <w:lang w:val="it-IT"/>
        </w:rPr>
        <w:t xml:space="preserve"> </w:t>
      </w:r>
      <w:r w:rsidR="00970304">
        <w:rPr>
          <w:rFonts w:ascii="Times" w:hAnsi="Times" w:cs="Times"/>
          <w:color w:val="000000"/>
          <w:sz w:val="16"/>
          <w:szCs w:val="16"/>
          <w:lang w:val="uk-UA"/>
        </w:rPr>
        <w:t>–</w:t>
      </w:r>
      <w:r w:rsidRPr="00D005A1">
        <w:rPr>
          <w:rFonts w:ascii="Times" w:hAnsi="Times" w:cs="Times"/>
          <w:color w:val="000000"/>
          <w:sz w:val="16"/>
          <w:szCs w:val="16"/>
          <w:lang w:val="uk-UA"/>
        </w:rPr>
        <w:t xml:space="preserve"> ритонавір; </w:t>
      </w:r>
      <w:r>
        <w:rPr>
          <w:rFonts w:ascii="Times" w:hAnsi="Times" w:cs="Times"/>
          <w:color w:val="000000"/>
          <w:sz w:val="16"/>
          <w:szCs w:val="16"/>
        </w:rPr>
        <w:t>SOF</w:t>
      </w:r>
      <w:r w:rsidR="00970304">
        <w:rPr>
          <w:rFonts w:ascii="Times" w:hAnsi="Times" w:cs="Times"/>
          <w:color w:val="000000"/>
          <w:sz w:val="16"/>
          <w:szCs w:val="16"/>
          <w:lang w:val="uk-UA"/>
        </w:rPr>
        <w:t xml:space="preserve"> –</w:t>
      </w:r>
      <w:r w:rsidRPr="00D005A1">
        <w:rPr>
          <w:rFonts w:ascii="Times" w:hAnsi="Times" w:cs="Times"/>
          <w:color w:val="000000"/>
          <w:sz w:val="16"/>
          <w:szCs w:val="16"/>
          <w:lang w:val="uk-UA"/>
        </w:rPr>
        <w:t xml:space="preserve"> софосбувір; </w:t>
      </w:r>
      <w:r>
        <w:rPr>
          <w:rFonts w:ascii="Times" w:hAnsi="Times" w:cs="Times"/>
          <w:color w:val="000000"/>
          <w:sz w:val="16"/>
          <w:szCs w:val="16"/>
        </w:rPr>
        <w:t>VEL</w:t>
      </w:r>
      <w:r w:rsidR="00970304">
        <w:rPr>
          <w:rFonts w:ascii="Times" w:hAnsi="Times" w:cs="Times"/>
          <w:color w:val="000000"/>
          <w:sz w:val="16"/>
          <w:szCs w:val="16"/>
          <w:lang w:val="uk-UA"/>
        </w:rPr>
        <w:t xml:space="preserve"> –</w:t>
      </w:r>
      <w:r w:rsidRPr="00D005A1">
        <w:rPr>
          <w:rFonts w:ascii="Times" w:hAnsi="Times" w:cs="Times"/>
          <w:color w:val="000000"/>
          <w:sz w:val="16"/>
          <w:szCs w:val="16"/>
          <w:lang w:val="uk-UA"/>
        </w:rPr>
        <w:t xml:space="preserve"> велпатасвір; </w:t>
      </w:r>
      <w:r w:rsidRPr="001C2959">
        <w:rPr>
          <w:rFonts w:ascii="Times" w:hAnsi="Times" w:cs="Times"/>
          <w:color w:val="000000"/>
          <w:sz w:val="16"/>
          <w:szCs w:val="16"/>
        </w:rPr>
        <w:t>VOX</w:t>
      </w:r>
      <w:r w:rsidR="00970304">
        <w:rPr>
          <w:rFonts w:ascii="Times" w:hAnsi="Times" w:cs="Times"/>
          <w:color w:val="000000"/>
          <w:sz w:val="16"/>
          <w:szCs w:val="16"/>
          <w:lang w:val="uk-UA"/>
        </w:rPr>
        <w:t xml:space="preserve"> –</w:t>
      </w:r>
      <w:r w:rsidR="00970304">
        <w:rPr>
          <w:rFonts w:ascii="Times" w:hAnsi="Times" w:cs="Times"/>
          <w:color w:val="000000"/>
          <w:sz w:val="16"/>
          <w:szCs w:val="16"/>
          <w:lang w:val="it-IT"/>
        </w:rPr>
        <w:t xml:space="preserve"> </w:t>
      </w:r>
      <w:r w:rsidRPr="00D005A1">
        <w:rPr>
          <w:rFonts w:ascii="Times" w:hAnsi="Times" w:cs="Times"/>
          <w:color w:val="000000"/>
          <w:sz w:val="16"/>
          <w:szCs w:val="16"/>
          <w:lang w:val="uk-UA"/>
        </w:rPr>
        <w:t>воксілапревір.</w:t>
      </w:r>
    </w:p>
    <w:p w14:paraId="7CBFC0B2" w14:textId="01376214" w:rsidR="00970304" w:rsidRDefault="00970304" w:rsidP="00616F70">
      <w:pPr>
        <w:tabs>
          <w:tab w:val="left" w:pos="1089"/>
        </w:tabs>
        <w:ind w:left="360"/>
        <w:rPr>
          <w:rFonts w:ascii="Times" w:hAnsi="Times" w:cs="Times"/>
          <w:color w:val="000000"/>
          <w:sz w:val="16"/>
          <w:szCs w:val="16"/>
          <w:lang w:val="uk-UA"/>
        </w:rPr>
      </w:pPr>
    </w:p>
    <w:p w14:paraId="44BA4A1E" w14:textId="47F55247" w:rsidR="000B1E45" w:rsidRDefault="000B1E45" w:rsidP="00616F70">
      <w:pPr>
        <w:tabs>
          <w:tab w:val="left" w:pos="1089"/>
        </w:tabs>
        <w:ind w:left="360"/>
        <w:rPr>
          <w:rFonts w:ascii="Times" w:hAnsi="Times" w:cs="Times"/>
          <w:color w:val="000000"/>
          <w:sz w:val="16"/>
          <w:szCs w:val="16"/>
          <w:lang w:val="uk-UA"/>
        </w:rPr>
      </w:pPr>
    </w:p>
    <w:p w14:paraId="296238CC" w14:textId="52036D87" w:rsidR="000B1E45" w:rsidRDefault="000B1E45" w:rsidP="00616F70">
      <w:pPr>
        <w:tabs>
          <w:tab w:val="left" w:pos="1089"/>
        </w:tabs>
        <w:ind w:left="360"/>
        <w:rPr>
          <w:rFonts w:ascii="Times" w:hAnsi="Times" w:cs="Times"/>
          <w:color w:val="000000"/>
          <w:sz w:val="16"/>
          <w:szCs w:val="16"/>
          <w:lang w:val="uk-UA"/>
        </w:rPr>
      </w:pPr>
    </w:p>
    <w:p w14:paraId="688DA603" w14:textId="13E555EE" w:rsidR="000B1E45" w:rsidRDefault="000B1E45" w:rsidP="00616F70">
      <w:pPr>
        <w:tabs>
          <w:tab w:val="left" w:pos="1089"/>
        </w:tabs>
        <w:ind w:left="360"/>
        <w:rPr>
          <w:rFonts w:ascii="Times" w:hAnsi="Times" w:cs="Times"/>
          <w:color w:val="000000"/>
          <w:sz w:val="16"/>
          <w:szCs w:val="16"/>
          <w:lang w:val="uk-UA"/>
        </w:rPr>
      </w:pPr>
    </w:p>
    <w:p w14:paraId="601E3CFD" w14:textId="6FC425EB" w:rsidR="000B1E45" w:rsidRDefault="000B1E45" w:rsidP="00616F70">
      <w:pPr>
        <w:tabs>
          <w:tab w:val="left" w:pos="1089"/>
        </w:tabs>
        <w:ind w:left="360"/>
        <w:rPr>
          <w:rFonts w:ascii="Times" w:hAnsi="Times" w:cs="Times"/>
          <w:color w:val="000000"/>
          <w:sz w:val="16"/>
          <w:szCs w:val="16"/>
          <w:lang w:val="uk-UA"/>
        </w:rPr>
      </w:pPr>
    </w:p>
    <w:p w14:paraId="52EFA62D" w14:textId="05C97376" w:rsidR="000B1E45" w:rsidRDefault="000B1E45" w:rsidP="00616F70">
      <w:pPr>
        <w:tabs>
          <w:tab w:val="left" w:pos="1089"/>
        </w:tabs>
        <w:ind w:left="360"/>
        <w:rPr>
          <w:rFonts w:ascii="Times" w:hAnsi="Times" w:cs="Times"/>
          <w:color w:val="000000"/>
          <w:sz w:val="16"/>
          <w:szCs w:val="16"/>
          <w:lang w:val="uk-UA"/>
        </w:rPr>
      </w:pPr>
    </w:p>
    <w:p w14:paraId="1C5F2C91" w14:textId="4E4344B3" w:rsidR="000B1E45" w:rsidRDefault="000B1E45" w:rsidP="00616F70">
      <w:pPr>
        <w:tabs>
          <w:tab w:val="left" w:pos="1089"/>
        </w:tabs>
        <w:ind w:left="360"/>
        <w:rPr>
          <w:rFonts w:ascii="Times" w:hAnsi="Times" w:cs="Times"/>
          <w:color w:val="000000"/>
          <w:sz w:val="16"/>
          <w:szCs w:val="16"/>
          <w:lang w:val="uk-UA"/>
        </w:rPr>
      </w:pPr>
    </w:p>
    <w:p w14:paraId="05AF65E4" w14:textId="4CDDE0B3" w:rsidR="000B1E45" w:rsidRDefault="000B1E45" w:rsidP="00616F70">
      <w:pPr>
        <w:tabs>
          <w:tab w:val="left" w:pos="1089"/>
        </w:tabs>
        <w:ind w:left="360"/>
        <w:rPr>
          <w:rFonts w:ascii="Times" w:hAnsi="Times" w:cs="Times"/>
          <w:color w:val="000000"/>
          <w:sz w:val="16"/>
          <w:szCs w:val="16"/>
          <w:lang w:val="uk-UA"/>
        </w:rPr>
      </w:pPr>
    </w:p>
    <w:p w14:paraId="77021DF2" w14:textId="420EC15A" w:rsidR="000B1E45" w:rsidRDefault="000B1E45" w:rsidP="00616F70">
      <w:pPr>
        <w:tabs>
          <w:tab w:val="left" w:pos="1089"/>
        </w:tabs>
        <w:ind w:left="360"/>
        <w:rPr>
          <w:rFonts w:ascii="Times" w:hAnsi="Times" w:cs="Times"/>
          <w:color w:val="000000"/>
          <w:sz w:val="16"/>
          <w:szCs w:val="16"/>
          <w:lang w:val="uk-UA"/>
        </w:rPr>
      </w:pPr>
    </w:p>
    <w:p w14:paraId="4B1C68D2" w14:textId="1F2BD7EB" w:rsidR="000B1E45" w:rsidRDefault="000B1E45" w:rsidP="00616F70">
      <w:pPr>
        <w:tabs>
          <w:tab w:val="left" w:pos="1089"/>
        </w:tabs>
        <w:ind w:left="360"/>
        <w:rPr>
          <w:rFonts w:ascii="Times" w:hAnsi="Times" w:cs="Times"/>
          <w:color w:val="000000"/>
          <w:sz w:val="16"/>
          <w:szCs w:val="16"/>
          <w:lang w:val="uk-UA"/>
        </w:rPr>
      </w:pPr>
    </w:p>
    <w:p w14:paraId="700719B3" w14:textId="15B8563B" w:rsidR="000B1E45" w:rsidRDefault="000B1E45" w:rsidP="00616F70">
      <w:pPr>
        <w:tabs>
          <w:tab w:val="left" w:pos="1089"/>
        </w:tabs>
        <w:ind w:left="360"/>
        <w:rPr>
          <w:rFonts w:ascii="Times" w:hAnsi="Times" w:cs="Times"/>
          <w:color w:val="000000"/>
          <w:sz w:val="16"/>
          <w:szCs w:val="16"/>
          <w:lang w:val="uk-UA"/>
        </w:rPr>
      </w:pPr>
    </w:p>
    <w:p w14:paraId="5BD0D798" w14:textId="6AAA895A" w:rsidR="000B1E45" w:rsidRDefault="000B1E45" w:rsidP="00616F70">
      <w:pPr>
        <w:tabs>
          <w:tab w:val="left" w:pos="1089"/>
        </w:tabs>
        <w:ind w:left="360"/>
        <w:rPr>
          <w:rFonts w:ascii="Times" w:hAnsi="Times" w:cs="Times"/>
          <w:color w:val="000000"/>
          <w:sz w:val="16"/>
          <w:szCs w:val="16"/>
          <w:lang w:val="uk-UA"/>
        </w:rPr>
      </w:pPr>
    </w:p>
    <w:p w14:paraId="2B6437C9" w14:textId="0D910DC9" w:rsidR="000B1E45" w:rsidRDefault="000B1E45" w:rsidP="00616F70">
      <w:pPr>
        <w:tabs>
          <w:tab w:val="left" w:pos="1089"/>
        </w:tabs>
        <w:ind w:left="360"/>
        <w:rPr>
          <w:rFonts w:ascii="Times" w:hAnsi="Times" w:cs="Times"/>
          <w:color w:val="000000"/>
          <w:sz w:val="16"/>
          <w:szCs w:val="16"/>
          <w:lang w:val="uk-UA"/>
        </w:rPr>
      </w:pPr>
    </w:p>
    <w:p w14:paraId="10CA86B4" w14:textId="7CCAECB9" w:rsidR="000B1E45" w:rsidRDefault="000B1E45" w:rsidP="00616F70">
      <w:pPr>
        <w:tabs>
          <w:tab w:val="left" w:pos="1089"/>
        </w:tabs>
        <w:ind w:left="360"/>
        <w:rPr>
          <w:rFonts w:ascii="Times" w:hAnsi="Times" w:cs="Times"/>
          <w:color w:val="000000"/>
          <w:sz w:val="16"/>
          <w:szCs w:val="16"/>
          <w:lang w:val="uk-UA"/>
        </w:rPr>
      </w:pPr>
    </w:p>
    <w:p w14:paraId="0FE88154" w14:textId="49453B7B" w:rsidR="000B1E45" w:rsidRDefault="000B1E45" w:rsidP="00616F70">
      <w:pPr>
        <w:tabs>
          <w:tab w:val="left" w:pos="1089"/>
        </w:tabs>
        <w:ind w:left="360"/>
        <w:rPr>
          <w:rFonts w:ascii="Times" w:hAnsi="Times" w:cs="Times"/>
          <w:color w:val="000000"/>
          <w:sz w:val="16"/>
          <w:szCs w:val="16"/>
          <w:lang w:val="uk-UA"/>
        </w:rPr>
      </w:pPr>
    </w:p>
    <w:p w14:paraId="0007B3A1" w14:textId="11F269AE" w:rsidR="000B1E45" w:rsidRDefault="000B1E45" w:rsidP="00616F70">
      <w:pPr>
        <w:tabs>
          <w:tab w:val="left" w:pos="1089"/>
        </w:tabs>
        <w:ind w:left="360"/>
        <w:rPr>
          <w:rFonts w:ascii="Times" w:hAnsi="Times" w:cs="Times"/>
          <w:color w:val="000000"/>
          <w:sz w:val="16"/>
          <w:szCs w:val="16"/>
          <w:lang w:val="uk-UA"/>
        </w:rPr>
      </w:pPr>
    </w:p>
    <w:p w14:paraId="1BCCFCEC" w14:textId="77777777" w:rsidR="000B1E45" w:rsidRDefault="000B1E45" w:rsidP="00616F70">
      <w:pPr>
        <w:tabs>
          <w:tab w:val="left" w:pos="1089"/>
        </w:tabs>
        <w:ind w:left="360"/>
        <w:rPr>
          <w:rFonts w:ascii="Times" w:hAnsi="Times" w:cs="Times"/>
          <w:color w:val="000000"/>
          <w:sz w:val="16"/>
          <w:szCs w:val="16"/>
          <w:lang w:val="uk-UA"/>
        </w:rPr>
      </w:pPr>
    </w:p>
    <w:p w14:paraId="34943A1A" w14:textId="77777777" w:rsidR="00970304" w:rsidRDefault="00970304" w:rsidP="00616F70">
      <w:pPr>
        <w:tabs>
          <w:tab w:val="left" w:pos="1089"/>
        </w:tabs>
        <w:ind w:left="360"/>
        <w:rPr>
          <w:rFonts w:ascii="Times" w:hAnsi="Times" w:cs="Times"/>
          <w:color w:val="000000"/>
          <w:sz w:val="16"/>
          <w:szCs w:val="16"/>
          <w:lang w:val="uk-UA"/>
        </w:rPr>
      </w:pPr>
    </w:p>
    <w:p w14:paraId="4D3AF372" w14:textId="77777777" w:rsidR="00970304" w:rsidRPr="00D005A1" w:rsidRDefault="00970304" w:rsidP="00616F70">
      <w:pPr>
        <w:tabs>
          <w:tab w:val="left" w:pos="1089"/>
        </w:tabs>
        <w:ind w:left="360"/>
        <w:rPr>
          <w:rFonts w:ascii="Times" w:hAnsi="Times" w:cs="Times"/>
          <w:color w:val="000000"/>
          <w:sz w:val="16"/>
          <w:szCs w:val="16"/>
          <w:lang w:val="uk-UA"/>
        </w:rPr>
      </w:pPr>
    </w:p>
    <w:p w14:paraId="543655F1" w14:textId="77777777" w:rsidR="006A5A2E" w:rsidRDefault="006A5A2E" w:rsidP="006A5A2E">
      <w:pPr>
        <w:tabs>
          <w:tab w:val="left" w:pos="1089"/>
        </w:tabs>
        <w:ind w:left="360"/>
        <w:rPr>
          <w:rFonts w:ascii="Times New Roman" w:hAnsi="Times New Roman" w:cs="Times New Roman"/>
          <w:color w:val="000000" w:themeColor="text1"/>
          <w:lang w:val="uk-UA"/>
        </w:rPr>
      </w:pPr>
    </w:p>
    <w:p w14:paraId="4E28639E" w14:textId="25EEABF2" w:rsidR="00365DE4" w:rsidRDefault="00365DE4" w:rsidP="00F53078">
      <w:pPr>
        <w:tabs>
          <w:tab w:val="left" w:pos="1089"/>
        </w:tabs>
        <w:ind w:left="360"/>
        <w:jc w:val="both"/>
        <w:rPr>
          <w:rFonts w:ascii="Times New Roman" w:hAnsi="Times New Roman" w:cs="Times New Roman"/>
          <w:b/>
          <w:color w:val="000000" w:themeColor="text1"/>
          <w:lang w:val="uk-UA"/>
        </w:rPr>
      </w:pPr>
      <w:r w:rsidRPr="00365DE4">
        <w:rPr>
          <w:rFonts w:ascii="Times New Roman" w:hAnsi="Times New Roman" w:cs="Times New Roman"/>
          <w:b/>
          <w:color w:val="000000" w:themeColor="text1"/>
          <w:lang w:val="uk-UA"/>
        </w:rPr>
        <w:lastRenderedPageBreak/>
        <w:t xml:space="preserve">Таблиця 8. </w:t>
      </w:r>
      <w:r w:rsidRPr="00E92A90">
        <w:rPr>
          <w:rFonts w:ascii="Times New Roman" w:hAnsi="Times New Roman" w:cs="Times New Roman"/>
          <w:b/>
          <w:color w:val="000000" w:themeColor="text1"/>
          <w:lang w:val="uk-UA"/>
        </w:rPr>
        <w:t>Рекоменда</w:t>
      </w:r>
      <w:r>
        <w:rPr>
          <w:rFonts w:ascii="Times New Roman" w:hAnsi="Times New Roman" w:cs="Times New Roman"/>
          <w:b/>
          <w:color w:val="000000" w:themeColor="text1"/>
          <w:lang w:val="uk-UA"/>
        </w:rPr>
        <w:t>ції щодо лікування хворих на ВГС</w:t>
      </w:r>
      <w:r w:rsidRPr="00E92A90">
        <w:rPr>
          <w:rFonts w:ascii="Times New Roman" w:hAnsi="Times New Roman" w:cs="Times New Roman"/>
          <w:b/>
          <w:color w:val="000000" w:themeColor="text1"/>
          <w:lang w:val="uk-UA"/>
        </w:rPr>
        <w:t xml:space="preserve"> </w:t>
      </w:r>
      <w:r w:rsidR="00525692">
        <w:rPr>
          <w:rFonts w:ascii="Times New Roman" w:hAnsi="Times New Roman" w:cs="Times New Roman"/>
          <w:b/>
          <w:color w:val="000000" w:themeColor="text1"/>
          <w:lang w:val="uk-UA"/>
        </w:rPr>
        <w:t>або ВІЛ/</w:t>
      </w:r>
      <w:r>
        <w:rPr>
          <w:rFonts w:ascii="Times New Roman" w:hAnsi="Times New Roman" w:cs="Times New Roman"/>
          <w:b/>
          <w:color w:val="000000" w:themeColor="text1"/>
          <w:lang w:val="uk-UA"/>
        </w:rPr>
        <w:t xml:space="preserve">ВГС </w:t>
      </w:r>
      <w:r w:rsidRPr="00E92A90">
        <w:rPr>
          <w:rFonts w:ascii="Times New Roman" w:hAnsi="Times New Roman" w:cs="Times New Roman"/>
          <w:b/>
          <w:color w:val="000000" w:themeColor="text1"/>
          <w:lang w:val="uk-UA"/>
        </w:rPr>
        <w:t xml:space="preserve">пацієнтів із </w:t>
      </w:r>
      <w:r>
        <w:rPr>
          <w:rFonts w:ascii="Times New Roman" w:hAnsi="Times New Roman" w:cs="Times New Roman"/>
          <w:b/>
          <w:color w:val="000000" w:themeColor="text1"/>
          <w:lang w:val="uk-UA"/>
        </w:rPr>
        <w:t>компенсованим цирозом (Child</w:t>
      </w:r>
      <w:r w:rsidR="00FC6D8A">
        <w:rPr>
          <w:rFonts w:ascii="Times New Roman" w:hAnsi="Times New Roman" w:cs="Times New Roman"/>
          <w:b/>
          <w:color w:val="000000" w:themeColor="text1"/>
          <w:lang w:val="uk-UA"/>
        </w:rPr>
        <w:t>–</w:t>
      </w:r>
      <w:r>
        <w:rPr>
          <w:rFonts w:ascii="Times New Roman" w:hAnsi="Times New Roman" w:cs="Times New Roman"/>
          <w:b/>
          <w:color w:val="000000" w:themeColor="text1"/>
          <w:lang w:val="uk-UA"/>
        </w:rPr>
        <w:t>Pugh A)</w:t>
      </w:r>
      <w:r w:rsidRPr="00E92A90">
        <w:rPr>
          <w:rFonts w:ascii="Times New Roman" w:hAnsi="Times New Roman" w:cs="Times New Roman"/>
          <w:b/>
          <w:color w:val="000000" w:themeColor="text1"/>
          <w:lang w:val="uk-UA"/>
        </w:rPr>
        <w:t xml:space="preserve">, включаючи </w:t>
      </w:r>
      <w:r>
        <w:rPr>
          <w:rFonts w:ascii="Times New Roman" w:hAnsi="Times New Roman" w:cs="Times New Roman"/>
          <w:b/>
          <w:color w:val="000000" w:themeColor="text1"/>
          <w:lang w:val="uk-UA"/>
        </w:rPr>
        <w:t>“наївних</w:t>
      </w:r>
      <w:r w:rsidR="00652F9A" w:rsidRPr="00652F9A">
        <w:rPr>
          <w:rFonts w:ascii="Times New Roman" w:hAnsi="Times New Roman" w:cs="Times New Roman"/>
          <w:b/>
          <w:color w:val="000000" w:themeColor="text1"/>
          <w:lang w:val="uk-UA"/>
        </w:rPr>
        <w:t>”</w:t>
      </w:r>
      <w:r>
        <w:rPr>
          <w:rFonts w:ascii="Times New Roman" w:hAnsi="Times New Roman" w:cs="Times New Roman"/>
          <w:b/>
          <w:color w:val="000000" w:themeColor="text1"/>
          <w:lang w:val="uk-UA"/>
        </w:rPr>
        <w:t xml:space="preserve"> пацієнтів</w:t>
      </w:r>
      <w:r w:rsidRPr="00E92A90">
        <w:rPr>
          <w:rFonts w:ascii="Times New Roman" w:hAnsi="Times New Roman" w:cs="Times New Roman"/>
          <w:b/>
          <w:color w:val="000000" w:themeColor="text1"/>
          <w:lang w:val="uk-UA"/>
        </w:rPr>
        <w:t xml:space="preserve"> </w:t>
      </w:r>
      <w:r>
        <w:rPr>
          <w:rFonts w:ascii="Times New Roman" w:hAnsi="Times New Roman" w:cs="Times New Roman"/>
          <w:b/>
          <w:color w:val="000000" w:themeColor="text1"/>
          <w:lang w:val="uk-UA"/>
        </w:rPr>
        <w:t>(</w:t>
      </w:r>
      <w:r w:rsidRPr="00E92A90">
        <w:rPr>
          <w:rFonts w:ascii="Times New Roman" w:hAnsi="Times New Roman" w:cs="Times New Roman"/>
          <w:b/>
          <w:color w:val="000000" w:themeColor="text1"/>
          <w:lang w:val="uk-UA"/>
        </w:rPr>
        <w:t>які</w:t>
      </w:r>
      <w:r>
        <w:rPr>
          <w:rFonts w:ascii="Times New Roman" w:hAnsi="Times New Roman" w:cs="Times New Roman"/>
          <w:b/>
          <w:color w:val="000000" w:themeColor="text1"/>
          <w:lang w:val="uk-UA"/>
        </w:rPr>
        <w:t xml:space="preserve"> раніше не отримували лікування</w:t>
      </w:r>
      <w:r w:rsidRPr="00E92A90">
        <w:rPr>
          <w:rFonts w:ascii="Times New Roman" w:hAnsi="Times New Roman" w:cs="Times New Roman"/>
          <w:b/>
          <w:color w:val="000000" w:themeColor="text1"/>
          <w:lang w:val="uk-UA"/>
        </w:rPr>
        <w:t xml:space="preserve"> </w:t>
      </w:r>
      <w:r>
        <w:rPr>
          <w:rFonts w:ascii="Times New Roman" w:hAnsi="Times New Roman" w:cs="Times New Roman"/>
          <w:b/>
          <w:color w:val="000000" w:themeColor="text1"/>
          <w:lang w:val="uk-UA"/>
        </w:rPr>
        <w:t xml:space="preserve">проти ВГС) </w:t>
      </w:r>
      <w:r w:rsidRPr="00E92A90">
        <w:rPr>
          <w:rFonts w:ascii="Times New Roman" w:hAnsi="Times New Roman" w:cs="Times New Roman"/>
          <w:b/>
          <w:color w:val="000000" w:themeColor="text1"/>
          <w:lang w:val="uk-UA"/>
        </w:rPr>
        <w:t xml:space="preserve">та пацієнтів </w:t>
      </w:r>
      <w:r w:rsidR="00652F9A" w:rsidRPr="00652F9A">
        <w:rPr>
          <w:rFonts w:ascii="Times New Roman" w:hAnsi="Times New Roman" w:cs="Times New Roman"/>
          <w:b/>
          <w:color w:val="000000" w:themeColor="text1"/>
          <w:lang w:val="uk-UA"/>
        </w:rPr>
        <w:t xml:space="preserve">з досвідом лікування </w:t>
      </w:r>
      <w:r w:rsidRPr="00E92A90">
        <w:rPr>
          <w:rFonts w:ascii="Times New Roman" w:hAnsi="Times New Roman" w:cs="Times New Roman"/>
          <w:b/>
          <w:color w:val="000000" w:themeColor="text1"/>
          <w:lang w:val="uk-UA"/>
        </w:rPr>
        <w:t xml:space="preserve">(визначені як пацієнти, </w:t>
      </w:r>
      <w:r w:rsidRPr="006A5A2E">
        <w:rPr>
          <w:rFonts w:ascii="Times New Roman" w:hAnsi="Times New Roman" w:cs="Times New Roman"/>
          <w:b/>
          <w:color w:val="000000" w:themeColor="text1"/>
          <w:lang w:val="uk-UA"/>
        </w:rPr>
        <w:t>які раніше отримували пегінтерферон</w:t>
      </w:r>
      <w:r w:rsidR="00FC6D8A">
        <w:rPr>
          <w:rFonts w:ascii="Times New Roman" w:hAnsi="Times New Roman" w:cs="Times New Roman"/>
          <w:b/>
          <w:color w:val="000000" w:themeColor="text1"/>
          <w:lang w:val="uk-UA"/>
        </w:rPr>
        <w:t>–</w:t>
      </w:r>
      <w:r w:rsidRPr="006A5A2E">
        <w:rPr>
          <w:rFonts w:ascii="Times New Roman" w:hAnsi="Times New Roman" w:cs="Times New Roman"/>
          <w:b/>
          <w:color w:val="000000" w:themeColor="text1"/>
          <w:lang w:val="uk-UA"/>
        </w:rPr>
        <w:t>альфа та рібавірин, або пегінтерферон</w:t>
      </w:r>
      <w:r w:rsidR="00FC6D8A">
        <w:rPr>
          <w:rFonts w:ascii="Times New Roman" w:hAnsi="Times New Roman" w:cs="Times New Roman"/>
          <w:b/>
          <w:color w:val="000000" w:themeColor="text1"/>
          <w:lang w:val="uk-UA"/>
        </w:rPr>
        <w:t>–</w:t>
      </w:r>
      <w:r w:rsidRPr="006A5A2E">
        <w:rPr>
          <w:rFonts w:ascii="Times New Roman" w:hAnsi="Times New Roman" w:cs="Times New Roman"/>
          <w:b/>
          <w:color w:val="000000" w:themeColor="text1"/>
          <w:lang w:val="uk-UA"/>
        </w:rPr>
        <w:t>альфа, рибавірин та софосбувір, або софосбувір та рибавірин</w:t>
      </w:r>
      <w:r w:rsidRPr="00E92A90">
        <w:rPr>
          <w:rFonts w:ascii="Times New Roman" w:hAnsi="Times New Roman" w:cs="Times New Roman"/>
          <w:b/>
          <w:color w:val="000000" w:themeColor="text1"/>
          <w:lang w:val="uk-UA"/>
        </w:rPr>
        <w:t>).</w:t>
      </w:r>
    </w:p>
    <w:p w14:paraId="0EE9C36B" w14:textId="77777777" w:rsidR="00970304" w:rsidRDefault="00970304" w:rsidP="00F53078">
      <w:pPr>
        <w:tabs>
          <w:tab w:val="left" w:pos="1089"/>
        </w:tabs>
        <w:ind w:left="360"/>
        <w:jc w:val="both"/>
        <w:rPr>
          <w:rFonts w:ascii="Times New Roman" w:hAnsi="Times New Roman" w:cs="Times New Roman"/>
          <w:b/>
          <w:color w:val="000000" w:themeColor="text1"/>
          <w:lang w:val="uk-UA"/>
        </w:rPr>
      </w:pPr>
    </w:p>
    <w:tbl>
      <w:tblPr>
        <w:tblStyle w:val="a6"/>
        <w:tblW w:w="9983" w:type="dxa"/>
        <w:tblInd w:w="360" w:type="dxa"/>
        <w:tblLayout w:type="fixed"/>
        <w:tblLook w:val="04A0" w:firstRow="1" w:lastRow="0" w:firstColumn="1" w:lastColumn="0" w:noHBand="0" w:noVBand="1"/>
      </w:tblPr>
      <w:tblGrid>
        <w:gridCol w:w="1195"/>
        <w:gridCol w:w="2126"/>
        <w:gridCol w:w="709"/>
        <w:gridCol w:w="708"/>
        <w:gridCol w:w="1134"/>
        <w:gridCol w:w="1276"/>
        <w:gridCol w:w="1418"/>
        <w:gridCol w:w="1417"/>
      </w:tblGrid>
      <w:tr w:rsidR="000C381C" w14:paraId="6053098C" w14:textId="77777777" w:rsidTr="000A5F09">
        <w:tc>
          <w:tcPr>
            <w:tcW w:w="1195" w:type="dxa"/>
          </w:tcPr>
          <w:p w14:paraId="40DB1B99" w14:textId="77777777" w:rsidR="000C381C" w:rsidRPr="00F22E24" w:rsidRDefault="000C381C" w:rsidP="000A5F09">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Пацієнти</w:t>
            </w:r>
          </w:p>
        </w:tc>
        <w:tc>
          <w:tcPr>
            <w:tcW w:w="2126" w:type="dxa"/>
          </w:tcPr>
          <w:p w14:paraId="30BEA316" w14:textId="77777777" w:rsidR="000C381C" w:rsidRPr="00F22E24" w:rsidRDefault="000C381C" w:rsidP="000A5F09">
            <w:pPr>
              <w:tabs>
                <w:tab w:val="left" w:pos="1089"/>
              </w:tabs>
              <w:jc w:val="both"/>
              <w:rPr>
                <w:rFonts w:ascii="Times New Roman" w:hAnsi="Times New Roman" w:cs="Times New Roman"/>
                <w:b/>
                <w:color w:val="000000" w:themeColor="text1"/>
                <w:sz w:val="20"/>
                <w:szCs w:val="20"/>
                <w:lang w:val="it-IT"/>
              </w:rPr>
            </w:pPr>
            <w:r w:rsidRPr="00F22E24">
              <w:rPr>
                <w:rFonts w:ascii="Times New Roman" w:hAnsi="Times New Roman" w:cs="Times New Roman"/>
                <w:b/>
                <w:color w:val="000000" w:themeColor="text1"/>
                <w:sz w:val="20"/>
                <w:szCs w:val="20"/>
                <w:lang w:val="uk-UA"/>
              </w:rPr>
              <w:t>Попередній досвід лікування</w:t>
            </w:r>
          </w:p>
        </w:tc>
        <w:tc>
          <w:tcPr>
            <w:tcW w:w="709" w:type="dxa"/>
          </w:tcPr>
          <w:p w14:paraId="1C83490D" w14:textId="77777777" w:rsidR="000C381C" w:rsidRPr="00F22E24" w:rsidRDefault="000C381C" w:rsidP="000A5F09">
            <w:pPr>
              <w:tabs>
                <w:tab w:val="left" w:pos="1089"/>
              </w:tabs>
              <w:jc w:val="both"/>
              <w:rPr>
                <w:rFonts w:ascii="Times New Roman" w:hAnsi="Times New Roman" w:cs="Times New Roman"/>
                <w:b/>
                <w:color w:val="000000" w:themeColor="text1"/>
                <w:sz w:val="20"/>
                <w:szCs w:val="20"/>
                <w:lang w:val="it-IT"/>
              </w:rPr>
            </w:pPr>
            <w:r w:rsidRPr="00F22E24">
              <w:rPr>
                <w:rFonts w:ascii="Times New Roman" w:hAnsi="Times New Roman" w:cs="Times New Roman"/>
                <w:b/>
                <w:color w:val="000000" w:themeColor="text1"/>
                <w:sz w:val="20"/>
                <w:szCs w:val="20"/>
                <w:lang w:val="it-IT"/>
              </w:rPr>
              <w:t>SOF/VEL</w:t>
            </w:r>
          </w:p>
        </w:tc>
        <w:tc>
          <w:tcPr>
            <w:tcW w:w="708" w:type="dxa"/>
          </w:tcPr>
          <w:p w14:paraId="73964B31" w14:textId="77777777" w:rsidR="000C381C" w:rsidRPr="00F22E24" w:rsidRDefault="000C381C" w:rsidP="000A5F09">
            <w:pPr>
              <w:tabs>
                <w:tab w:val="left" w:pos="1089"/>
              </w:tabs>
              <w:jc w:val="both"/>
              <w:rPr>
                <w:rFonts w:ascii="Times New Roman" w:hAnsi="Times New Roman" w:cs="Times New Roman"/>
                <w:b/>
                <w:color w:val="000000" w:themeColor="text1"/>
                <w:sz w:val="20"/>
                <w:szCs w:val="20"/>
                <w:lang w:val="it-IT"/>
              </w:rPr>
            </w:pPr>
            <w:r w:rsidRPr="00F22E24">
              <w:rPr>
                <w:rFonts w:ascii="Times New Roman" w:hAnsi="Times New Roman" w:cs="Times New Roman"/>
                <w:b/>
                <w:color w:val="000000" w:themeColor="text1"/>
                <w:sz w:val="20"/>
                <w:szCs w:val="20"/>
                <w:lang w:val="it-IT"/>
              </w:rPr>
              <w:t>GLE/PIB</w:t>
            </w:r>
          </w:p>
        </w:tc>
        <w:tc>
          <w:tcPr>
            <w:tcW w:w="1134" w:type="dxa"/>
          </w:tcPr>
          <w:p w14:paraId="67CF7DFA" w14:textId="77777777" w:rsidR="000C381C" w:rsidRPr="00F22E24" w:rsidRDefault="000C381C" w:rsidP="000A5F09">
            <w:pPr>
              <w:tabs>
                <w:tab w:val="left" w:pos="1089"/>
              </w:tabs>
              <w:jc w:val="both"/>
              <w:rPr>
                <w:rFonts w:ascii="Times New Roman" w:hAnsi="Times New Roman" w:cs="Times New Roman"/>
                <w:b/>
                <w:color w:val="000000" w:themeColor="text1"/>
                <w:sz w:val="20"/>
                <w:szCs w:val="20"/>
                <w:lang w:val="it-IT"/>
              </w:rPr>
            </w:pPr>
            <w:r w:rsidRPr="00F22E24">
              <w:rPr>
                <w:rFonts w:ascii="Times New Roman" w:hAnsi="Times New Roman" w:cs="Times New Roman"/>
                <w:b/>
                <w:color w:val="000000" w:themeColor="text1"/>
                <w:sz w:val="20"/>
                <w:szCs w:val="20"/>
                <w:lang w:val="it-IT"/>
              </w:rPr>
              <w:t>SOF/VEL/VOX</w:t>
            </w:r>
          </w:p>
        </w:tc>
        <w:tc>
          <w:tcPr>
            <w:tcW w:w="1276" w:type="dxa"/>
          </w:tcPr>
          <w:p w14:paraId="1E20BE4F" w14:textId="77777777" w:rsidR="000C381C" w:rsidRPr="00F22E24" w:rsidRDefault="000C381C" w:rsidP="000A5F09">
            <w:pPr>
              <w:tabs>
                <w:tab w:val="left" w:pos="1089"/>
              </w:tabs>
              <w:jc w:val="both"/>
              <w:rPr>
                <w:rFonts w:ascii="Times New Roman" w:hAnsi="Times New Roman" w:cs="Times New Roman"/>
                <w:b/>
                <w:color w:val="000000" w:themeColor="text1"/>
                <w:sz w:val="20"/>
                <w:szCs w:val="20"/>
                <w:lang w:val="it-IT"/>
              </w:rPr>
            </w:pPr>
            <w:r w:rsidRPr="00F22E24">
              <w:rPr>
                <w:rFonts w:ascii="Times New Roman" w:hAnsi="Times New Roman" w:cs="Times New Roman"/>
                <w:b/>
                <w:color w:val="000000" w:themeColor="text1"/>
                <w:sz w:val="20"/>
                <w:szCs w:val="20"/>
                <w:lang w:val="it-IT"/>
              </w:rPr>
              <w:t>SOF/LDV</w:t>
            </w:r>
          </w:p>
        </w:tc>
        <w:tc>
          <w:tcPr>
            <w:tcW w:w="1418" w:type="dxa"/>
          </w:tcPr>
          <w:p w14:paraId="6931920C" w14:textId="77777777" w:rsidR="000C381C" w:rsidRPr="00F22E24" w:rsidRDefault="000C381C" w:rsidP="000A5F09">
            <w:pPr>
              <w:tabs>
                <w:tab w:val="left" w:pos="1089"/>
              </w:tabs>
              <w:jc w:val="both"/>
              <w:rPr>
                <w:rFonts w:ascii="Times New Roman" w:hAnsi="Times New Roman" w:cs="Times New Roman"/>
                <w:b/>
                <w:color w:val="000000" w:themeColor="text1"/>
                <w:sz w:val="20"/>
                <w:szCs w:val="20"/>
                <w:lang w:val="it-IT"/>
              </w:rPr>
            </w:pPr>
            <w:r w:rsidRPr="00F22E24">
              <w:rPr>
                <w:rFonts w:ascii="Times New Roman" w:hAnsi="Times New Roman" w:cs="Times New Roman"/>
                <w:b/>
                <w:color w:val="000000" w:themeColor="text1"/>
                <w:sz w:val="20"/>
                <w:szCs w:val="20"/>
                <w:lang w:val="it-IT"/>
              </w:rPr>
              <w:t>GZR/EBR</w:t>
            </w:r>
          </w:p>
        </w:tc>
        <w:tc>
          <w:tcPr>
            <w:tcW w:w="1417" w:type="dxa"/>
          </w:tcPr>
          <w:p w14:paraId="2DBCBCCA" w14:textId="77777777" w:rsidR="000C381C" w:rsidRPr="00F22E24" w:rsidRDefault="000C381C" w:rsidP="000A5F09">
            <w:pPr>
              <w:tabs>
                <w:tab w:val="left" w:pos="1089"/>
              </w:tabs>
              <w:jc w:val="both"/>
              <w:rPr>
                <w:rFonts w:ascii="Times New Roman" w:hAnsi="Times New Roman" w:cs="Times New Roman"/>
                <w:b/>
                <w:color w:val="000000" w:themeColor="text1"/>
                <w:sz w:val="20"/>
                <w:szCs w:val="20"/>
                <w:lang w:val="it-IT"/>
              </w:rPr>
            </w:pPr>
            <w:r w:rsidRPr="00F22E24">
              <w:rPr>
                <w:rFonts w:ascii="Times New Roman" w:hAnsi="Times New Roman" w:cs="Times New Roman"/>
                <w:b/>
                <w:color w:val="000000" w:themeColor="text1"/>
                <w:sz w:val="20"/>
                <w:szCs w:val="20"/>
                <w:lang w:val="it-IT"/>
              </w:rPr>
              <w:t>OBV/PTV/r+</w:t>
            </w:r>
          </w:p>
          <w:p w14:paraId="3CA35079" w14:textId="77777777" w:rsidR="000C381C" w:rsidRPr="00F22E24" w:rsidRDefault="000C381C" w:rsidP="000A5F09">
            <w:pPr>
              <w:tabs>
                <w:tab w:val="left" w:pos="1089"/>
              </w:tabs>
              <w:jc w:val="both"/>
              <w:rPr>
                <w:rFonts w:ascii="Times New Roman" w:hAnsi="Times New Roman" w:cs="Times New Roman"/>
                <w:b/>
                <w:color w:val="000000" w:themeColor="text1"/>
                <w:sz w:val="20"/>
                <w:szCs w:val="20"/>
                <w:lang w:val="it-IT"/>
              </w:rPr>
            </w:pPr>
            <w:r w:rsidRPr="00F22E24">
              <w:rPr>
                <w:rFonts w:ascii="Times New Roman" w:hAnsi="Times New Roman" w:cs="Times New Roman"/>
                <w:b/>
                <w:color w:val="000000" w:themeColor="text1"/>
                <w:sz w:val="20"/>
                <w:szCs w:val="20"/>
                <w:lang w:val="it-IT"/>
              </w:rPr>
              <w:t>DSV</w:t>
            </w:r>
          </w:p>
        </w:tc>
      </w:tr>
      <w:tr w:rsidR="00970304" w14:paraId="2104AFEB" w14:textId="77777777" w:rsidTr="000A5F09">
        <w:tc>
          <w:tcPr>
            <w:tcW w:w="1195" w:type="dxa"/>
          </w:tcPr>
          <w:p w14:paraId="6CA226A9"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Генотип 1а</w:t>
            </w:r>
          </w:p>
        </w:tc>
        <w:tc>
          <w:tcPr>
            <w:tcW w:w="2126" w:type="dxa"/>
            <w:shd w:val="clear" w:color="auto" w:fill="FFFFFF" w:themeFill="background1"/>
          </w:tcPr>
          <w:p w14:paraId="23B20354" w14:textId="39E9A215" w:rsidR="00970304" w:rsidRPr="00F22E24" w:rsidRDefault="00652F9A"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Наївні</w:t>
            </w: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 xml:space="preserve"> </w:t>
            </w:r>
            <w:r w:rsidR="00970304" w:rsidRPr="00F22E24">
              <w:rPr>
                <w:rFonts w:ascii="Times New Roman" w:hAnsi="Times New Roman" w:cs="Times New Roman"/>
                <w:b/>
                <w:color w:val="000000" w:themeColor="text1"/>
                <w:sz w:val="20"/>
                <w:szCs w:val="20"/>
                <w:lang w:val="uk-UA"/>
              </w:rPr>
              <w:t>пацієнти</w:t>
            </w:r>
          </w:p>
        </w:tc>
        <w:tc>
          <w:tcPr>
            <w:tcW w:w="709" w:type="dxa"/>
            <w:shd w:val="clear" w:color="auto" w:fill="BDD6EE" w:themeFill="accent1" w:themeFillTint="66"/>
          </w:tcPr>
          <w:p w14:paraId="7F367093" w14:textId="790C3BAA" w:rsidR="00970304" w:rsidRPr="00970304" w:rsidRDefault="00970304" w:rsidP="00970304">
            <w:pPr>
              <w:tabs>
                <w:tab w:val="left" w:pos="1089"/>
              </w:tabs>
              <w:jc w:val="both"/>
              <w:rPr>
                <w:rFonts w:ascii="Times New Roman" w:hAnsi="Times New Roman" w:cs="Times New Roman"/>
                <w:b/>
                <w:color w:val="000000" w:themeColor="text1"/>
                <w:sz w:val="20"/>
                <w:szCs w:val="20"/>
                <w:lang w:val="it-IT"/>
              </w:rPr>
            </w:pPr>
            <w:r w:rsidRPr="004044FC">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6689A70B" w14:textId="7133A3A4"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4044FC">
              <w:rPr>
                <w:rFonts w:ascii="Times New Roman" w:hAnsi="Times New Roman" w:cs="Times New Roman"/>
                <w:b/>
                <w:color w:val="000000" w:themeColor="text1"/>
                <w:sz w:val="20"/>
                <w:szCs w:val="20"/>
                <w:lang w:val="uk-UA"/>
              </w:rPr>
              <w:t>12 тиж</w:t>
            </w:r>
          </w:p>
        </w:tc>
        <w:tc>
          <w:tcPr>
            <w:tcW w:w="1134" w:type="dxa"/>
            <w:shd w:val="clear" w:color="auto" w:fill="F244C0"/>
          </w:tcPr>
          <w:p w14:paraId="49DA43B6"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 xml:space="preserve">Ні </w:t>
            </w:r>
          </w:p>
        </w:tc>
        <w:tc>
          <w:tcPr>
            <w:tcW w:w="1276" w:type="dxa"/>
            <w:shd w:val="clear" w:color="auto" w:fill="BDD6EE" w:themeFill="accent1" w:themeFillTint="66"/>
          </w:tcPr>
          <w:p w14:paraId="55647A7A" w14:textId="4798F27D" w:rsidR="00970304" w:rsidRPr="00970304" w:rsidRDefault="00970304" w:rsidP="00970304">
            <w:pPr>
              <w:tabs>
                <w:tab w:val="left" w:pos="1089"/>
              </w:tabs>
              <w:jc w:val="both"/>
              <w:rPr>
                <w:rFonts w:ascii="Times New Roman" w:hAnsi="Times New Roman" w:cs="Times New Roman"/>
                <w:b/>
                <w:color w:val="000000" w:themeColor="text1"/>
                <w:sz w:val="20"/>
                <w:szCs w:val="20"/>
                <w:lang w:val="it-IT"/>
              </w:rPr>
            </w:pPr>
            <w:r w:rsidRPr="00F22E24">
              <w:rPr>
                <w:rFonts w:ascii="Times New Roman" w:hAnsi="Times New Roman" w:cs="Times New Roman"/>
                <w:b/>
                <w:color w:val="000000" w:themeColor="text1"/>
                <w:sz w:val="20"/>
                <w:szCs w:val="20"/>
                <w:lang w:val="uk-UA"/>
              </w:rPr>
              <w:t>12 т</w:t>
            </w:r>
            <w:r>
              <w:rPr>
                <w:rFonts w:ascii="Times New Roman" w:hAnsi="Times New Roman" w:cs="Times New Roman"/>
                <w:b/>
                <w:color w:val="000000" w:themeColor="text1"/>
                <w:sz w:val="20"/>
                <w:szCs w:val="20"/>
                <w:lang w:val="it-IT"/>
              </w:rPr>
              <w:t>иж</w:t>
            </w:r>
          </w:p>
        </w:tc>
        <w:tc>
          <w:tcPr>
            <w:tcW w:w="1418" w:type="dxa"/>
            <w:shd w:val="clear" w:color="auto" w:fill="BDD6EE" w:themeFill="accent1" w:themeFillTint="66"/>
          </w:tcPr>
          <w:p w14:paraId="0ABB809A" w14:textId="4A066178"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12 т</w:t>
            </w:r>
            <w:r>
              <w:rPr>
                <w:rFonts w:ascii="Times New Roman" w:hAnsi="Times New Roman" w:cs="Times New Roman"/>
                <w:b/>
                <w:color w:val="000000" w:themeColor="text1"/>
                <w:sz w:val="20"/>
                <w:szCs w:val="20"/>
                <w:lang w:val="uk-UA"/>
              </w:rPr>
              <w:t>иж</w:t>
            </w:r>
            <w:r w:rsidRPr="00F22E24">
              <w:rPr>
                <w:rFonts w:ascii="Times New Roman" w:hAnsi="Times New Roman" w:cs="Times New Roman"/>
                <w:b/>
                <w:color w:val="000000" w:themeColor="text1"/>
                <w:sz w:val="20"/>
                <w:szCs w:val="20"/>
                <w:lang w:val="uk-UA"/>
              </w:rPr>
              <w:t xml:space="preserve"> (РНК ВГС </w:t>
            </w:r>
            <w:r>
              <w:rPr>
                <w:rFonts w:ascii="Times New Roman" w:hAnsi="Times New Roman" w:cs="Times New Roman"/>
                <w:b/>
                <w:color w:val="000000" w:themeColor="text1"/>
                <w:sz w:val="20"/>
                <w:szCs w:val="20"/>
                <w:lang w:val="it-IT"/>
              </w:rPr>
              <w:t xml:space="preserve">≤ 800 000 </w:t>
            </w:r>
            <w:r>
              <w:rPr>
                <w:rFonts w:ascii="Times New Roman" w:hAnsi="Times New Roman" w:cs="Times New Roman"/>
                <w:b/>
                <w:color w:val="000000" w:themeColor="text1"/>
                <w:sz w:val="20"/>
                <w:szCs w:val="20"/>
                <w:lang w:val="uk-UA"/>
              </w:rPr>
              <w:t>МО/мл</w:t>
            </w:r>
          </w:p>
        </w:tc>
        <w:tc>
          <w:tcPr>
            <w:tcW w:w="1417" w:type="dxa"/>
            <w:shd w:val="clear" w:color="auto" w:fill="F244C0"/>
          </w:tcPr>
          <w:p w14:paraId="56414519"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2802F0">
              <w:rPr>
                <w:rFonts w:ascii="Times New Roman" w:hAnsi="Times New Roman" w:cs="Times New Roman"/>
                <w:b/>
                <w:color w:val="000000" w:themeColor="text1"/>
                <w:sz w:val="20"/>
                <w:szCs w:val="20"/>
                <w:lang w:val="uk-UA"/>
              </w:rPr>
              <w:t>Ні</w:t>
            </w:r>
          </w:p>
        </w:tc>
      </w:tr>
      <w:tr w:rsidR="00970304" w14:paraId="111D52F2" w14:textId="77777777" w:rsidTr="000A5F09">
        <w:tc>
          <w:tcPr>
            <w:tcW w:w="1195" w:type="dxa"/>
          </w:tcPr>
          <w:p w14:paraId="4BDD8A0F"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p>
        </w:tc>
        <w:tc>
          <w:tcPr>
            <w:tcW w:w="2126" w:type="dxa"/>
            <w:shd w:val="clear" w:color="auto" w:fill="FFFFFF" w:themeFill="background1"/>
          </w:tcPr>
          <w:p w14:paraId="0D064A6D"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З досвідом лікування</w:t>
            </w:r>
          </w:p>
        </w:tc>
        <w:tc>
          <w:tcPr>
            <w:tcW w:w="709" w:type="dxa"/>
            <w:shd w:val="clear" w:color="auto" w:fill="BDD6EE" w:themeFill="accent1" w:themeFillTint="66"/>
          </w:tcPr>
          <w:p w14:paraId="4561FD6E" w14:textId="455396CD"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4044FC">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5B4449E3" w14:textId="2A8F1068"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4044FC">
              <w:rPr>
                <w:rFonts w:ascii="Times New Roman" w:hAnsi="Times New Roman" w:cs="Times New Roman"/>
                <w:b/>
                <w:color w:val="000000" w:themeColor="text1"/>
                <w:sz w:val="20"/>
                <w:szCs w:val="20"/>
                <w:lang w:val="uk-UA"/>
              </w:rPr>
              <w:t>12 тиж</w:t>
            </w:r>
          </w:p>
        </w:tc>
        <w:tc>
          <w:tcPr>
            <w:tcW w:w="1134" w:type="dxa"/>
            <w:shd w:val="clear" w:color="auto" w:fill="F244C0"/>
          </w:tcPr>
          <w:p w14:paraId="65D37D01"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 xml:space="preserve">Ні </w:t>
            </w:r>
          </w:p>
        </w:tc>
        <w:tc>
          <w:tcPr>
            <w:tcW w:w="1276" w:type="dxa"/>
            <w:shd w:val="clear" w:color="auto" w:fill="F244C0"/>
          </w:tcPr>
          <w:p w14:paraId="7D6F6CA5"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 xml:space="preserve">Ні </w:t>
            </w:r>
          </w:p>
        </w:tc>
        <w:tc>
          <w:tcPr>
            <w:tcW w:w="1418" w:type="dxa"/>
            <w:shd w:val="clear" w:color="auto" w:fill="BDD6EE" w:themeFill="accent1" w:themeFillTint="66"/>
          </w:tcPr>
          <w:p w14:paraId="36A7FB9D" w14:textId="705A823E"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12 т</w:t>
            </w:r>
            <w:r>
              <w:rPr>
                <w:rFonts w:ascii="Times New Roman" w:hAnsi="Times New Roman" w:cs="Times New Roman"/>
                <w:b/>
                <w:color w:val="000000" w:themeColor="text1"/>
                <w:sz w:val="20"/>
                <w:szCs w:val="20"/>
                <w:lang w:val="uk-UA"/>
              </w:rPr>
              <w:t>иж</w:t>
            </w:r>
            <w:r w:rsidRPr="00F22E24">
              <w:rPr>
                <w:rFonts w:ascii="Times New Roman" w:hAnsi="Times New Roman" w:cs="Times New Roman"/>
                <w:b/>
                <w:color w:val="000000" w:themeColor="text1"/>
                <w:sz w:val="20"/>
                <w:szCs w:val="20"/>
                <w:lang w:val="uk-UA"/>
              </w:rPr>
              <w:t xml:space="preserve"> (РНК ВГС </w:t>
            </w:r>
            <w:r>
              <w:rPr>
                <w:rFonts w:ascii="Times New Roman" w:hAnsi="Times New Roman" w:cs="Times New Roman"/>
                <w:b/>
                <w:color w:val="000000" w:themeColor="text1"/>
                <w:sz w:val="20"/>
                <w:szCs w:val="20"/>
                <w:lang w:val="it-IT"/>
              </w:rPr>
              <w:t xml:space="preserve">≤ 800 000 </w:t>
            </w:r>
            <w:r>
              <w:rPr>
                <w:rFonts w:ascii="Times New Roman" w:hAnsi="Times New Roman" w:cs="Times New Roman"/>
                <w:b/>
                <w:color w:val="000000" w:themeColor="text1"/>
                <w:sz w:val="20"/>
                <w:szCs w:val="20"/>
                <w:lang w:val="uk-UA"/>
              </w:rPr>
              <w:t>МО/мл</w:t>
            </w:r>
          </w:p>
        </w:tc>
        <w:tc>
          <w:tcPr>
            <w:tcW w:w="1417" w:type="dxa"/>
            <w:shd w:val="clear" w:color="auto" w:fill="F244C0"/>
          </w:tcPr>
          <w:p w14:paraId="656C91AC"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2802F0">
              <w:rPr>
                <w:rFonts w:ascii="Times New Roman" w:hAnsi="Times New Roman" w:cs="Times New Roman"/>
                <w:b/>
                <w:color w:val="000000" w:themeColor="text1"/>
                <w:sz w:val="20"/>
                <w:szCs w:val="20"/>
                <w:lang w:val="uk-UA"/>
              </w:rPr>
              <w:t>Ні</w:t>
            </w:r>
          </w:p>
        </w:tc>
      </w:tr>
      <w:tr w:rsidR="00970304" w14:paraId="23AA8ECB" w14:textId="77777777" w:rsidTr="000A5F09">
        <w:tc>
          <w:tcPr>
            <w:tcW w:w="1195" w:type="dxa"/>
          </w:tcPr>
          <w:p w14:paraId="2D03D120"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it-IT"/>
              </w:rPr>
            </w:pPr>
            <w:r w:rsidRPr="00F22E24">
              <w:rPr>
                <w:rFonts w:ascii="Times New Roman" w:hAnsi="Times New Roman" w:cs="Times New Roman"/>
                <w:b/>
                <w:color w:val="000000" w:themeColor="text1"/>
                <w:sz w:val="20"/>
                <w:szCs w:val="20"/>
                <w:lang w:val="uk-UA"/>
              </w:rPr>
              <w:t>Генотип 1</w:t>
            </w:r>
            <w:r w:rsidRPr="00F22E24">
              <w:rPr>
                <w:rFonts w:ascii="Times New Roman" w:hAnsi="Times New Roman" w:cs="Times New Roman"/>
                <w:b/>
                <w:color w:val="000000" w:themeColor="text1"/>
                <w:sz w:val="20"/>
                <w:szCs w:val="20"/>
                <w:lang w:val="it-IT"/>
              </w:rPr>
              <w:t>b</w:t>
            </w:r>
          </w:p>
        </w:tc>
        <w:tc>
          <w:tcPr>
            <w:tcW w:w="2126" w:type="dxa"/>
            <w:shd w:val="clear" w:color="auto" w:fill="FFFFFF" w:themeFill="background1"/>
          </w:tcPr>
          <w:p w14:paraId="067A8FD8" w14:textId="1FA246FF" w:rsidR="00970304" w:rsidRPr="00F22E24" w:rsidRDefault="00652F9A"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Наївні</w:t>
            </w: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 xml:space="preserve"> </w:t>
            </w:r>
            <w:r w:rsidR="00970304" w:rsidRPr="00F22E24">
              <w:rPr>
                <w:rFonts w:ascii="Times New Roman" w:hAnsi="Times New Roman" w:cs="Times New Roman"/>
                <w:b/>
                <w:color w:val="000000" w:themeColor="text1"/>
                <w:sz w:val="20"/>
                <w:szCs w:val="20"/>
                <w:lang w:val="uk-UA"/>
              </w:rPr>
              <w:t>пацієнти</w:t>
            </w:r>
          </w:p>
        </w:tc>
        <w:tc>
          <w:tcPr>
            <w:tcW w:w="709" w:type="dxa"/>
            <w:shd w:val="clear" w:color="auto" w:fill="BDD6EE" w:themeFill="accent1" w:themeFillTint="66"/>
          </w:tcPr>
          <w:p w14:paraId="26ED156E" w14:textId="0022BCCC"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4044FC">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705BED22" w14:textId="2128A136"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4044FC">
              <w:rPr>
                <w:rFonts w:ascii="Times New Roman" w:hAnsi="Times New Roman" w:cs="Times New Roman"/>
                <w:b/>
                <w:color w:val="000000" w:themeColor="text1"/>
                <w:sz w:val="20"/>
                <w:szCs w:val="20"/>
                <w:lang w:val="uk-UA"/>
              </w:rPr>
              <w:t>12 тиж</w:t>
            </w:r>
          </w:p>
        </w:tc>
        <w:tc>
          <w:tcPr>
            <w:tcW w:w="1134" w:type="dxa"/>
            <w:shd w:val="clear" w:color="auto" w:fill="F244C0"/>
          </w:tcPr>
          <w:p w14:paraId="11A518D5"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 xml:space="preserve">Ні </w:t>
            </w:r>
          </w:p>
        </w:tc>
        <w:tc>
          <w:tcPr>
            <w:tcW w:w="1276" w:type="dxa"/>
            <w:shd w:val="clear" w:color="auto" w:fill="BDD6EE" w:themeFill="accent1" w:themeFillTint="66"/>
          </w:tcPr>
          <w:p w14:paraId="05B65104" w14:textId="26A2F7FF"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12 т</w:t>
            </w:r>
            <w:r>
              <w:rPr>
                <w:rFonts w:ascii="Times New Roman" w:hAnsi="Times New Roman" w:cs="Times New Roman"/>
                <w:b/>
                <w:color w:val="000000" w:themeColor="text1"/>
                <w:sz w:val="20"/>
                <w:szCs w:val="20"/>
                <w:lang w:val="uk-UA"/>
              </w:rPr>
              <w:t>иж</w:t>
            </w:r>
          </w:p>
        </w:tc>
        <w:tc>
          <w:tcPr>
            <w:tcW w:w="1418" w:type="dxa"/>
            <w:shd w:val="clear" w:color="auto" w:fill="BDD6EE" w:themeFill="accent1" w:themeFillTint="66"/>
          </w:tcPr>
          <w:p w14:paraId="6B0F2A59" w14:textId="073003B3"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12 тиж</w:t>
            </w:r>
          </w:p>
        </w:tc>
        <w:tc>
          <w:tcPr>
            <w:tcW w:w="1417" w:type="dxa"/>
            <w:shd w:val="clear" w:color="auto" w:fill="BDD6EE" w:themeFill="accent1" w:themeFillTint="66"/>
          </w:tcPr>
          <w:p w14:paraId="7301B5DB" w14:textId="264A7641"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it-IT"/>
              </w:rPr>
              <w:t xml:space="preserve">12 </w:t>
            </w:r>
            <w:r>
              <w:rPr>
                <w:rFonts w:ascii="Times New Roman" w:hAnsi="Times New Roman" w:cs="Times New Roman"/>
                <w:b/>
                <w:color w:val="000000" w:themeColor="text1"/>
                <w:sz w:val="20"/>
                <w:szCs w:val="20"/>
                <w:lang w:val="uk-UA"/>
              </w:rPr>
              <w:t>тиж</w:t>
            </w:r>
          </w:p>
        </w:tc>
      </w:tr>
      <w:tr w:rsidR="00970304" w14:paraId="4BF4F004" w14:textId="77777777" w:rsidTr="000A5F09">
        <w:tc>
          <w:tcPr>
            <w:tcW w:w="1195" w:type="dxa"/>
          </w:tcPr>
          <w:p w14:paraId="6134BB84"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p>
        </w:tc>
        <w:tc>
          <w:tcPr>
            <w:tcW w:w="2126" w:type="dxa"/>
            <w:shd w:val="clear" w:color="auto" w:fill="FFFFFF" w:themeFill="background1"/>
          </w:tcPr>
          <w:p w14:paraId="3F0A9284"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З досвідом лікування</w:t>
            </w:r>
          </w:p>
        </w:tc>
        <w:tc>
          <w:tcPr>
            <w:tcW w:w="709" w:type="dxa"/>
            <w:shd w:val="clear" w:color="auto" w:fill="BDD6EE" w:themeFill="accent1" w:themeFillTint="66"/>
          </w:tcPr>
          <w:p w14:paraId="13A3AA72" w14:textId="6C55C034"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4044FC">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08CE9EC0" w14:textId="2F5B28B1"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4044FC">
              <w:rPr>
                <w:rFonts w:ascii="Times New Roman" w:hAnsi="Times New Roman" w:cs="Times New Roman"/>
                <w:b/>
                <w:color w:val="000000" w:themeColor="text1"/>
                <w:sz w:val="20"/>
                <w:szCs w:val="20"/>
                <w:lang w:val="uk-UA"/>
              </w:rPr>
              <w:t>12 тиж</w:t>
            </w:r>
          </w:p>
        </w:tc>
        <w:tc>
          <w:tcPr>
            <w:tcW w:w="1134" w:type="dxa"/>
            <w:shd w:val="clear" w:color="auto" w:fill="F244C0"/>
          </w:tcPr>
          <w:p w14:paraId="79ACDC3A"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 xml:space="preserve">Ні </w:t>
            </w:r>
          </w:p>
        </w:tc>
        <w:tc>
          <w:tcPr>
            <w:tcW w:w="1276" w:type="dxa"/>
            <w:shd w:val="clear" w:color="auto" w:fill="BDD6EE" w:themeFill="accent1" w:themeFillTint="66"/>
          </w:tcPr>
          <w:p w14:paraId="77898AEA" w14:textId="06C812A6"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12 т</w:t>
            </w:r>
            <w:r>
              <w:rPr>
                <w:rFonts w:ascii="Times New Roman" w:hAnsi="Times New Roman" w:cs="Times New Roman"/>
                <w:b/>
                <w:color w:val="000000" w:themeColor="text1"/>
                <w:sz w:val="20"/>
                <w:szCs w:val="20"/>
                <w:lang w:val="uk-UA"/>
              </w:rPr>
              <w:t>иж</w:t>
            </w:r>
          </w:p>
        </w:tc>
        <w:tc>
          <w:tcPr>
            <w:tcW w:w="1418" w:type="dxa"/>
            <w:shd w:val="clear" w:color="auto" w:fill="BDD6EE" w:themeFill="accent1" w:themeFillTint="66"/>
          </w:tcPr>
          <w:p w14:paraId="72A317EF" w14:textId="7B1332CA"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1</w:t>
            </w:r>
            <w:r>
              <w:rPr>
                <w:rFonts w:ascii="Times New Roman" w:hAnsi="Times New Roman" w:cs="Times New Roman"/>
                <w:b/>
                <w:color w:val="000000" w:themeColor="text1"/>
                <w:sz w:val="20"/>
                <w:szCs w:val="20"/>
                <w:lang w:val="it-IT"/>
              </w:rPr>
              <w:t xml:space="preserve">2 </w:t>
            </w:r>
            <w:r>
              <w:rPr>
                <w:rFonts w:ascii="Times New Roman" w:hAnsi="Times New Roman" w:cs="Times New Roman"/>
                <w:b/>
                <w:color w:val="000000" w:themeColor="text1"/>
                <w:sz w:val="20"/>
                <w:szCs w:val="20"/>
                <w:lang w:val="uk-UA"/>
              </w:rPr>
              <w:t>тиж</w:t>
            </w:r>
          </w:p>
        </w:tc>
        <w:tc>
          <w:tcPr>
            <w:tcW w:w="1417" w:type="dxa"/>
            <w:shd w:val="clear" w:color="auto" w:fill="BDD6EE" w:themeFill="accent1" w:themeFillTint="66"/>
          </w:tcPr>
          <w:p w14:paraId="75DA1F70" w14:textId="48CAFB3E"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it-IT"/>
              </w:rPr>
              <w:t xml:space="preserve">12 </w:t>
            </w:r>
            <w:r>
              <w:rPr>
                <w:rFonts w:ascii="Times New Roman" w:hAnsi="Times New Roman" w:cs="Times New Roman"/>
                <w:b/>
                <w:color w:val="000000" w:themeColor="text1"/>
                <w:sz w:val="20"/>
                <w:szCs w:val="20"/>
                <w:lang w:val="uk-UA"/>
              </w:rPr>
              <w:t>тиж</w:t>
            </w:r>
          </w:p>
        </w:tc>
      </w:tr>
      <w:tr w:rsidR="00970304" w14:paraId="2944F4BF" w14:textId="77777777" w:rsidTr="000A5F09">
        <w:tc>
          <w:tcPr>
            <w:tcW w:w="1195" w:type="dxa"/>
          </w:tcPr>
          <w:p w14:paraId="0EA8ABB0"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it-IT"/>
              </w:rPr>
            </w:pPr>
            <w:r w:rsidRPr="00F22E24">
              <w:rPr>
                <w:rFonts w:ascii="Times New Roman" w:hAnsi="Times New Roman" w:cs="Times New Roman"/>
                <w:b/>
                <w:color w:val="000000" w:themeColor="text1"/>
                <w:sz w:val="20"/>
                <w:szCs w:val="20"/>
                <w:lang w:val="uk-UA"/>
              </w:rPr>
              <w:t>Генотип</w:t>
            </w:r>
            <w:r w:rsidRPr="00F22E24">
              <w:rPr>
                <w:rFonts w:ascii="Times New Roman" w:hAnsi="Times New Roman" w:cs="Times New Roman"/>
                <w:b/>
                <w:color w:val="000000" w:themeColor="text1"/>
                <w:sz w:val="20"/>
                <w:szCs w:val="20"/>
                <w:lang w:val="it-IT"/>
              </w:rPr>
              <w:t xml:space="preserve"> 2</w:t>
            </w:r>
          </w:p>
        </w:tc>
        <w:tc>
          <w:tcPr>
            <w:tcW w:w="2126" w:type="dxa"/>
            <w:shd w:val="clear" w:color="auto" w:fill="FFFFFF" w:themeFill="background1"/>
          </w:tcPr>
          <w:p w14:paraId="77CF376E" w14:textId="6C3D415B" w:rsidR="00970304" w:rsidRPr="00F22E24" w:rsidRDefault="00652F9A"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Наївні</w:t>
            </w: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 xml:space="preserve"> </w:t>
            </w:r>
            <w:r w:rsidR="00970304" w:rsidRPr="00F22E24">
              <w:rPr>
                <w:rFonts w:ascii="Times New Roman" w:hAnsi="Times New Roman" w:cs="Times New Roman"/>
                <w:b/>
                <w:color w:val="000000" w:themeColor="text1"/>
                <w:sz w:val="20"/>
                <w:szCs w:val="20"/>
                <w:lang w:val="uk-UA"/>
              </w:rPr>
              <w:t>пацієнти</w:t>
            </w:r>
          </w:p>
        </w:tc>
        <w:tc>
          <w:tcPr>
            <w:tcW w:w="709" w:type="dxa"/>
            <w:shd w:val="clear" w:color="auto" w:fill="BDD6EE" w:themeFill="accent1" w:themeFillTint="66"/>
          </w:tcPr>
          <w:p w14:paraId="638E7583" w14:textId="23B4A1FC"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4044FC">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6B3F1AD9" w14:textId="2355E34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4044FC">
              <w:rPr>
                <w:rFonts w:ascii="Times New Roman" w:hAnsi="Times New Roman" w:cs="Times New Roman"/>
                <w:b/>
                <w:color w:val="000000" w:themeColor="text1"/>
                <w:sz w:val="20"/>
                <w:szCs w:val="20"/>
                <w:lang w:val="uk-UA"/>
              </w:rPr>
              <w:t>12 тиж</w:t>
            </w:r>
          </w:p>
        </w:tc>
        <w:tc>
          <w:tcPr>
            <w:tcW w:w="1134" w:type="dxa"/>
            <w:shd w:val="clear" w:color="auto" w:fill="F244C0"/>
          </w:tcPr>
          <w:p w14:paraId="6EF5E520"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 xml:space="preserve">Ні </w:t>
            </w:r>
          </w:p>
        </w:tc>
        <w:tc>
          <w:tcPr>
            <w:tcW w:w="1276" w:type="dxa"/>
            <w:shd w:val="clear" w:color="auto" w:fill="F244C0"/>
          </w:tcPr>
          <w:p w14:paraId="6A63E4D9"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Ні</w:t>
            </w:r>
          </w:p>
        </w:tc>
        <w:tc>
          <w:tcPr>
            <w:tcW w:w="1418" w:type="dxa"/>
            <w:shd w:val="clear" w:color="auto" w:fill="F244C0"/>
          </w:tcPr>
          <w:p w14:paraId="154F4C26"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 xml:space="preserve">Ні </w:t>
            </w:r>
          </w:p>
        </w:tc>
        <w:tc>
          <w:tcPr>
            <w:tcW w:w="1417" w:type="dxa"/>
            <w:shd w:val="clear" w:color="auto" w:fill="F244C0"/>
          </w:tcPr>
          <w:p w14:paraId="1E291630"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 xml:space="preserve">Ні </w:t>
            </w:r>
          </w:p>
        </w:tc>
      </w:tr>
      <w:tr w:rsidR="00970304" w14:paraId="32C7504D" w14:textId="77777777" w:rsidTr="000A5F09">
        <w:tc>
          <w:tcPr>
            <w:tcW w:w="1195" w:type="dxa"/>
          </w:tcPr>
          <w:p w14:paraId="556E1DE6"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p>
        </w:tc>
        <w:tc>
          <w:tcPr>
            <w:tcW w:w="2126" w:type="dxa"/>
            <w:shd w:val="clear" w:color="auto" w:fill="FFFFFF" w:themeFill="background1"/>
          </w:tcPr>
          <w:p w14:paraId="7C7DEA93"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З досвідом лікування</w:t>
            </w:r>
          </w:p>
        </w:tc>
        <w:tc>
          <w:tcPr>
            <w:tcW w:w="709" w:type="dxa"/>
            <w:shd w:val="clear" w:color="auto" w:fill="BDD6EE" w:themeFill="accent1" w:themeFillTint="66"/>
          </w:tcPr>
          <w:p w14:paraId="059D0A6F" w14:textId="007F5088"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4044FC">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74A5EFB4" w14:textId="71CEED34"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4044FC">
              <w:rPr>
                <w:rFonts w:ascii="Times New Roman" w:hAnsi="Times New Roman" w:cs="Times New Roman"/>
                <w:b/>
                <w:color w:val="000000" w:themeColor="text1"/>
                <w:sz w:val="20"/>
                <w:szCs w:val="20"/>
                <w:lang w:val="uk-UA"/>
              </w:rPr>
              <w:t>12 тиж</w:t>
            </w:r>
          </w:p>
        </w:tc>
        <w:tc>
          <w:tcPr>
            <w:tcW w:w="1134" w:type="dxa"/>
            <w:shd w:val="clear" w:color="auto" w:fill="F244C0"/>
          </w:tcPr>
          <w:p w14:paraId="1CE9D31D"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 xml:space="preserve">Ні </w:t>
            </w:r>
          </w:p>
        </w:tc>
        <w:tc>
          <w:tcPr>
            <w:tcW w:w="1276" w:type="dxa"/>
            <w:shd w:val="clear" w:color="auto" w:fill="F244C0"/>
          </w:tcPr>
          <w:p w14:paraId="5154C9CA"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Ні</w:t>
            </w:r>
          </w:p>
        </w:tc>
        <w:tc>
          <w:tcPr>
            <w:tcW w:w="1418" w:type="dxa"/>
            <w:shd w:val="clear" w:color="auto" w:fill="F244C0"/>
          </w:tcPr>
          <w:p w14:paraId="3CCE2472"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 xml:space="preserve">Ні </w:t>
            </w:r>
          </w:p>
        </w:tc>
        <w:tc>
          <w:tcPr>
            <w:tcW w:w="1417" w:type="dxa"/>
            <w:shd w:val="clear" w:color="auto" w:fill="F244C0"/>
          </w:tcPr>
          <w:p w14:paraId="4B590FFE"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 xml:space="preserve">Ні </w:t>
            </w:r>
          </w:p>
        </w:tc>
      </w:tr>
      <w:tr w:rsidR="000C381C" w14:paraId="2FED6E8B" w14:textId="77777777" w:rsidTr="00D005A1">
        <w:tc>
          <w:tcPr>
            <w:tcW w:w="1195" w:type="dxa"/>
          </w:tcPr>
          <w:p w14:paraId="23606953" w14:textId="77777777" w:rsidR="000C381C" w:rsidRPr="00F22E24" w:rsidRDefault="000C381C" w:rsidP="000C381C">
            <w:pPr>
              <w:tabs>
                <w:tab w:val="left" w:pos="1089"/>
              </w:tabs>
              <w:jc w:val="both"/>
              <w:rPr>
                <w:rFonts w:ascii="Times New Roman" w:hAnsi="Times New Roman" w:cs="Times New Roman"/>
                <w:b/>
                <w:color w:val="000000" w:themeColor="text1"/>
                <w:sz w:val="20"/>
                <w:szCs w:val="20"/>
                <w:lang w:val="it-IT"/>
              </w:rPr>
            </w:pPr>
            <w:r w:rsidRPr="00F22E24">
              <w:rPr>
                <w:rFonts w:ascii="Times New Roman" w:hAnsi="Times New Roman" w:cs="Times New Roman"/>
                <w:b/>
                <w:color w:val="000000" w:themeColor="text1"/>
                <w:sz w:val="20"/>
                <w:szCs w:val="20"/>
                <w:lang w:val="uk-UA"/>
              </w:rPr>
              <w:t>Генотип</w:t>
            </w:r>
            <w:r w:rsidRPr="00F22E24">
              <w:rPr>
                <w:rFonts w:ascii="Times New Roman" w:hAnsi="Times New Roman" w:cs="Times New Roman"/>
                <w:b/>
                <w:color w:val="000000" w:themeColor="text1"/>
                <w:sz w:val="20"/>
                <w:szCs w:val="20"/>
                <w:lang w:val="it-IT"/>
              </w:rPr>
              <w:t xml:space="preserve"> 3</w:t>
            </w:r>
          </w:p>
        </w:tc>
        <w:tc>
          <w:tcPr>
            <w:tcW w:w="2126" w:type="dxa"/>
            <w:shd w:val="clear" w:color="auto" w:fill="FFFFFF" w:themeFill="background1"/>
          </w:tcPr>
          <w:p w14:paraId="44B55657" w14:textId="1A562FBF" w:rsidR="000C381C" w:rsidRPr="00F22E24" w:rsidRDefault="00652F9A" w:rsidP="000C381C">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Наївні</w:t>
            </w: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 xml:space="preserve"> </w:t>
            </w:r>
            <w:r w:rsidR="000C381C" w:rsidRPr="00F22E24">
              <w:rPr>
                <w:rFonts w:ascii="Times New Roman" w:hAnsi="Times New Roman" w:cs="Times New Roman"/>
                <w:b/>
                <w:color w:val="000000" w:themeColor="text1"/>
                <w:sz w:val="20"/>
                <w:szCs w:val="20"/>
                <w:lang w:val="uk-UA"/>
              </w:rPr>
              <w:t>пацієнти</w:t>
            </w:r>
          </w:p>
        </w:tc>
        <w:tc>
          <w:tcPr>
            <w:tcW w:w="709" w:type="dxa"/>
            <w:shd w:val="clear" w:color="auto" w:fill="F244C0"/>
          </w:tcPr>
          <w:p w14:paraId="7BBE227D" w14:textId="1F16F411" w:rsidR="000C381C" w:rsidRPr="00F22E24" w:rsidRDefault="000C381C" w:rsidP="000C381C">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Ні</w:t>
            </w:r>
          </w:p>
        </w:tc>
        <w:tc>
          <w:tcPr>
            <w:tcW w:w="708" w:type="dxa"/>
            <w:shd w:val="clear" w:color="auto" w:fill="BDD6EE" w:themeFill="accent1" w:themeFillTint="66"/>
          </w:tcPr>
          <w:p w14:paraId="483E2246" w14:textId="4B01BBB6" w:rsidR="000C381C" w:rsidRPr="00F22E24" w:rsidRDefault="000C381C" w:rsidP="000C381C">
            <w:pPr>
              <w:tabs>
                <w:tab w:val="left" w:pos="1089"/>
              </w:tabs>
              <w:jc w:val="both"/>
              <w:rPr>
                <w:rFonts w:ascii="Times New Roman" w:hAnsi="Times New Roman" w:cs="Times New Roman"/>
                <w:b/>
                <w:color w:val="000000" w:themeColor="text1"/>
                <w:sz w:val="20"/>
                <w:szCs w:val="20"/>
                <w:lang w:val="uk-UA"/>
              </w:rPr>
            </w:pPr>
            <w:r w:rsidRPr="00144C99">
              <w:rPr>
                <w:rFonts w:ascii="Times New Roman" w:hAnsi="Times New Roman" w:cs="Times New Roman"/>
                <w:b/>
                <w:color w:val="000000" w:themeColor="text1"/>
                <w:sz w:val="20"/>
                <w:szCs w:val="20"/>
                <w:lang w:val="uk-UA"/>
              </w:rPr>
              <w:t>12 т</w:t>
            </w:r>
            <w:r w:rsidR="00970304">
              <w:rPr>
                <w:rFonts w:ascii="Times New Roman" w:hAnsi="Times New Roman" w:cs="Times New Roman"/>
                <w:b/>
                <w:color w:val="000000" w:themeColor="text1"/>
                <w:sz w:val="20"/>
                <w:szCs w:val="20"/>
                <w:lang w:val="uk-UA"/>
              </w:rPr>
              <w:t>иж</w:t>
            </w:r>
          </w:p>
        </w:tc>
        <w:tc>
          <w:tcPr>
            <w:tcW w:w="1134" w:type="dxa"/>
            <w:shd w:val="clear" w:color="auto" w:fill="BDD6EE" w:themeFill="accent1" w:themeFillTint="66"/>
          </w:tcPr>
          <w:p w14:paraId="12B5C3DB" w14:textId="48A66E3E" w:rsidR="000C381C" w:rsidRPr="00F22E24" w:rsidRDefault="000C381C" w:rsidP="000C381C">
            <w:pPr>
              <w:tabs>
                <w:tab w:val="left" w:pos="1089"/>
              </w:tabs>
              <w:jc w:val="both"/>
              <w:rPr>
                <w:rFonts w:ascii="Times New Roman" w:hAnsi="Times New Roman" w:cs="Times New Roman"/>
                <w:b/>
                <w:color w:val="000000" w:themeColor="text1"/>
                <w:sz w:val="20"/>
                <w:szCs w:val="20"/>
                <w:lang w:val="it-IT"/>
              </w:rPr>
            </w:pPr>
            <w:r>
              <w:rPr>
                <w:rFonts w:ascii="Times New Roman" w:hAnsi="Times New Roman" w:cs="Times New Roman"/>
                <w:b/>
                <w:color w:val="000000" w:themeColor="text1"/>
                <w:sz w:val="20"/>
                <w:szCs w:val="20"/>
                <w:lang w:val="uk-UA"/>
              </w:rPr>
              <w:t>12 т</w:t>
            </w:r>
            <w:r w:rsidR="00970304">
              <w:rPr>
                <w:rFonts w:ascii="Times New Roman" w:hAnsi="Times New Roman" w:cs="Times New Roman"/>
                <w:b/>
                <w:color w:val="000000" w:themeColor="text1"/>
                <w:sz w:val="20"/>
                <w:szCs w:val="20"/>
                <w:lang w:val="uk-UA"/>
              </w:rPr>
              <w:t>иж</w:t>
            </w:r>
          </w:p>
        </w:tc>
        <w:tc>
          <w:tcPr>
            <w:tcW w:w="1276" w:type="dxa"/>
            <w:shd w:val="clear" w:color="auto" w:fill="F244C0"/>
          </w:tcPr>
          <w:p w14:paraId="622755AA" w14:textId="77777777" w:rsidR="000C381C" w:rsidRPr="00F22E24" w:rsidRDefault="000C381C" w:rsidP="000C381C">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Ні</w:t>
            </w:r>
          </w:p>
        </w:tc>
        <w:tc>
          <w:tcPr>
            <w:tcW w:w="1418" w:type="dxa"/>
            <w:shd w:val="clear" w:color="auto" w:fill="F244C0"/>
          </w:tcPr>
          <w:p w14:paraId="1A0E41F0" w14:textId="77777777" w:rsidR="000C381C" w:rsidRPr="00F22E24" w:rsidRDefault="000C381C" w:rsidP="000C381C">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 xml:space="preserve">Ні </w:t>
            </w:r>
          </w:p>
        </w:tc>
        <w:tc>
          <w:tcPr>
            <w:tcW w:w="1417" w:type="dxa"/>
            <w:shd w:val="clear" w:color="auto" w:fill="F244C0"/>
          </w:tcPr>
          <w:p w14:paraId="30044C3C" w14:textId="77777777" w:rsidR="000C381C" w:rsidRPr="00F22E24" w:rsidRDefault="000C381C" w:rsidP="000C381C">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 xml:space="preserve">Ні </w:t>
            </w:r>
          </w:p>
        </w:tc>
      </w:tr>
      <w:tr w:rsidR="000C381C" w14:paraId="089742F1" w14:textId="77777777" w:rsidTr="00D005A1">
        <w:tc>
          <w:tcPr>
            <w:tcW w:w="1195" w:type="dxa"/>
          </w:tcPr>
          <w:p w14:paraId="42B68EAE" w14:textId="77777777" w:rsidR="000C381C" w:rsidRPr="00F22E24" w:rsidRDefault="000C381C" w:rsidP="000C381C">
            <w:pPr>
              <w:tabs>
                <w:tab w:val="left" w:pos="1089"/>
              </w:tabs>
              <w:jc w:val="both"/>
              <w:rPr>
                <w:rFonts w:ascii="Times New Roman" w:hAnsi="Times New Roman" w:cs="Times New Roman"/>
                <w:b/>
                <w:color w:val="000000" w:themeColor="text1"/>
                <w:sz w:val="20"/>
                <w:szCs w:val="20"/>
                <w:lang w:val="uk-UA"/>
              </w:rPr>
            </w:pPr>
          </w:p>
        </w:tc>
        <w:tc>
          <w:tcPr>
            <w:tcW w:w="2126" w:type="dxa"/>
            <w:shd w:val="clear" w:color="auto" w:fill="FFFFFF" w:themeFill="background1"/>
          </w:tcPr>
          <w:p w14:paraId="708C8E49" w14:textId="77777777" w:rsidR="000C381C" w:rsidRPr="00F22E24" w:rsidRDefault="000C381C" w:rsidP="000C381C">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З досвідом лікування</w:t>
            </w:r>
          </w:p>
        </w:tc>
        <w:tc>
          <w:tcPr>
            <w:tcW w:w="709" w:type="dxa"/>
            <w:shd w:val="clear" w:color="auto" w:fill="F244C0"/>
          </w:tcPr>
          <w:p w14:paraId="5B3B87FF" w14:textId="1D15F22B" w:rsidR="000C381C" w:rsidRPr="00F22E24" w:rsidRDefault="000C381C" w:rsidP="000C381C">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Ні</w:t>
            </w:r>
          </w:p>
        </w:tc>
        <w:tc>
          <w:tcPr>
            <w:tcW w:w="708" w:type="dxa"/>
            <w:shd w:val="clear" w:color="auto" w:fill="BDD6EE" w:themeFill="accent1" w:themeFillTint="66"/>
          </w:tcPr>
          <w:p w14:paraId="15DD16AF" w14:textId="63AD6A9F" w:rsidR="000C381C" w:rsidRPr="00F22E24" w:rsidRDefault="000C381C" w:rsidP="000C381C">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16</w:t>
            </w:r>
            <w:r w:rsidRPr="00144C99">
              <w:rPr>
                <w:rFonts w:ascii="Times New Roman" w:hAnsi="Times New Roman" w:cs="Times New Roman"/>
                <w:b/>
                <w:color w:val="000000" w:themeColor="text1"/>
                <w:sz w:val="20"/>
                <w:szCs w:val="20"/>
                <w:lang w:val="uk-UA"/>
              </w:rPr>
              <w:t xml:space="preserve"> т</w:t>
            </w:r>
          </w:p>
        </w:tc>
        <w:tc>
          <w:tcPr>
            <w:tcW w:w="1134" w:type="dxa"/>
            <w:shd w:val="clear" w:color="auto" w:fill="BDD6EE" w:themeFill="accent1" w:themeFillTint="66"/>
          </w:tcPr>
          <w:p w14:paraId="5DBBF144" w14:textId="6652D6B4" w:rsidR="000C381C" w:rsidRPr="00F22E24" w:rsidRDefault="000C381C" w:rsidP="000C381C">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12 т</w:t>
            </w:r>
            <w:r w:rsidR="00970304">
              <w:rPr>
                <w:rFonts w:ascii="Times New Roman" w:hAnsi="Times New Roman" w:cs="Times New Roman"/>
                <w:b/>
                <w:color w:val="000000" w:themeColor="text1"/>
                <w:sz w:val="20"/>
                <w:szCs w:val="20"/>
                <w:lang w:val="uk-UA"/>
              </w:rPr>
              <w:t>иж</w:t>
            </w:r>
          </w:p>
        </w:tc>
        <w:tc>
          <w:tcPr>
            <w:tcW w:w="1276" w:type="dxa"/>
            <w:shd w:val="clear" w:color="auto" w:fill="F244C0"/>
          </w:tcPr>
          <w:p w14:paraId="0E23B8AA" w14:textId="77777777" w:rsidR="000C381C" w:rsidRPr="00F22E24" w:rsidRDefault="000C381C" w:rsidP="000C381C">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Ні</w:t>
            </w:r>
          </w:p>
        </w:tc>
        <w:tc>
          <w:tcPr>
            <w:tcW w:w="1418" w:type="dxa"/>
            <w:shd w:val="clear" w:color="auto" w:fill="F244C0"/>
          </w:tcPr>
          <w:p w14:paraId="0B700802" w14:textId="77777777" w:rsidR="000C381C" w:rsidRPr="00F22E24" w:rsidRDefault="000C381C" w:rsidP="000C381C">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 xml:space="preserve">Ні </w:t>
            </w:r>
          </w:p>
        </w:tc>
        <w:tc>
          <w:tcPr>
            <w:tcW w:w="1417" w:type="dxa"/>
            <w:shd w:val="clear" w:color="auto" w:fill="F244C0"/>
          </w:tcPr>
          <w:p w14:paraId="63EFFBAF" w14:textId="77777777" w:rsidR="000C381C" w:rsidRPr="00F22E24" w:rsidRDefault="000C381C" w:rsidP="000C381C">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 xml:space="preserve">Ні </w:t>
            </w:r>
          </w:p>
        </w:tc>
      </w:tr>
      <w:tr w:rsidR="00970304" w14:paraId="5847CC48" w14:textId="77777777" w:rsidTr="000A5F09">
        <w:tc>
          <w:tcPr>
            <w:tcW w:w="1195" w:type="dxa"/>
          </w:tcPr>
          <w:p w14:paraId="2DEFCD47"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it-IT"/>
              </w:rPr>
            </w:pPr>
            <w:r w:rsidRPr="00F22E24">
              <w:rPr>
                <w:rFonts w:ascii="Times New Roman" w:hAnsi="Times New Roman" w:cs="Times New Roman"/>
                <w:b/>
                <w:color w:val="000000" w:themeColor="text1"/>
                <w:sz w:val="20"/>
                <w:szCs w:val="20"/>
                <w:lang w:val="uk-UA"/>
              </w:rPr>
              <w:t>Генотип</w:t>
            </w:r>
            <w:r w:rsidRPr="00F22E24">
              <w:rPr>
                <w:rFonts w:ascii="Times New Roman" w:hAnsi="Times New Roman" w:cs="Times New Roman"/>
                <w:b/>
                <w:color w:val="000000" w:themeColor="text1"/>
                <w:sz w:val="20"/>
                <w:szCs w:val="20"/>
                <w:lang w:val="it-IT"/>
              </w:rPr>
              <w:t xml:space="preserve"> 4</w:t>
            </w:r>
          </w:p>
        </w:tc>
        <w:tc>
          <w:tcPr>
            <w:tcW w:w="2126" w:type="dxa"/>
            <w:shd w:val="clear" w:color="auto" w:fill="FFFFFF" w:themeFill="background1"/>
          </w:tcPr>
          <w:p w14:paraId="63A2D955" w14:textId="7D979FFA" w:rsidR="00970304" w:rsidRPr="00F22E24" w:rsidRDefault="00652F9A"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Наївні</w:t>
            </w: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 xml:space="preserve"> </w:t>
            </w:r>
            <w:r w:rsidR="00970304" w:rsidRPr="00F22E24">
              <w:rPr>
                <w:rFonts w:ascii="Times New Roman" w:hAnsi="Times New Roman" w:cs="Times New Roman"/>
                <w:b/>
                <w:color w:val="000000" w:themeColor="text1"/>
                <w:sz w:val="20"/>
                <w:szCs w:val="20"/>
                <w:lang w:val="uk-UA"/>
              </w:rPr>
              <w:t>пацієнти</w:t>
            </w:r>
          </w:p>
        </w:tc>
        <w:tc>
          <w:tcPr>
            <w:tcW w:w="709" w:type="dxa"/>
            <w:shd w:val="clear" w:color="auto" w:fill="BDD6EE" w:themeFill="accent1" w:themeFillTint="66"/>
          </w:tcPr>
          <w:p w14:paraId="79788916" w14:textId="72655584"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EF7EE9">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203010D2" w14:textId="71069046"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EF7EE9">
              <w:rPr>
                <w:rFonts w:ascii="Times New Roman" w:hAnsi="Times New Roman" w:cs="Times New Roman"/>
                <w:b/>
                <w:color w:val="000000" w:themeColor="text1"/>
                <w:sz w:val="20"/>
                <w:szCs w:val="20"/>
                <w:lang w:val="uk-UA"/>
              </w:rPr>
              <w:t>12 тиж</w:t>
            </w:r>
          </w:p>
        </w:tc>
        <w:tc>
          <w:tcPr>
            <w:tcW w:w="1134" w:type="dxa"/>
            <w:shd w:val="clear" w:color="auto" w:fill="F244C0"/>
          </w:tcPr>
          <w:p w14:paraId="6F021DA1"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 xml:space="preserve">Ні </w:t>
            </w:r>
          </w:p>
        </w:tc>
        <w:tc>
          <w:tcPr>
            <w:tcW w:w="1276" w:type="dxa"/>
            <w:shd w:val="clear" w:color="auto" w:fill="BDD6EE" w:themeFill="accent1" w:themeFillTint="66"/>
          </w:tcPr>
          <w:p w14:paraId="3F37A56C" w14:textId="5791BDED"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12 т</w:t>
            </w:r>
            <w:r>
              <w:rPr>
                <w:rFonts w:ascii="Times New Roman" w:hAnsi="Times New Roman" w:cs="Times New Roman"/>
                <w:b/>
                <w:color w:val="000000" w:themeColor="text1"/>
                <w:sz w:val="20"/>
                <w:szCs w:val="20"/>
                <w:lang w:val="uk-UA"/>
              </w:rPr>
              <w:t>иж</w:t>
            </w:r>
          </w:p>
        </w:tc>
        <w:tc>
          <w:tcPr>
            <w:tcW w:w="1418" w:type="dxa"/>
            <w:shd w:val="clear" w:color="auto" w:fill="BDD6EE" w:themeFill="accent1" w:themeFillTint="66"/>
          </w:tcPr>
          <w:p w14:paraId="54D1E47E" w14:textId="78AB68DE"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12 т</w:t>
            </w:r>
            <w:r>
              <w:rPr>
                <w:rFonts w:ascii="Times New Roman" w:hAnsi="Times New Roman" w:cs="Times New Roman"/>
                <w:b/>
                <w:color w:val="000000" w:themeColor="text1"/>
                <w:sz w:val="20"/>
                <w:szCs w:val="20"/>
                <w:lang w:val="uk-UA"/>
              </w:rPr>
              <w:t>иж</w:t>
            </w:r>
            <w:r w:rsidRPr="00F22E24">
              <w:rPr>
                <w:rFonts w:ascii="Times New Roman" w:hAnsi="Times New Roman" w:cs="Times New Roman"/>
                <w:b/>
                <w:color w:val="000000" w:themeColor="text1"/>
                <w:sz w:val="20"/>
                <w:szCs w:val="20"/>
                <w:lang w:val="uk-UA"/>
              </w:rPr>
              <w:t xml:space="preserve"> (РНК ВГС </w:t>
            </w:r>
            <w:r>
              <w:rPr>
                <w:rFonts w:ascii="Times New Roman" w:hAnsi="Times New Roman" w:cs="Times New Roman"/>
                <w:b/>
                <w:color w:val="000000" w:themeColor="text1"/>
                <w:sz w:val="20"/>
                <w:szCs w:val="20"/>
                <w:lang w:val="it-IT"/>
              </w:rPr>
              <w:t xml:space="preserve">≤ 800 000 </w:t>
            </w:r>
            <w:r>
              <w:rPr>
                <w:rFonts w:ascii="Times New Roman" w:hAnsi="Times New Roman" w:cs="Times New Roman"/>
                <w:b/>
                <w:color w:val="000000" w:themeColor="text1"/>
                <w:sz w:val="20"/>
                <w:szCs w:val="20"/>
                <w:lang w:val="uk-UA"/>
              </w:rPr>
              <w:t>МО/мл</w:t>
            </w:r>
          </w:p>
        </w:tc>
        <w:tc>
          <w:tcPr>
            <w:tcW w:w="1417" w:type="dxa"/>
            <w:shd w:val="clear" w:color="auto" w:fill="F244C0"/>
          </w:tcPr>
          <w:p w14:paraId="1337A1D3"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20076E">
              <w:rPr>
                <w:rFonts w:ascii="Times New Roman" w:hAnsi="Times New Roman" w:cs="Times New Roman"/>
                <w:b/>
                <w:color w:val="000000" w:themeColor="text1"/>
                <w:sz w:val="20"/>
                <w:szCs w:val="20"/>
                <w:lang w:val="uk-UA"/>
              </w:rPr>
              <w:t>Ні</w:t>
            </w:r>
          </w:p>
        </w:tc>
      </w:tr>
      <w:tr w:rsidR="00970304" w14:paraId="492212E8" w14:textId="77777777" w:rsidTr="000A5F09">
        <w:tc>
          <w:tcPr>
            <w:tcW w:w="1195" w:type="dxa"/>
          </w:tcPr>
          <w:p w14:paraId="5574BB93"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p>
        </w:tc>
        <w:tc>
          <w:tcPr>
            <w:tcW w:w="2126" w:type="dxa"/>
            <w:shd w:val="clear" w:color="auto" w:fill="FFFFFF" w:themeFill="background1"/>
          </w:tcPr>
          <w:p w14:paraId="7A4CD2F0"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З досвідом лікування</w:t>
            </w:r>
          </w:p>
        </w:tc>
        <w:tc>
          <w:tcPr>
            <w:tcW w:w="709" w:type="dxa"/>
            <w:shd w:val="clear" w:color="auto" w:fill="BDD6EE" w:themeFill="accent1" w:themeFillTint="66"/>
          </w:tcPr>
          <w:p w14:paraId="70452789" w14:textId="5F5B3C85"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EF7EE9">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280AB7C5" w14:textId="75EC0F02"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EF7EE9">
              <w:rPr>
                <w:rFonts w:ascii="Times New Roman" w:hAnsi="Times New Roman" w:cs="Times New Roman"/>
                <w:b/>
                <w:color w:val="000000" w:themeColor="text1"/>
                <w:sz w:val="20"/>
                <w:szCs w:val="20"/>
                <w:lang w:val="uk-UA"/>
              </w:rPr>
              <w:t>12 тиж</w:t>
            </w:r>
          </w:p>
        </w:tc>
        <w:tc>
          <w:tcPr>
            <w:tcW w:w="1134" w:type="dxa"/>
            <w:shd w:val="clear" w:color="auto" w:fill="F244C0"/>
          </w:tcPr>
          <w:p w14:paraId="3E38C3ED"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 xml:space="preserve">Ні </w:t>
            </w:r>
          </w:p>
        </w:tc>
        <w:tc>
          <w:tcPr>
            <w:tcW w:w="1276" w:type="dxa"/>
            <w:shd w:val="clear" w:color="auto" w:fill="F244C0"/>
          </w:tcPr>
          <w:p w14:paraId="22C14041"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 xml:space="preserve">Ні </w:t>
            </w:r>
          </w:p>
        </w:tc>
        <w:tc>
          <w:tcPr>
            <w:tcW w:w="1418" w:type="dxa"/>
            <w:shd w:val="clear" w:color="auto" w:fill="F244C0"/>
          </w:tcPr>
          <w:p w14:paraId="6ACAB954"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A927AB">
              <w:rPr>
                <w:rFonts w:ascii="Times New Roman" w:hAnsi="Times New Roman" w:cs="Times New Roman"/>
                <w:b/>
                <w:color w:val="000000" w:themeColor="text1"/>
                <w:sz w:val="20"/>
                <w:szCs w:val="20"/>
                <w:lang w:val="uk-UA"/>
              </w:rPr>
              <w:t xml:space="preserve">Ні </w:t>
            </w:r>
          </w:p>
        </w:tc>
        <w:tc>
          <w:tcPr>
            <w:tcW w:w="1417" w:type="dxa"/>
            <w:shd w:val="clear" w:color="auto" w:fill="F244C0"/>
          </w:tcPr>
          <w:p w14:paraId="7E34C2CC"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20076E">
              <w:rPr>
                <w:rFonts w:ascii="Times New Roman" w:hAnsi="Times New Roman" w:cs="Times New Roman"/>
                <w:b/>
                <w:color w:val="000000" w:themeColor="text1"/>
                <w:sz w:val="20"/>
                <w:szCs w:val="20"/>
                <w:lang w:val="uk-UA"/>
              </w:rPr>
              <w:t>Ні</w:t>
            </w:r>
          </w:p>
        </w:tc>
      </w:tr>
      <w:tr w:rsidR="00970304" w14:paraId="1A690760" w14:textId="77777777" w:rsidTr="000A5F09">
        <w:tc>
          <w:tcPr>
            <w:tcW w:w="1195" w:type="dxa"/>
          </w:tcPr>
          <w:p w14:paraId="3B3C1F6E"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it-IT"/>
              </w:rPr>
            </w:pPr>
            <w:r w:rsidRPr="00F22E24">
              <w:rPr>
                <w:rFonts w:ascii="Times New Roman" w:hAnsi="Times New Roman" w:cs="Times New Roman"/>
                <w:b/>
                <w:color w:val="000000" w:themeColor="text1"/>
                <w:sz w:val="20"/>
                <w:szCs w:val="20"/>
                <w:lang w:val="uk-UA"/>
              </w:rPr>
              <w:t>Генотип</w:t>
            </w:r>
            <w:r w:rsidRPr="00F22E24">
              <w:rPr>
                <w:rFonts w:ascii="Times New Roman" w:hAnsi="Times New Roman" w:cs="Times New Roman"/>
                <w:b/>
                <w:color w:val="000000" w:themeColor="text1"/>
                <w:sz w:val="20"/>
                <w:szCs w:val="20"/>
                <w:lang w:val="it-IT"/>
              </w:rPr>
              <w:t xml:space="preserve"> 5</w:t>
            </w:r>
          </w:p>
        </w:tc>
        <w:tc>
          <w:tcPr>
            <w:tcW w:w="2126" w:type="dxa"/>
            <w:shd w:val="clear" w:color="auto" w:fill="FFFFFF" w:themeFill="background1"/>
          </w:tcPr>
          <w:p w14:paraId="0C8E8DF0" w14:textId="252BA492" w:rsidR="00970304" w:rsidRPr="00F22E24" w:rsidRDefault="00652F9A"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Наївні</w:t>
            </w: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 xml:space="preserve"> </w:t>
            </w:r>
            <w:r w:rsidR="00970304" w:rsidRPr="00F22E24">
              <w:rPr>
                <w:rFonts w:ascii="Times New Roman" w:hAnsi="Times New Roman" w:cs="Times New Roman"/>
                <w:b/>
                <w:color w:val="000000" w:themeColor="text1"/>
                <w:sz w:val="20"/>
                <w:szCs w:val="20"/>
                <w:lang w:val="uk-UA"/>
              </w:rPr>
              <w:t>пацієнти</w:t>
            </w:r>
          </w:p>
        </w:tc>
        <w:tc>
          <w:tcPr>
            <w:tcW w:w="709" w:type="dxa"/>
            <w:shd w:val="clear" w:color="auto" w:fill="BDD6EE" w:themeFill="accent1" w:themeFillTint="66"/>
          </w:tcPr>
          <w:p w14:paraId="53E7F4E5" w14:textId="52AAA7EB"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EF7EE9">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04AAE4B0" w14:textId="76D77DDB"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EF7EE9">
              <w:rPr>
                <w:rFonts w:ascii="Times New Roman" w:hAnsi="Times New Roman" w:cs="Times New Roman"/>
                <w:b/>
                <w:color w:val="000000" w:themeColor="text1"/>
                <w:sz w:val="20"/>
                <w:szCs w:val="20"/>
                <w:lang w:val="uk-UA"/>
              </w:rPr>
              <w:t>12 тиж</w:t>
            </w:r>
          </w:p>
        </w:tc>
        <w:tc>
          <w:tcPr>
            <w:tcW w:w="1134" w:type="dxa"/>
            <w:shd w:val="clear" w:color="auto" w:fill="F244C0"/>
          </w:tcPr>
          <w:p w14:paraId="2B13F234"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 xml:space="preserve">Ні </w:t>
            </w:r>
          </w:p>
        </w:tc>
        <w:tc>
          <w:tcPr>
            <w:tcW w:w="1276" w:type="dxa"/>
            <w:shd w:val="clear" w:color="auto" w:fill="BDD6EE" w:themeFill="accent1" w:themeFillTint="66"/>
          </w:tcPr>
          <w:p w14:paraId="373F8C8F" w14:textId="2CC23D8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12 т</w:t>
            </w:r>
            <w:r>
              <w:rPr>
                <w:rFonts w:ascii="Times New Roman" w:hAnsi="Times New Roman" w:cs="Times New Roman"/>
                <w:b/>
                <w:color w:val="000000" w:themeColor="text1"/>
                <w:sz w:val="20"/>
                <w:szCs w:val="20"/>
                <w:lang w:val="uk-UA"/>
              </w:rPr>
              <w:t>иж</w:t>
            </w:r>
          </w:p>
        </w:tc>
        <w:tc>
          <w:tcPr>
            <w:tcW w:w="1418" w:type="dxa"/>
            <w:shd w:val="clear" w:color="auto" w:fill="F244C0"/>
          </w:tcPr>
          <w:p w14:paraId="1C00115C"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A927AB">
              <w:rPr>
                <w:rFonts w:ascii="Times New Roman" w:hAnsi="Times New Roman" w:cs="Times New Roman"/>
                <w:b/>
                <w:color w:val="000000" w:themeColor="text1"/>
                <w:sz w:val="20"/>
                <w:szCs w:val="20"/>
                <w:lang w:val="uk-UA"/>
              </w:rPr>
              <w:t xml:space="preserve">Ні </w:t>
            </w:r>
          </w:p>
        </w:tc>
        <w:tc>
          <w:tcPr>
            <w:tcW w:w="1417" w:type="dxa"/>
            <w:shd w:val="clear" w:color="auto" w:fill="F244C0"/>
          </w:tcPr>
          <w:p w14:paraId="49A6ADDE"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20076E">
              <w:rPr>
                <w:rFonts w:ascii="Times New Roman" w:hAnsi="Times New Roman" w:cs="Times New Roman"/>
                <w:b/>
                <w:color w:val="000000" w:themeColor="text1"/>
                <w:sz w:val="20"/>
                <w:szCs w:val="20"/>
                <w:lang w:val="uk-UA"/>
              </w:rPr>
              <w:t>Ні</w:t>
            </w:r>
          </w:p>
        </w:tc>
      </w:tr>
      <w:tr w:rsidR="00970304" w14:paraId="341690DE" w14:textId="77777777" w:rsidTr="000A5F09">
        <w:tc>
          <w:tcPr>
            <w:tcW w:w="1195" w:type="dxa"/>
          </w:tcPr>
          <w:p w14:paraId="4A4CACAA"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p>
        </w:tc>
        <w:tc>
          <w:tcPr>
            <w:tcW w:w="2126" w:type="dxa"/>
            <w:shd w:val="clear" w:color="auto" w:fill="FFFFFF" w:themeFill="background1"/>
          </w:tcPr>
          <w:p w14:paraId="7A88D7D6"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З досвідом лікування</w:t>
            </w:r>
          </w:p>
        </w:tc>
        <w:tc>
          <w:tcPr>
            <w:tcW w:w="709" w:type="dxa"/>
            <w:shd w:val="clear" w:color="auto" w:fill="BDD6EE" w:themeFill="accent1" w:themeFillTint="66"/>
          </w:tcPr>
          <w:p w14:paraId="6ECD2407" w14:textId="1B1A23A6"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EF7EE9">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4EEC00FA" w14:textId="724C1134"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EF7EE9">
              <w:rPr>
                <w:rFonts w:ascii="Times New Roman" w:hAnsi="Times New Roman" w:cs="Times New Roman"/>
                <w:b/>
                <w:color w:val="000000" w:themeColor="text1"/>
                <w:sz w:val="20"/>
                <w:szCs w:val="20"/>
                <w:lang w:val="uk-UA"/>
              </w:rPr>
              <w:t>12 тиж</w:t>
            </w:r>
          </w:p>
        </w:tc>
        <w:tc>
          <w:tcPr>
            <w:tcW w:w="1134" w:type="dxa"/>
            <w:shd w:val="clear" w:color="auto" w:fill="F244C0"/>
          </w:tcPr>
          <w:p w14:paraId="4EEE47F8"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 xml:space="preserve">Ні </w:t>
            </w:r>
          </w:p>
        </w:tc>
        <w:tc>
          <w:tcPr>
            <w:tcW w:w="1276" w:type="dxa"/>
            <w:shd w:val="clear" w:color="auto" w:fill="F244C0"/>
          </w:tcPr>
          <w:p w14:paraId="264BC412"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Ні</w:t>
            </w:r>
          </w:p>
        </w:tc>
        <w:tc>
          <w:tcPr>
            <w:tcW w:w="1418" w:type="dxa"/>
            <w:shd w:val="clear" w:color="auto" w:fill="F244C0"/>
          </w:tcPr>
          <w:p w14:paraId="43ADAB40"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A927AB">
              <w:rPr>
                <w:rFonts w:ascii="Times New Roman" w:hAnsi="Times New Roman" w:cs="Times New Roman"/>
                <w:b/>
                <w:color w:val="000000" w:themeColor="text1"/>
                <w:sz w:val="20"/>
                <w:szCs w:val="20"/>
                <w:lang w:val="uk-UA"/>
              </w:rPr>
              <w:t xml:space="preserve">Ні </w:t>
            </w:r>
          </w:p>
        </w:tc>
        <w:tc>
          <w:tcPr>
            <w:tcW w:w="1417" w:type="dxa"/>
            <w:shd w:val="clear" w:color="auto" w:fill="F244C0"/>
          </w:tcPr>
          <w:p w14:paraId="788F7F60"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20076E">
              <w:rPr>
                <w:rFonts w:ascii="Times New Roman" w:hAnsi="Times New Roman" w:cs="Times New Roman"/>
                <w:b/>
                <w:color w:val="000000" w:themeColor="text1"/>
                <w:sz w:val="20"/>
                <w:szCs w:val="20"/>
                <w:lang w:val="uk-UA"/>
              </w:rPr>
              <w:t>Ні</w:t>
            </w:r>
          </w:p>
        </w:tc>
      </w:tr>
      <w:tr w:rsidR="00970304" w14:paraId="069596B4" w14:textId="77777777" w:rsidTr="000A5F09">
        <w:tc>
          <w:tcPr>
            <w:tcW w:w="1195" w:type="dxa"/>
          </w:tcPr>
          <w:p w14:paraId="60C06C63"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it-IT"/>
              </w:rPr>
            </w:pPr>
            <w:r w:rsidRPr="00F22E24">
              <w:rPr>
                <w:rFonts w:ascii="Times New Roman" w:hAnsi="Times New Roman" w:cs="Times New Roman"/>
                <w:b/>
                <w:color w:val="000000" w:themeColor="text1"/>
                <w:sz w:val="20"/>
                <w:szCs w:val="20"/>
                <w:lang w:val="uk-UA"/>
              </w:rPr>
              <w:t>Генотип</w:t>
            </w:r>
            <w:r w:rsidRPr="00F22E24">
              <w:rPr>
                <w:rFonts w:ascii="Times New Roman" w:hAnsi="Times New Roman" w:cs="Times New Roman"/>
                <w:b/>
                <w:color w:val="000000" w:themeColor="text1"/>
                <w:sz w:val="20"/>
                <w:szCs w:val="20"/>
                <w:lang w:val="it-IT"/>
              </w:rPr>
              <w:t xml:space="preserve"> 6</w:t>
            </w:r>
          </w:p>
        </w:tc>
        <w:tc>
          <w:tcPr>
            <w:tcW w:w="2126" w:type="dxa"/>
            <w:shd w:val="clear" w:color="auto" w:fill="FFFFFF" w:themeFill="background1"/>
          </w:tcPr>
          <w:p w14:paraId="510B06B4" w14:textId="5DB7EDD6" w:rsidR="00970304" w:rsidRPr="00F22E24" w:rsidRDefault="00652F9A" w:rsidP="00970304">
            <w:pPr>
              <w:tabs>
                <w:tab w:val="left" w:pos="1089"/>
              </w:tabs>
              <w:jc w:val="both"/>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Наївні</w:t>
            </w:r>
            <w:r>
              <w:rPr>
                <w:rFonts w:ascii="Times New Roman" w:hAnsi="Times New Roman" w:cs="Times New Roman"/>
                <w:b/>
                <w:color w:val="000000" w:themeColor="text1"/>
                <w:sz w:val="20"/>
                <w:szCs w:val="20"/>
                <w:lang w:val="en-US"/>
              </w:rPr>
              <w:t>”</w:t>
            </w:r>
            <w:r w:rsidRPr="00970304">
              <w:rPr>
                <w:rFonts w:ascii="Times New Roman" w:hAnsi="Times New Roman" w:cs="Times New Roman"/>
                <w:b/>
                <w:color w:val="000000" w:themeColor="text1"/>
                <w:sz w:val="20"/>
                <w:szCs w:val="20"/>
                <w:lang w:val="uk-UA"/>
              </w:rPr>
              <w:t xml:space="preserve"> </w:t>
            </w:r>
            <w:r w:rsidR="00970304" w:rsidRPr="00F22E24">
              <w:rPr>
                <w:rFonts w:ascii="Times New Roman" w:hAnsi="Times New Roman" w:cs="Times New Roman"/>
                <w:b/>
                <w:color w:val="000000" w:themeColor="text1"/>
                <w:sz w:val="20"/>
                <w:szCs w:val="20"/>
                <w:lang w:val="uk-UA"/>
              </w:rPr>
              <w:t>пацієнти</w:t>
            </w:r>
          </w:p>
        </w:tc>
        <w:tc>
          <w:tcPr>
            <w:tcW w:w="709" w:type="dxa"/>
            <w:shd w:val="clear" w:color="auto" w:fill="BDD6EE" w:themeFill="accent1" w:themeFillTint="66"/>
          </w:tcPr>
          <w:p w14:paraId="2F0D0115" w14:textId="3B813205"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EF7EE9">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20EF465E" w14:textId="1B65B54C"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EF7EE9">
              <w:rPr>
                <w:rFonts w:ascii="Times New Roman" w:hAnsi="Times New Roman" w:cs="Times New Roman"/>
                <w:b/>
                <w:color w:val="000000" w:themeColor="text1"/>
                <w:sz w:val="20"/>
                <w:szCs w:val="20"/>
                <w:lang w:val="uk-UA"/>
              </w:rPr>
              <w:t>12 тиж</w:t>
            </w:r>
          </w:p>
        </w:tc>
        <w:tc>
          <w:tcPr>
            <w:tcW w:w="1134" w:type="dxa"/>
            <w:shd w:val="clear" w:color="auto" w:fill="F244C0"/>
          </w:tcPr>
          <w:p w14:paraId="166B3F6B"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 xml:space="preserve">Ні </w:t>
            </w:r>
          </w:p>
        </w:tc>
        <w:tc>
          <w:tcPr>
            <w:tcW w:w="1276" w:type="dxa"/>
            <w:shd w:val="clear" w:color="auto" w:fill="BDD6EE" w:themeFill="accent1" w:themeFillTint="66"/>
          </w:tcPr>
          <w:p w14:paraId="2B6CB959" w14:textId="52FC374C"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12 т</w:t>
            </w:r>
            <w:r>
              <w:rPr>
                <w:rFonts w:ascii="Times New Roman" w:hAnsi="Times New Roman" w:cs="Times New Roman"/>
                <w:b/>
                <w:color w:val="000000" w:themeColor="text1"/>
                <w:sz w:val="20"/>
                <w:szCs w:val="20"/>
                <w:lang w:val="uk-UA"/>
              </w:rPr>
              <w:t>иж</w:t>
            </w:r>
          </w:p>
        </w:tc>
        <w:tc>
          <w:tcPr>
            <w:tcW w:w="1418" w:type="dxa"/>
            <w:shd w:val="clear" w:color="auto" w:fill="F244C0"/>
          </w:tcPr>
          <w:p w14:paraId="050F5E22"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A927AB">
              <w:rPr>
                <w:rFonts w:ascii="Times New Roman" w:hAnsi="Times New Roman" w:cs="Times New Roman"/>
                <w:b/>
                <w:color w:val="000000" w:themeColor="text1"/>
                <w:sz w:val="20"/>
                <w:szCs w:val="20"/>
                <w:lang w:val="uk-UA"/>
              </w:rPr>
              <w:t xml:space="preserve">Ні </w:t>
            </w:r>
          </w:p>
        </w:tc>
        <w:tc>
          <w:tcPr>
            <w:tcW w:w="1417" w:type="dxa"/>
            <w:shd w:val="clear" w:color="auto" w:fill="F244C0"/>
          </w:tcPr>
          <w:p w14:paraId="399AE6D0"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20076E">
              <w:rPr>
                <w:rFonts w:ascii="Times New Roman" w:hAnsi="Times New Roman" w:cs="Times New Roman"/>
                <w:b/>
                <w:color w:val="000000" w:themeColor="text1"/>
                <w:sz w:val="20"/>
                <w:szCs w:val="20"/>
                <w:lang w:val="uk-UA"/>
              </w:rPr>
              <w:t>Ні</w:t>
            </w:r>
          </w:p>
        </w:tc>
      </w:tr>
      <w:tr w:rsidR="00970304" w14:paraId="30209AE3" w14:textId="77777777" w:rsidTr="000A5F09">
        <w:tc>
          <w:tcPr>
            <w:tcW w:w="1195" w:type="dxa"/>
          </w:tcPr>
          <w:p w14:paraId="33C32267"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p>
        </w:tc>
        <w:tc>
          <w:tcPr>
            <w:tcW w:w="2126" w:type="dxa"/>
            <w:shd w:val="clear" w:color="auto" w:fill="FFFFFF" w:themeFill="background1"/>
          </w:tcPr>
          <w:p w14:paraId="600B86EF"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З досвідом лікування</w:t>
            </w:r>
          </w:p>
        </w:tc>
        <w:tc>
          <w:tcPr>
            <w:tcW w:w="709" w:type="dxa"/>
            <w:shd w:val="clear" w:color="auto" w:fill="BDD6EE" w:themeFill="accent1" w:themeFillTint="66"/>
          </w:tcPr>
          <w:p w14:paraId="35445D89" w14:textId="5A832895"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EF7EE9">
              <w:rPr>
                <w:rFonts w:ascii="Times New Roman" w:hAnsi="Times New Roman" w:cs="Times New Roman"/>
                <w:b/>
                <w:color w:val="000000" w:themeColor="text1"/>
                <w:sz w:val="20"/>
                <w:szCs w:val="20"/>
                <w:lang w:val="uk-UA"/>
              </w:rPr>
              <w:t>12 тиж</w:t>
            </w:r>
          </w:p>
        </w:tc>
        <w:tc>
          <w:tcPr>
            <w:tcW w:w="708" w:type="dxa"/>
            <w:shd w:val="clear" w:color="auto" w:fill="BDD6EE" w:themeFill="accent1" w:themeFillTint="66"/>
          </w:tcPr>
          <w:p w14:paraId="1AC51B07" w14:textId="2A4F1A52"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EF7EE9">
              <w:rPr>
                <w:rFonts w:ascii="Times New Roman" w:hAnsi="Times New Roman" w:cs="Times New Roman"/>
                <w:b/>
                <w:color w:val="000000" w:themeColor="text1"/>
                <w:sz w:val="20"/>
                <w:szCs w:val="20"/>
                <w:lang w:val="uk-UA"/>
              </w:rPr>
              <w:t>12 тиж</w:t>
            </w:r>
          </w:p>
        </w:tc>
        <w:tc>
          <w:tcPr>
            <w:tcW w:w="1134" w:type="dxa"/>
            <w:shd w:val="clear" w:color="auto" w:fill="F244C0"/>
          </w:tcPr>
          <w:p w14:paraId="16AA8F3F"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 xml:space="preserve">Ні </w:t>
            </w:r>
          </w:p>
        </w:tc>
        <w:tc>
          <w:tcPr>
            <w:tcW w:w="1276" w:type="dxa"/>
            <w:shd w:val="clear" w:color="auto" w:fill="F244C0"/>
          </w:tcPr>
          <w:p w14:paraId="2846241A"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F22E24">
              <w:rPr>
                <w:rFonts w:ascii="Times New Roman" w:hAnsi="Times New Roman" w:cs="Times New Roman"/>
                <w:b/>
                <w:color w:val="000000" w:themeColor="text1"/>
                <w:sz w:val="20"/>
                <w:szCs w:val="20"/>
                <w:lang w:val="uk-UA"/>
              </w:rPr>
              <w:t xml:space="preserve">Ні </w:t>
            </w:r>
          </w:p>
        </w:tc>
        <w:tc>
          <w:tcPr>
            <w:tcW w:w="1418" w:type="dxa"/>
            <w:shd w:val="clear" w:color="auto" w:fill="F244C0"/>
          </w:tcPr>
          <w:p w14:paraId="25E3C679"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A927AB">
              <w:rPr>
                <w:rFonts w:ascii="Times New Roman" w:hAnsi="Times New Roman" w:cs="Times New Roman"/>
                <w:b/>
                <w:color w:val="000000" w:themeColor="text1"/>
                <w:sz w:val="20"/>
                <w:szCs w:val="20"/>
                <w:lang w:val="uk-UA"/>
              </w:rPr>
              <w:t xml:space="preserve">Ні </w:t>
            </w:r>
          </w:p>
        </w:tc>
        <w:tc>
          <w:tcPr>
            <w:tcW w:w="1417" w:type="dxa"/>
            <w:shd w:val="clear" w:color="auto" w:fill="F244C0"/>
          </w:tcPr>
          <w:p w14:paraId="2E41DF4F" w14:textId="77777777" w:rsidR="00970304" w:rsidRPr="00F22E24" w:rsidRDefault="00970304" w:rsidP="00970304">
            <w:pPr>
              <w:tabs>
                <w:tab w:val="left" w:pos="1089"/>
              </w:tabs>
              <w:jc w:val="both"/>
              <w:rPr>
                <w:rFonts w:ascii="Times New Roman" w:hAnsi="Times New Roman" w:cs="Times New Roman"/>
                <w:b/>
                <w:color w:val="000000" w:themeColor="text1"/>
                <w:sz w:val="20"/>
                <w:szCs w:val="20"/>
                <w:lang w:val="uk-UA"/>
              </w:rPr>
            </w:pPr>
            <w:r w:rsidRPr="0020076E">
              <w:rPr>
                <w:rFonts w:ascii="Times New Roman" w:hAnsi="Times New Roman" w:cs="Times New Roman"/>
                <w:b/>
                <w:color w:val="000000" w:themeColor="text1"/>
                <w:sz w:val="20"/>
                <w:szCs w:val="20"/>
                <w:lang w:val="uk-UA"/>
              </w:rPr>
              <w:t>Ні</w:t>
            </w:r>
          </w:p>
        </w:tc>
      </w:tr>
    </w:tbl>
    <w:p w14:paraId="5C43A47B" w14:textId="77777777" w:rsidR="000C381C" w:rsidRPr="00E92A90" w:rsidRDefault="000C381C" w:rsidP="00F53078">
      <w:pPr>
        <w:tabs>
          <w:tab w:val="left" w:pos="1089"/>
        </w:tabs>
        <w:ind w:left="360"/>
        <w:jc w:val="both"/>
        <w:rPr>
          <w:rFonts w:ascii="Times New Roman" w:hAnsi="Times New Roman" w:cs="Times New Roman"/>
          <w:b/>
          <w:color w:val="000000" w:themeColor="text1"/>
          <w:lang w:val="uk-UA"/>
        </w:rPr>
      </w:pPr>
    </w:p>
    <w:p w14:paraId="6082C1CB" w14:textId="6F5B7CA2" w:rsidR="00365DE4" w:rsidRPr="006C7989" w:rsidRDefault="00365DE4" w:rsidP="00365DE4">
      <w:pPr>
        <w:tabs>
          <w:tab w:val="left" w:pos="1089"/>
        </w:tabs>
        <w:rPr>
          <w:rFonts w:ascii="Times" w:hAnsi="Times" w:cs="Times"/>
          <w:color w:val="000000"/>
          <w:sz w:val="16"/>
          <w:szCs w:val="16"/>
          <w:lang w:val="uk-UA"/>
        </w:rPr>
      </w:pPr>
      <w:r>
        <w:rPr>
          <w:rFonts w:ascii="Times" w:hAnsi="Times" w:cs="Times"/>
          <w:color w:val="000000"/>
          <w:sz w:val="16"/>
          <w:szCs w:val="16"/>
        </w:rPr>
        <w:t>DSV</w:t>
      </w:r>
      <w:r w:rsidR="00970304">
        <w:rPr>
          <w:rFonts w:ascii="Times" w:hAnsi="Times" w:cs="Times"/>
          <w:color w:val="000000"/>
          <w:sz w:val="16"/>
          <w:szCs w:val="16"/>
          <w:lang w:val="uk-UA"/>
        </w:rPr>
        <w:t xml:space="preserve"> – </w:t>
      </w:r>
      <w:r w:rsidRPr="006C7989">
        <w:rPr>
          <w:rFonts w:ascii="Times" w:hAnsi="Times" w:cs="Times"/>
          <w:color w:val="000000"/>
          <w:sz w:val="16"/>
          <w:szCs w:val="16"/>
          <w:lang w:val="uk-UA"/>
        </w:rPr>
        <w:t xml:space="preserve">дасабувір; </w:t>
      </w:r>
      <w:r>
        <w:rPr>
          <w:rFonts w:ascii="Times" w:hAnsi="Times" w:cs="Times"/>
          <w:color w:val="000000"/>
          <w:sz w:val="16"/>
          <w:szCs w:val="16"/>
        </w:rPr>
        <w:t>EBR</w:t>
      </w:r>
      <w:r w:rsidR="00970304">
        <w:rPr>
          <w:rFonts w:ascii="Times" w:hAnsi="Times" w:cs="Times"/>
          <w:color w:val="000000"/>
          <w:sz w:val="16"/>
          <w:szCs w:val="16"/>
          <w:lang w:val="uk-UA"/>
        </w:rPr>
        <w:t xml:space="preserve"> –</w:t>
      </w:r>
      <w:r w:rsidRPr="006C7989">
        <w:rPr>
          <w:rFonts w:ascii="Times" w:hAnsi="Times" w:cs="Times"/>
          <w:color w:val="000000"/>
          <w:sz w:val="16"/>
          <w:szCs w:val="16"/>
          <w:lang w:val="uk-UA"/>
        </w:rPr>
        <w:t xml:space="preserve"> елбасвір; </w:t>
      </w:r>
      <w:r>
        <w:rPr>
          <w:rFonts w:ascii="Times" w:hAnsi="Times" w:cs="Times"/>
          <w:color w:val="000000"/>
          <w:sz w:val="16"/>
          <w:szCs w:val="16"/>
        </w:rPr>
        <w:t>GLE</w:t>
      </w:r>
      <w:r w:rsidR="00970304">
        <w:rPr>
          <w:rFonts w:ascii="Times" w:hAnsi="Times" w:cs="Times"/>
          <w:color w:val="000000"/>
          <w:sz w:val="16"/>
          <w:szCs w:val="16"/>
          <w:lang w:val="uk-UA"/>
        </w:rPr>
        <w:t xml:space="preserve"> –</w:t>
      </w:r>
      <w:r w:rsidRPr="006C7989">
        <w:rPr>
          <w:rFonts w:ascii="Times" w:hAnsi="Times" w:cs="Times"/>
          <w:color w:val="000000"/>
          <w:sz w:val="16"/>
          <w:szCs w:val="16"/>
          <w:lang w:val="uk-UA"/>
        </w:rPr>
        <w:t xml:space="preserve"> глекапревір; </w:t>
      </w:r>
      <w:r w:rsidRPr="001C2959">
        <w:rPr>
          <w:rFonts w:ascii="Times" w:hAnsi="Times" w:cs="Times"/>
          <w:color w:val="000000"/>
          <w:sz w:val="16"/>
          <w:szCs w:val="16"/>
        </w:rPr>
        <w:t>GZR</w:t>
      </w:r>
      <w:r w:rsidR="00970304">
        <w:rPr>
          <w:rFonts w:ascii="Times" w:hAnsi="Times" w:cs="Times"/>
          <w:color w:val="000000"/>
          <w:sz w:val="16"/>
          <w:szCs w:val="16"/>
          <w:lang w:val="uk-UA"/>
        </w:rPr>
        <w:t xml:space="preserve"> –</w:t>
      </w:r>
      <w:r w:rsidRPr="006C7989">
        <w:rPr>
          <w:rFonts w:ascii="Times" w:hAnsi="Times" w:cs="Times"/>
          <w:color w:val="000000"/>
          <w:sz w:val="16"/>
          <w:szCs w:val="16"/>
          <w:lang w:val="uk-UA"/>
        </w:rPr>
        <w:t xml:space="preserve"> гразопревір; </w:t>
      </w:r>
      <w:r>
        <w:rPr>
          <w:rFonts w:ascii="Times" w:hAnsi="Times" w:cs="Times"/>
          <w:color w:val="000000"/>
          <w:sz w:val="16"/>
          <w:szCs w:val="16"/>
        </w:rPr>
        <w:t>IFN</w:t>
      </w:r>
      <w:r w:rsidR="00970304">
        <w:rPr>
          <w:rFonts w:ascii="Times" w:hAnsi="Times" w:cs="Times"/>
          <w:color w:val="000000"/>
          <w:sz w:val="16"/>
          <w:szCs w:val="16"/>
          <w:lang w:val="uk-UA"/>
        </w:rPr>
        <w:t xml:space="preserve"> –</w:t>
      </w:r>
      <w:r w:rsidRPr="006C7989">
        <w:rPr>
          <w:rFonts w:ascii="Times" w:hAnsi="Times" w:cs="Times"/>
          <w:color w:val="000000"/>
          <w:sz w:val="16"/>
          <w:szCs w:val="16"/>
          <w:lang w:val="uk-UA"/>
        </w:rPr>
        <w:t xml:space="preserve"> інтерферон; </w:t>
      </w:r>
      <w:r>
        <w:rPr>
          <w:rFonts w:ascii="Times" w:hAnsi="Times" w:cs="Times"/>
          <w:color w:val="000000"/>
          <w:sz w:val="16"/>
          <w:szCs w:val="16"/>
        </w:rPr>
        <w:t>LDV</w:t>
      </w:r>
      <w:r w:rsidR="00970304">
        <w:rPr>
          <w:rFonts w:ascii="Times" w:hAnsi="Times" w:cs="Times"/>
          <w:color w:val="000000"/>
          <w:sz w:val="16"/>
          <w:szCs w:val="16"/>
          <w:lang w:val="uk-UA"/>
        </w:rPr>
        <w:t xml:space="preserve"> –</w:t>
      </w:r>
      <w:r w:rsidRPr="006C7989">
        <w:rPr>
          <w:rFonts w:ascii="Times" w:hAnsi="Times" w:cs="Times"/>
          <w:color w:val="000000"/>
          <w:sz w:val="16"/>
          <w:szCs w:val="16"/>
          <w:lang w:val="uk-UA"/>
        </w:rPr>
        <w:t xml:space="preserve"> лідеспавір; </w:t>
      </w:r>
      <w:r w:rsidR="00970304">
        <w:rPr>
          <w:rFonts w:ascii="Times" w:hAnsi="Times" w:cs="Times"/>
          <w:color w:val="000000"/>
          <w:sz w:val="16"/>
          <w:szCs w:val="16"/>
          <w:lang w:val="it-IT"/>
        </w:rPr>
        <w:t xml:space="preserve">OBV </w:t>
      </w:r>
      <w:r w:rsidR="00970304">
        <w:rPr>
          <w:rFonts w:ascii="Times" w:hAnsi="Times" w:cs="Times"/>
          <w:color w:val="000000"/>
          <w:sz w:val="16"/>
          <w:szCs w:val="16"/>
          <w:lang w:val="uk-UA"/>
        </w:rPr>
        <w:t>–</w:t>
      </w:r>
      <w:r w:rsidRPr="006C7989">
        <w:rPr>
          <w:rFonts w:ascii="Times" w:hAnsi="Times" w:cs="Times"/>
          <w:color w:val="000000"/>
          <w:sz w:val="16"/>
          <w:szCs w:val="16"/>
          <w:lang w:val="uk-UA"/>
        </w:rPr>
        <w:t xml:space="preserve"> омбітісвір; </w:t>
      </w:r>
      <w:r>
        <w:rPr>
          <w:rFonts w:ascii="Times" w:hAnsi="Times" w:cs="Times"/>
          <w:color w:val="000000"/>
          <w:sz w:val="16"/>
          <w:szCs w:val="16"/>
        </w:rPr>
        <w:t>PIB</w:t>
      </w:r>
      <w:r w:rsidR="00970304">
        <w:rPr>
          <w:rFonts w:ascii="Times" w:hAnsi="Times" w:cs="Times"/>
          <w:color w:val="000000"/>
          <w:sz w:val="16"/>
          <w:szCs w:val="16"/>
          <w:lang w:val="uk-UA"/>
        </w:rPr>
        <w:t xml:space="preserve"> –</w:t>
      </w:r>
      <w:r w:rsidRPr="006C7989">
        <w:rPr>
          <w:rFonts w:ascii="Times" w:hAnsi="Times" w:cs="Times"/>
          <w:color w:val="000000"/>
          <w:sz w:val="16"/>
          <w:szCs w:val="16"/>
          <w:lang w:val="uk-UA"/>
        </w:rPr>
        <w:t xml:space="preserve"> пібрентасвір; </w:t>
      </w:r>
      <w:r w:rsidR="00970304">
        <w:rPr>
          <w:rFonts w:ascii="Times" w:hAnsi="Times" w:cs="Times"/>
          <w:color w:val="000000"/>
          <w:sz w:val="16"/>
          <w:szCs w:val="16"/>
          <w:lang w:val="it-IT"/>
        </w:rPr>
        <w:t xml:space="preserve">PTV </w:t>
      </w:r>
      <w:r w:rsidR="00970304">
        <w:rPr>
          <w:rFonts w:ascii="Times" w:hAnsi="Times" w:cs="Times"/>
          <w:color w:val="000000"/>
          <w:sz w:val="16"/>
          <w:szCs w:val="16"/>
          <w:lang w:val="uk-UA"/>
        </w:rPr>
        <w:t>–</w:t>
      </w:r>
      <w:r w:rsidRPr="006C7989">
        <w:rPr>
          <w:rFonts w:ascii="Times" w:hAnsi="Times" w:cs="Times"/>
          <w:color w:val="000000"/>
          <w:sz w:val="16"/>
          <w:szCs w:val="16"/>
          <w:lang w:val="uk-UA"/>
        </w:rPr>
        <w:t xml:space="preserve"> </w:t>
      </w:r>
      <w:r w:rsidR="00DA25AC">
        <w:rPr>
          <w:rFonts w:ascii="Times" w:hAnsi="Times" w:cs="Times"/>
          <w:color w:val="000000"/>
          <w:sz w:val="16"/>
          <w:szCs w:val="16"/>
          <w:lang w:val="uk-UA"/>
        </w:rPr>
        <w:t>п</w:t>
      </w:r>
      <w:r w:rsidR="00E76D74">
        <w:rPr>
          <w:rFonts w:ascii="Times" w:hAnsi="Times" w:cs="Times"/>
          <w:color w:val="000000"/>
          <w:sz w:val="16"/>
          <w:szCs w:val="16"/>
          <w:lang w:val="uk-UA"/>
        </w:rPr>
        <w:t>аритапревір</w:t>
      </w:r>
      <w:r w:rsidRPr="006C7989">
        <w:rPr>
          <w:rFonts w:ascii="Times" w:hAnsi="Times" w:cs="Times"/>
          <w:color w:val="000000"/>
          <w:sz w:val="16"/>
          <w:szCs w:val="16"/>
          <w:lang w:val="uk-UA"/>
        </w:rPr>
        <w:t>; г</w:t>
      </w:r>
      <w:r w:rsidR="00970304">
        <w:rPr>
          <w:rFonts w:ascii="Times" w:hAnsi="Times" w:cs="Times"/>
          <w:color w:val="000000"/>
          <w:sz w:val="16"/>
          <w:szCs w:val="16"/>
          <w:lang w:val="it-IT"/>
        </w:rPr>
        <w:t xml:space="preserve"> </w:t>
      </w:r>
      <w:r w:rsidR="00970304">
        <w:rPr>
          <w:rFonts w:ascii="Times" w:hAnsi="Times" w:cs="Times"/>
          <w:color w:val="000000"/>
          <w:sz w:val="16"/>
          <w:szCs w:val="16"/>
          <w:lang w:val="uk-UA"/>
        </w:rPr>
        <w:t>–</w:t>
      </w:r>
      <w:r w:rsidRPr="006C7989">
        <w:rPr>
          <w:rFonts w:ascii="Times" w:hAnsi="Times" w:cs="Times"/>
          <w:color w:val="000000"/>
          <w:sz w:val="16"/>
          <w:szCs w:val="16"/>
          <w:lang w:val="uk-UA"/>
        </w:rPr>
        <w:t xml:space="preserve"> ритонавір; </w:t>
      </w:r>
      <w:r>
        <w:rPr>
          <w:rFonts w:ascii="Times" w:hAnsi="Times" w:cs="Times"/>
          <w:color w:val="000000"/>
          <w:sz w:val="16"/>
          <w:szCs w:val="16"/>
        </w:rPr>
        <w:t>SOF</w:t>
      </w:r>
      <w:r w:rsidR="00970304">
        <w:rPr>
          <w:rFonts w:ascii="Times" w:hAnsi="Times" w:cs="Times"/>
          <w:color w:val="000000"/>
          <w:sz w:val="16"/>
          <w:szCs w:val="16"/>
          <w:lang w:val="it-IT"/>
        </w:rPr>
        <w:t xml:space="preserve"> </w:t>
      </w:r>
      <w:r w:rsidR="00970304">
        <w:rPr>
          <w:rFonts w:ascii="Times" w:hAnsi="Times" w:cs="Times"/>
          <w:color w:val="000000"/>
          <w:sz w:val="16"/>
          <w:szCs w:val="16"/>
          <w:lang w:val="uk-UA"/>
        </w:rPr>
        <w:t>–</w:t>
      </w:r>
      <w:r w:rsidRPr="006C7989">
        <w:rPr>
          <w:rFonts w:ascii="Times" w:hAnsi="Times" w:cs="Times"/>
          <w:color w:val="000000"/>
          <w:sz w:val="16"/>
          <w:szCs w:val="16"/>
          <w:lang w:val="uk-UA"/>
        </w:rPr>
        <w:t xml:space="preserve"> софосбувір; </w:t>
      </w:r>
      <w:r>
        <w:rPr>
          <w:rFonts w:ascii="Times" w:hAnsi="Times" w:cs="Times"/>
          <w:color w:val="000000"/>
          <w:sz w:val="16"/>
          <w:szCs w:val="16"/>
        </w:rPr>
        <w:t>VEL</w:t>
      </w:r>
      <w:r w:rsidR="00970304">
        <w:rPr>
          <w:rFonts w:ascii="Times" w:hAnsi="Times" w:cs="Times"/>
          <w:color w:val="000000"/>
          <w:sz w:val="16"/>
          <w:szCs w:val="16"/>
          <w:lang w:val="it-IT"/>
        </w:rPr>
        <w:t xml:space="preserve"> </w:t>
      </w:r>
      <w:r w:rsidR="00970304">
        <w:rPr>
          <w:rFonts w:ascii="Times" w:hAnsi="Times" w:cs="Times"/>
          <w:color w:val="000000"/>
          <w:sz w:val="16"/>
          <w:szCs w:val="16"/>
          <w:lang w:val="uk-UA"/>
        </w:rPr>
        <w:t>–</w:t>
      </w:r>
      <w:r w:rsidRPr="006C7989">
        <w:rPr>
          <w:rFonts w:ascii="Times" w:hAnsi="Times" w:cs="Times"/>
          <w:color w:val="000000"/>
          <w:sz w:val="16"/>
          <w:szCs w:val="16"/>
          <w:lang w:val="uk-UA"/>
        </w:rPr>
        <w:t xml:space="preserve"> велпатасвір; </w:t>
      </w:r>
      <w:r w:rsidRPr="001C2959">
        <w:rPr>
          <w:rFonts w:ascii="Times" w:hAnsi="Times" w:cs="Times"/>
          <w:color w:val="000000"/>
          <w:sz w:val="16"/>
          <w:szCs w:val="16"/>
        </w:rPr>
        <w:t>VOX</w:t>
      </w:r>
      <w:r w:rsidR="00970304">
        <w:rPr>
          <w:rFonts w:ascii="Times" w:hAnsi="Times" w:cs="Times"/>
          <w:color w:val="000000"/>
          <w:sz w:val="16"/>
          <w:szCs w:val="16"/>
          <w:lang w:val="uk-UA"/>
        </w:rPr>
        <w:t xml:space="preserve"> –</w:t>
      </w:r>
      <w:r w:rsidRPr="006C7989">
        <w:rPr>
          <w:rFonts w:ascii="Times" w:hAnsi="Times" w:cs="Times"/>
          <w:color w:val="000000"/>
          <w:sz w:val="16"/>
          <w:szCs w:val="16"/>
          <w:lang w:val="uk-UA"/>
        </w:rPr>
        <w:t xml:space="preserve"> воксілапревір.</w:t>
      </w:r>
    </w:p>
    <w:p w14:paraId="746466E1" w14:textId="77777777" w:rsidR="00345456" w:rsidRDefault="00345456" w:rsidP="00365DE4">
      <w:pPr>
        <w:tabs>
          <w:tab w:val="left" w:pos="1089"/>
        </w:tabs>
        <w:rPr>
          <w:rFonts w:ascii="Times New Roman" w:hAnsi="Times New Roman" w:cs="Times New Roman"/>
          <w:b/>
          <w:color w:val="5B9BD5" w:themeColor="accent1"/>
          <w:lang w:val="uk-UA"/>
        </w:rPr>
      </w:pPr>
    </w:p>
    <w:p w14:paraId="7DD370F3" w14:textId="12F9D498" w:rsidR="006A5A2E" w:rsidRPr="00365DE4" w:rsidRDefault="006A5A2E" w:rsidP="00365DE4">
      <w:pPr>
        <w:tabs>
          <w:tab w:val="left" w:pos="1089"/>
        </w:tabs>
        <w:rPr>
          <w:rFonts w:ascii="Times New Roman" w:hAnsi="Times New Roman" w:cs="Times New Roman"/>
          <w:b/>
          <w:color w:val="5B9BD5" w:themeColor="accent1"/>
          <w:lang w:val="uk-UA"/>
        </w:rPr>
      </w:pPr>
      <w:r w:rsidRPr="00365DE4">
        <w:rPr>
          <w:rFonts w:ascii="Times New Roman" w:hAnsi="Times New Roman" w:cs="Times New Roman"/>
          <w:b/>
          <w:color w:val="5B9BD5" w:themeColor="accent1"/>
          <w:lang w:val="uk-UA"/>
        </w:rPr>
        <w:t xml:space="preserve">Лікування генотипу </w:t>
      </w:r>
      <w:r w:rsidR="00365DE4">
        <w:rPr>
          <w:rFonts w:ascii="Times New Roman" w:hAnsi="Times New Roman" w:cs="Times New Roman"/>
          <w:b/>
          <w:color w:val="5B9BD5" w:themeColor="accent1"/>
          <w:lang w:val="uk-UA"/>
        </w:rPr>
        <w:t>1а</w:t>
      </w:r>
    </w:p>
    <w:p w14:paraId="4D30237C" w14:textId="77777777" w:rsidR="00365DE4" w:rsidRDefault="00365DE4" w:rsidP="006A5A2E">
      <w:pPr>
        <w:tabs>
          <w:tab w:val="left" w:pos="1089"/>
        </w:tabs>
        <w:ind w:left="360"/>
        <w:rPr>
          <w:rFonts w:ascii="Times New Roman" w:hAnsi="Times New Roman" w:cs="Times New Roman"/>
          <w:color w:val="000000" w:themeColor="text1"/>
          <w:lang w:val="uk-UA"/>
        </w:rPr>
      </w:pPr>
    </w:p>
    <w:p w14:paraId="33A1116A" w14:textId="45004E86" w:rsidR="006A5A2E" w:rsidRPr="006A5A2E" w:rsidRDefault="00365DE4" w:rsidP="00F53078">
      <w:pPr>
        <w:tabs>
          <w:tab w:val="left" w:pos="1089"/>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В</w:t>
      </w:r>
      <w:r w:rsidRPr="006A5A2E">
        <w:rPr>
          <w:rFonts w:ascii="Times New Roman" w:hAnsi="Times New Roman" w:cs="Times New Roman"/>
          <w:color w:val="000000" w:themeColor="text1"/>
          <w:lang w:val="uk-UA"/>
        </w:rPr>
        <w:t xml:space="preserve"> 2018 </w:t>
      </w:r>
      <w:r>
        <w:rPr>
          <w:rFonts w:ascii="Times New Roman" w:hAnsi="Times New Roman" w:cs="Times New Roman"/>
          <w:color w:val="000000" w:themeColor="text1"/>
          <w:lang w:val="uk-UA"/>
        </w:rPr>
        <w:t xml:space="preserve">році, </w:t>
      </w:r>
      <w:r w:rsidRPr="006A5A2E">
        <w:rPr>
          <w:rFonts w:ascii="Times New Roman" w:hAnsi="Times New Roman" w:cs="Times New Roman"/>
          <w:color w:val="000000" w:themeColor="text1"/>
          <w:lang w:val="uk-UA"/>
        </w:rPr>
        <w:t xml:space="preserve">для пацієнтів, інфікованих </w:t>
      </w:r>
      <w:r w:rsidR="00970304">
        <w:rPr>
          <w:rFonts w:ascii="Times New Roman" w:hAnsi="Times New Roman" w:cs="Times New Roman"/>
          <w:color w:val="000000" w:themeColor="text1"/>
          <w:lang w:val="uk-UA"/>
        </w:rPr>
        <w:t>геноти</w:t>
      </w:r>
      <w:r w:rsidR="00565EE9">
        <w:rPr>
          <w:rFonts w:ascii="Times New Roman" w:hAnsi="Times New Roman" w:cs="Times New Roman"/>
          <w:color w:val="000000" w:themeColor="text1"/>
          <w:lang w:val="uk-UA"/>
        </w:rPr>
        <w:t xml:space="preserve">пом </w:t>
      </w:r>
      <w:r>
        <w:rPr>
          <w:rFonts w:ascii="Times New Roman" w:hAnsi="Times New Roman" w:cs="Times New Roman"/>
          <w:color w:val="000000" w:themeColor="text1"/>
          <w:lang w:val="uk-UA"/>
        </w:rPr>
        <w:t xml:space="preserve">ВГС </w:t>
      </w:r>
      <w:r w:rsidRPr="006A5A2E">
        <w:rPr>
          <w:rFonts w:ascii="Times New Roman" w:hAnsi="Times New Roman" w:cs="Times New Roman"/>
          <w:color w:val="000000" w:themeColor="text1"/>
          <w:lang w:val="uk-UA"/>
        </w:rPr>
        <w:t>1а</w:t>
      </w:r>
      <w:r>
        <w:rPr>
          <w:rFonts w:ascii="Times New Roman" w:hAnsi="Times New Roman" w:cs="Times New Roman"/>
          <w:color w:val="000000" w:themeColor="text1"/>
          <w:lang w:val="uk-UA"/>
        </w:rPr>
        <w:t>, доступні</w:t>
      </w:r>
      <w:r w:rsidRPr="006A5A2E">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ч</w:t>
      </w:r>
      <w:r w:rsidR="006A5A2E" w:rsidRPr="006A5A2E">
        <w:rPr>
          <w:rFonts w:ascii="Times New Roman" w:hAnsi="Times New Roman" w:cs="Times New Roman"/>
          <w:color w:val="000000" w:themeColor="text1"/>
          <w:lang w:val="uk-UA"/>
        </w:rPr>
        <w:t xml:space="preserve">отири варіанти лікування </w:t>
      </w:r>
      <w:r>
        <w:rPr>
          <w:rFonts w:ascii="Times New Roman" w:hAnsi="Times New Roman" w:cs="Times New Roman"/>
          <w:color w:val="000000" w:themeColor="text1"/>
          <w:lang w:val="uk-UA"/>
        </w:rPr>
        <w:t>(Таблиці 6, 7 і 8). Ці варіанти</w:t>
      </w:r>
      <w:r w:rsidR="006A5A2E" w:rsidRPr="006A5A2E">
        <w:rPr>
          <w:rFonts w:ascii="Times New Roman" w:hAnsi="Times New Roman" w:cs="Times New Roman"/>
          <w:color w:val="000000" w:themeColor="text1"/>
          <w:lang w:val="uk-UA"/>
        </w:rPr>
        <w:t xml:space="preserve"> вважаються еквівале</w:t>
      </w:r>
      <w:r>
        <w:rPr>
          <w:rFonts w:ascii="Times New Roman" w:hAnsi="Times New Roman" w:cs="Times New Roman"/>
          <w:color w:val="000000" w:themeColor="text1"/>
          <w:lang w:val="uk-UA"/>
        </w:rPr>
        <w:t>нтними, і порядок</w:t>
      </w:r>
      <w:r w:rsidR="006A5A2E" w:rsidRPr="006A5A2E">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 xml:space="preserve">в якому вони зазначені, </w:t>
      </w:r>
      <w:r w:rsidR="006A5A2E" w:rsidRPr="006A5A2E">
        <w:rPr>
          <w:rFonts w:ascii="Times New Roman" w:hAnsi="Times New Roman" w:cs="Times New Roman"/>
          <w:color w:val="000000" w:themeColor="text1"/>
          <w:lang w:val="uk-UA"/>
        </w:rPr>
        <w:t>не</w:t>
      </w:r>
      <w:r>
        <w:rPr>
          <w:rFonts w:ascii="Times New Roman" w:hAnsi="Times New Roman" w:cs="Times New Roman"/>
          <w:color w:val="000000" w:themeColor="text1"/>
          <w:lang w:val="uk-UA"/>
        </w:rPr>
        <w:t xml:space="preserve"> вказує на переваги щодо їх застосування</w:t>
      </w:r>
      <w:r w:rsidR="006A5A2E" w:rsidRPr="006A5A2E">
        <w:rPr>
          <w:rFonts w:ascii="Times New Roman" w:hAnsi="Times New Roman" w:cs="Times New Roman"/>
          <w:color w:val="000000" w:themeColor="text1"/>
          <w:lang w:val="uk-UA"/>
        </w:rPr>
        <w:t>:</w:t>
      </w:r>
    </w:p>
    <w:p w14:paraId="6056F53B" w14:textId="77777777" w:rsidR="00365DE4" w:rsidRDefault="00365DE4" w:rsidP="00365DE4">
      <w:pPr>
        <w:tabs>
          <w:tab w:val="left" w:pos="1089"/>
        </w:tabs>
        <w:rPr>
          <w:rFonts w:ascii="Times New Roman" w:hAnsi="Times New Roman" w:cs="Times New Roman"/>
          <w:color w:val="000000" w:themeColor="text1"/>
          <w:lang w:val="uk-UA"/>
        </w:rPr>
      </w:pPr>
    </w:p>
    <w:p w14:paraId="030ACD07" w14:textId="735A52CB" w:rsidR="00365DE4" w:rsidRDefault="00DF26B0" w:rsidP="00365DE4">
      <w:pPr>
        <w:tabs>
          <w:tab w:val="left" w:pos="1089"/>
        </w:tabs>
        <w:rPr>
          <w:rFonts w:ascii="Times New Roman" w:hAnsi="Times New Roman" w:cs="Times New Roman"/>
          <w:color w:val="000000" w:themeColor="text1"/>
          <w:lang w:val="uk-UA"/>
        </w:rPr>
      </w:pPr>
      <w:r>
        <w:rPr>
          <w:rFonts w:ascii="Times New Roman" w:hAnsi="Times New Roman" w:cs="Times New Roman"/>
          <w:color w:val="000000" w:themeColor="text1"/>
          <w:lang w:val="uk-UA"/>
        </w:rPr>
        <w:t>Софосбувір/</w:t>
      </w:r>
      <w:r w:rsidR="00365DE4">
        <w:rPr>
          <w:rFonts w:ascii="Times New Roman" w:hAnsi="Times New Roman" w:cs="Times New Roman"/>
          <w:color w:val="000000" w:themeColor="text1"/>
          <w:lang w:val="uk-UA"/>
        </w:rPr>
        <w:t>в</w:t>
      </w:r>
      <w:r w:rsidR="006A5A2E" w:rsidRPr="006A5A2E">
        <w:rPr>
          <w:rFonts w:ascii="Times New Roman" w:hAnsi="Times New Roman" w:cs="Times New Roman"/>
          <w:color w:val="000000" w:themeColor="text1"/>
          <w:lang w:val="uk-UA"/>
        </w:rPr>
        <w:t>ел</w:t>
      </w:r>
      <w:r w:rsidR="00365DE4">
        <w:rPr>
          <w:rFonts w:ascii="Times New Roman" w:hAnsi="Times New Roman" w:cs="Times New Roman"/>
          <w:color w:val="000000" w:themeColor="text1"/>
          <w:lang w:val="uk-UA"/>
        </w:rPr>
        <w:t>п</w:t>
      </w:r>
      <w:r w:rsidR="006A5A2E" w:rsidRPr="006A5A2E">
        <w:rPr>
          <w:rFonts w:ascii="Times New Roman" w:hAnsi="Times New Roman" w:cs="Times New Roman"/>
          <w:color w:val="000000" w:themeColor="text1"/>
          <w:lang w:val="uk-UA"/>
        </w:rPr>
        <w:t>ата</w:t>
      </w:r>
      <w:r w:rsidR="00365DE4">
        <w:rPr>
          <w:rFonts w:ascii="Times New Roman" w:hAnsi="Times New Roman" w:cs="Times New Roman"/>
          <w:color w:val="000000" w:themeColor="text1"/>
          <w:lang w:val="uk-UA"/>
        </w:rPr>
        <w:t>с</w:t>
      </w:r>
      <w:r w:rsidR="006A5A2E" w:rsidRPr="006A5A2E">
        <w:rPr>
          <w:rFonts w:ascii="Times New Roman" w:hAnsi="Times New Roman" w:cs="Times New Roman"/>
          <w:color w:val="000000" w:themeColor="text1"/>
          <w:lang w:val="uk-UA"/>
        </w:rPr>
        <w:t xml:space="preserve">вір. </w:t>
      </w:r>
    </w:p>
    <w:p w14:paraId="4743DECE" w14:textId="642E939F" w:rsidR="00365DE4" w:rsidRDefault="00DF26B0" w:rsidP="00365DE4">
      <w:pPr>
        <w:tabs>
          <w:tab w:val="left" w:pos="1089"/>
        </w:tabs>
        <w:rPr>
          <w:rFonts w:ascii="Times New Roman" w:hAnsi="Times New Roman" w:cs="Times New Roman"/>
          <w:color w:val="000000" w:themeColor="text1"/>
          <w:lang w:val="uk-UA"/>
        </w:rPr>
      </w:pPr>
      <w:r>
        <w:rPr>
          <w:rFonts w:ascii="Times New Roman" w:hAnsi="Times New Roman" w:cs="Times New Roman"/>
          <w:color w:val="000000" w:themeColor="text1"/>
          <w:lang w:val="uk-UA"/>
        </w:rPr>
        <w:t>Глекапревір/</w:t>
      </w:r>
      <w:r w:rsidR="00365DE4">
        <w:rPr>
          <w:rFonts w:ascii="Times New Roman" w:hAnsi="Times New Roman" w:cs="Times New Roman"/>
          <w:color w:val="000000" w:themeColor="text1"/>
          <w:lang w:val="uk-UA"/>
        </w:rPr>
        <w:t>пібрентасвір</w:t>
      </w:r>
      <w:r w:rsidR="006A5A2E" w:rsidRPr="006A5A2E">
        <w:rPr>
          <w:rFonts w:ascii="Times New Roman" w:hAnsi="Times New Roman" w:cs="Times New Roman"/>
          <w:color w:val="000000" w:themeColor="text1"/>
          <w:lang w:val="uk-UA"/>
        </w:rPr>
        <w:t xml:space="preserve">. </w:t>
      </w:r>
    </w:p>
    <w:p w14:paraId="2748D2E0" w14:textId="1E704272" w:rsidR="00365DE4" w:rsidRDefault="00DF26B0" w:rsidP="00365DE4">
      <w:pPr>
        <w:tabs>
          <w:tab w:val="left" w:pos="1089"/>
        </w:tabs>
        <w:rPr>
          <w:rFonts w:ascii="Times New Roman" w:hAnsi="Times New Roman" w:cs="Times New Roman"/>
          <w:color w:val="000000" w:themeColor="text1"/>
          <w:lang w:val="uk-UA"/>
        </w:rPr>
      </w:pPr>
      <w:r>
        <w:rPr>
          <w:rFonts w:ascii="Times New Roman" w:hAnsi="Times New Roman" w:cs="Times New Roman"/>
          <w:color w:val="000000" w:themeColor="text1"/>
          <w:lang w:val="uk-UA"/>
        </w:rPr>
        <w:t>Софосбувір/</w:t>
      </w:r>
      <w:r w:rsidR="00365DE4">
        <w:rPr>
          <w:rFonts w:ascii="Times New Roman" w:hAnsi="Times New Roman" w:cs="Times New Roman"/>
          <w:color w:val="000000" w:themeColor="text1"/>
          <w:lang w:val="uk-UA"/>
        </w:rPr>
        <w:t>ле</w:t>
      </w:r>
      <w:r w:rsidR="006A5A2E" w:rsidRPr="006A5A2E">
        <w:rPr>
          <w:rFonts w:ascii="Times New Roman" w:hAnsi="Times New Roman" w:cs="Times New Roman"/>
          <w:color w:val="000000" w:themeColor="text1"/>
          <w:lang w:val="uk-UA"/>
        </w:rPr>
        <w:t xml:space="preserve">діпасвір. </w:t>
      </w:r>
    </w:p>
    <w:p w14:paraId="12872E7F" w14:textId="5D8D4CE9" w:rsidR="006A5A2E" w:rsidRDefault="00DF26B0" w:rsidP="00365DE4">
      <w:pPr>
        <w:tabs>
          <w:tab w:val="left" w:pos="1089"/>
        </w:tabs>
        <w:rPr>
          <w:rFonts w:ascii="Times New Roman" w:hAnsi="Times New Roman" w:cs="Times New Roman"/>
          <w:color w:val="000000" w:themeColor="text1"/>
          <w:lang w:val="uk-UA"/>
        </w:rPr>
      </w:pPr>
      <w:r>
        <w:rPr>
          <w:rFonts w:ascii="Times New Roman" w:hAnsi="Times New Roman" w:cs="Times New Roman"/>
          <w:color w:val="000000" w:themeColor="text1"/>
          <w:lang w:val="uk-UA"/>
        </w:rPr>
        <w:t>Гразопревір/</w:t>
      </w:r>
      <w:r w:rsidR="00365DE4">
        <w:rPr>
          <w:rFonts w:ascii="Times New Roman" w:hAnsi="Times New Roman" w:cs="Times New Roman"/>
          <w:color w:val="000000" w:themeColor="text1"/>
          <w:lang w:val="uk-UA"/>
        </w:rPr>
        <w:t>ел</w:t>
      </w:r>
      <w:r w:rsidR="006A5A2E" w:rsidRPr="006A5A2E">
        <w:rPr>
          <w:rFonts w:ascii="Times New Roman" w:hAnsi="Times New Roman" w:cs="Times New Roman"/>
          <w:color w:val="000000" w:themeColor="text1"/>
          <w:lang w:val="uk-UA"/>
        </w:rPr>
        <w:t>ба</w:t>
      </w:r>
      <w:r w:rsidR="00365DE4">
        <w:rPr>
          <w:rFonts w:ascii="Times New Roman" w:hAnsi="Times New Roman" w:cs="Times New Roman"/>
          <w:color w:val="000000" w:themeColor="text1"/>
          <w:lang w:val="uk-UA"/>
        </w:rPr>
        <w:t>с</w:t>
      </w:r>
      <w:r w:rsidR="006A5A2E" w:rsidRPr="006A5A2E">
        <w:rPr>
          <w:rFonts w:ascii="Times New Roman" w:hAnsi="Times New Roman" w:cs="Times New Roman"/>
          <w:color w:val="000000" w:themeColor="text1"/>
          <w:lang w:val="uk-UA"/>
        </w:rPr>
        <w:t>вір</w:t>
      </w:r>
    </w:p>
    <w:p w14:paraId="5B84023C" w14:textId="77777777" w:rsidR="003C69E2" w:rsidRDefault="003C69E2" w:rsidP="00365DE4">
      <w:pPr>
        <w:tabs>
          <w:tab w:val="left" w:pos="1089"/>
        </w:tabs>
        <w:rPr>
          <w:rFonts w:ascii="Times New Roman" w:hAnsi="Times New Roman" w:cs="Times New Roman"/>
          <w:color w:val="000000" w:themeColor="text1"/>
          <w:lang w:val="uk-UA"/>
        </w:rPr>
      </w:pPr>
    </w:p>
    <w:tbl>
      <w:tblPr>
        <w:tblStyle w:val="a6"/>
        <w:tblW w:w="0" w:type="auto"/>
        <w:shd w:val="clear" w:color="auto" w:fill="BDD6EE" w:themeFill="accent1" w:themeFillTint="66"/>
        <w:tblLook w:val="04A0" w:firstRow="1" w:lastRow="0" w:firstColumn="1" w:lastColumn="0" w:noHBand="0" w:noVBand="1"/>
      </w:tblPr>
      <w:tblGrid>
        <w:gridCol w:w="9906"/>
      </w:tblGrid>
      <w:tr w:rsidR="003C69E2" w:rsidRPr="0080595E" w14:paraId="18BC2DC8" w14:textId="77777777" w:rsidTr="00597C6A">
        <w:tc>
          <w:tcPr>
            <w:tcW w:w="9906" w:type="dxa"/>
            <w:shd w:val="clear" w:color="auto" w:fill="BDD6EE" w:themeFill="accent1" w:themeFillTint="66"/>
          </w:tcPr>
          <w:p w14:paraId="3744C52B" w14:textId="207D20F3" w:rsidR="002726B9" w:rsidRPr="00F75915" w:rsidRDefault="002726B9" w:rsidP="002726B9">
            <w:pPr>
              <w:tabs>
                <w:tab w:val="left" w:pos="1089"/>
              </w:tabs>
              <w:rPr>
                <w:rFonts w:ascii="Times New Roman" w:hAnsi="Times New Roman" w:cs="Times New Roman"/>
                <w:b/>
                <w:i/>
                <w:color w:val="000000" w:themeColor="text1"/>
                <w:lang w:val="uk-UA"/>
              </w:rPr>
            </w:pPr>
            <w:r w:rsidRPr="00F75915">
              <w:rPr>
                <w:rFonts w:ascii="Times New Roman" w:hAnsi="Times New Roman" w:cs="Times New Roman"/>
                <w:b/>
                <w:i/>
                <w:color w:val="000000" w:themeColor="text1"/>
                <w:lang w:val="uk-UA"/>
              </w:rPr>
              <w:t>Генотип 1а, Пангеноти</w:t>
            </w:r>
            <w:r w:rsidR="00565EE9">
              <w:rPr>
                <w:rFonts w:ascii="Times New Roman" w:hAnsi="Times New Roman" w:cs="Times New Roman"/>
                <w:b/>
                <w:i/>
                <w:color w:val="000000" w:themeColor="text1"/>
                <w:lang w:val="uk-UA"/>
              </w:rPr>
              <w:t>пна</w:t>
            </w:r>
            <w:r w:rsidR="00C0148D" w:rsidRPr="00F75915">
              <w:rPr>
                <w:rFonts w:ascii="Times New Roman" w:hAnsi="Times New Roman" w:cs="Times New Roman"/>
                <w:b/>
                <w:i/>
                <w:color w:val="000000" w:themeColor="text1"/>
                <w:lang w:val="uk-UA"/>
              </w:rPr>
              <w:t xml:space="preserve"> схема</w:t>
            </w:r>
            <w:r w:rsidRPr="00F75915">
              <w:rPr>
                <w:rFonts w:ascii="Times New Roman" w:hAnsi="Times New Roman" w:cs="Times New Roman"/>
                <w:b/>
                <w:i/>
                <w:color w:val="000000" w:themeColor="text1"/>
                <w:lang w:val="uk-UA"/>
              </w:rPr>
              <w:t xml:space="preserve">: </w:t>
            </w:r>
            <w:r w:rsidR="008A50B6">
              <w:rPr>
                <w:rFonts w:ascii="Times New Roman" w:hAnsi="Times New Roman" w:cs="Times New Roman"/>
                <w:b/>
                <w:i/>
                <w:color w:val="000000" w:themeColor="text1"/>
                <w:lang w:val="uk-UA"/>
              </w:rPr>
              <w:t>с</w:t>
            </w:r>
            <w:r w:rsidRPr="00F75915">
              <w:rPr>
                <w:rFonts w:ascii="Times New Roman" w:hAnsi="Times New Roman" w:cs="Times New Roman"/>
                <w:b/>
                <w:i/>
                <w:color w:val="000000" w:themeColor="text1"/>
                <w:lang w:val="uk-UA"/>
              </w:rPr>
              <w:t>офосбувір/</w:t>
            </w:r>
            <w:r w:rsidR="008A50B6">
              <w:rPr>
                <w:rFonts w:ascii="Times New Roman" w:hAnsi="Times New Roman" w:cs="Times New Roman"/>
                <w:b/>
                <w:i/>
                <w:color w:val="000000" w:themeColor="text1"/>
                <w:lang w:val="uk-UA"/>
              </w:rPr>
              <w:t>в</w:t>
            </w:r>
            <w:r w:rsidRPr="00F75915">
              <w:rPr>
                <w:rFonts w:ascii="Times New Roman" w:hAnsi="Times New Roman" w:cs="Times New Roman"/>
                <w:b/>
                <w:i/>
                <w:color w:val="000000" w:themeColor="text1"/>
                <w:lang w:val="uk-UA"/>
              </w:rPr>
              <w:t>елпатасвір</w:t>
            </w:r>
          </w:p>
          <w:p w14:paraId="5254C2A6" w14:textId="659A7B20" w:rsidR="003C69E2" w:rsidRPr="002726B9" w:rsidRDefault="002726B9" w:rsidP="00015E3B">
            <w:pPr>
              <w:pStyle w:val="a9"/>
              <w:numPr>
                <w:ilvl w:val="0"/>
                <w:numId w:val="5"/>
              </w:numPr>
              <w:tabs>
                <w:tab w:val="left" w:pos="1089"/>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Лікування </w:t>
            </w:r>
            <w:r w:rsidR="00652F9A" w:rsidRPr="008A50B6">
              <w:rPr>
                <w:rFonts w:ascii="Times New Roman" w:hAnsi="Times New Roman" w:cs="Times New Roman"/>
                <w:color w:val="000000" w:themeColor="text1"/>
                <w:lang w:val="uk-UA"/>
              </w:rPr>
              <w:t xml:space="preserve">“наївних” </w:t>
            </w:r>
            <w:r>
              <w:rPr>
                <w:rFonts w:ascii="Times New Roman" w:hAnsi="Times New Roman" w:cs="Times New Roman"/>
                <w:color w:val="000000" w:themeColor="text1"/>
                <w:lang w:val="uk-UA"/>
              </w:rPr>
              <w:t>та пацієнтів</w:t>
            </w:r>
            <w:r w:rsidR="00652F9A" w:rsidRPr="00652F9A">
              <w:rPr>
                <w:lang w:val="uk-UA"/>
              </w:rPr>
              <w:t xml:space="preserve"> </w:t>
            </w:r>
            <w:r w:rsidR="00652F9A" w:rsidRPr="00652F9A">
              <w:rPr>
                <w:rFonts w:ascii="Times New Roman" w:hAnsi="Times New Roman" w:cs="Times New Roman"/>
                <w:color w:val="000000" w:themeColor="text1"/>
                <w:lang w:val="uk-UA"/>
              </w:rPr>
              <w:t>з досвідом лікування</w:t>
            </w:r>
            <w:r w:rsidRPr="002726B9">
              <w:rPr>
                <w:rFonts w:ascii="Times New Roman" w:hAnsi="Times New Roman" w:cs="Times New Roman"/>
                <w:color w:val="000000" w:themeColor="text1"/>
                <w:lang w:val="uk-UA"/>
              </w:rPr>
              <w:t>, інфікован</w:t>
            </w:r>
            <w:r w:rsidR="00565EE9">
              <w:rPr>
                <w:rFonts w:ascii="Times New Roman" w:hAnsi="Times New Roman" w:cs="Times New Roman"/>
                <w:color w:val="000000" w:themeColor="text1"/>
                <w:lang w:val="uk-UA"/>
              </w:rPr>
              <w:t>их</w:t>
            </w:r>
            <w:r w:rsidRPr="002726B9">
              <w:rPr>
                <w:rFonts w:ascii="Times New Roman" w:hAnsi="Times New Roman" w:cs="Times New Roman"/>
                <w:color w:val="000000" w:themeColor="text1"/>
                <w:lang w:val="uk-UA"/>
              </w:rPr>
              <w:t xml:space="preserve"> ВГС генотипом 1а, без цирозу або з компенсованим цироз</w:t>
            </w:r>
            <w:r w:rsidR="00565EE9">
              <w:rPr>
                <w:rFonts w:ascii="Times New Roman" w:hAnsi="Times New Roman" w:cs="Times New Roman"/>
                <w:color w:val="000000" w:themeColor="text1"/>
                <w:lang w:val="uk-UA"/>
              </w:rPr>
              <w:t>ом</w:t>
            </w:r>
            <w:r w:rsidRPr="002726B9">
              <w:rPr>
                <w:rFonts w:ascii="Times New Roman" w:hAnsi="Times New Roman" w:cs="Times New Roman"/>
                <w:color w:val="000000" w:themeColor="text1"/>
                <w:lang w:val="uk-UA"/>
              </w:rPr>
              <w:t xml:space="preserve"> (Child</w:t>
            </w:r>
            <w:r w:rsidR="00FC6D8A">
              <w:rPr>
                <w:rFonts w:ascii="Times New Roman" w:hAnsi="Times New Roman" w:cs="Times New Roman"/>
                <w:color w:val="000000" w:themeColor="text1"/>
                <w:lang w:val="uk-UA"/>
              </w:rPr>
              <w:t>–</w:t>
            </w:r>
            <w:r w:rsidRPr="002726B9">
              <w:rPr>
                <w:rFonts w:ascii="Times New Roman" w:hAnsi="Times New Roman" w:cs="Times New Roman"/>
                <w:color w:val="000000" w:themeColor="text1"/>
                <w:lang w:val="uk-UA"/>
              </w:rPr>
              <w:t xml:space="preserve">Pugh A), </w:t>
            </w:r>
            <w:r>
              <w:rPr>
                <w:rFonts w:ascii="Times New Roman" w:hAnsi="Times New Roman" w:cs="Times New Roman"/>
                <w:color w:val="000000" w:themeColor="text1"/>
                <w:lang w:val="uk-UA"/>
              </w:rPr>
              <w:t>комбінацією з фіксованим дозуванням</w:t>
            </w:r>
            <w:r w:rsidRPr="002726B9">
              <w:rPr>
                <w:rFonts w:ascii="Times New Roman" w:hAnsi="Times New Roman" w:cs="Times New Roman"/>
                <w:color w:val="000000" w:themeColor="text1"/>
                <w:lang w:val="uk-UA"/>
              </w:rPr>
              <w:t xml:space="preserve"> софосбувіру та вел</w:t>
            </w:r>
            <w:r>
              <w:rPr>
                <w:rFonts w:ascii="Times New Roman" w:hAnsi="Times New Roman" w:cs="Times New Roman"/>
                <w:color w:val="000000" w:themeColor="text1"/>
                <w:lang w:val="uk-UA"/>
              </w:rPr>
              <w:t>п</w:t>
            </w:r>
            <w:r w:rsidRPr="002726B9">
              <w:rPr>
                <w:rFonts w:ascii="Times New Roman" w:hAnsi="Times New Roman" w:cs="Times New Roman"/>
                <w:color w:val="000000" w:themeColor="text1"/>
                <w:lang w:val="uk-UA"/>
              </w:rPr>
              <w:t>атасвіру протягом 12 тижнів (A1)</w:t>
            </w:r>
          </w:p>
        </w:tc>
      </w:tr>
    </w:tbl>
    <w:p w14:paraId="7256AFFB" w14:textId="77777777" w:rsidR="003C69E2" w:rsidRDefault="003C69E2" w:rsidP="00365DE4">
      <w:pPr>
        <w:tabs>
          <w:tab w:val="left" w:pos="1089"/>
        </w:tabs>
        <w:rPr>
          <w:rFonts w:ascii="Times New Roman" w:hAnsi="Times New Roman" w:cs="Times New Roman"/>
          <w:color w:val="000000" w:themeColor="text1"/>
          <w:lang w:val="uk-UA"/>
        </w:rPr>
      </w:pPr>
    </w:p>
    <w:p w14:paraId="523B8043" w14:textId="3B88FE2B" w:rsidR="002726B9" w:rsidRPr="008A50B6" w:rsidRDefault="002726B9" w:rsidP="00F53078">
      <w:pPr>
        <w:tabs>
          <w:tab w:val="left" w:pos="1089"/>
        </w:tabs>
        <w:jc w:val="both"/>
        <w:rPr>
          <w:rFonts w:ascii="Times New Roman" w:hAnsi="Times New Roman" w:cs="Times New Roman"/>
          <w:b/>
          <w:color w:val="000000" w:themeColor="text1"/>
          <w:vertAlign w:val="superscript"/>
          <w:lang w:val="uk-UA"/>
        </w:rPr>
      </w:pPr>
      <w:r>
        <w:rPr>
          <w:rFonts w:ascii="Times New Roman" w:hAnsi="Times New Roman" w:cs="Times New Roman"/>
          <w:color w:val="000000" w:themeColor="text1"/>
          <w:lang w:val="uk-UA"/>
        </w:rPr>
        <w:t xml:space="preserve">Коментарі: ця схема рекомендована за результатами </w:t>
      </w:r>
      <w:r w:rsidRPr="002726B9">
        <w:rPr>
          <w:rFonts w:ascii="Times New Roman" w:hAnsi="Times New Roman" w:cs="Times New Roman"/>
          <w:color w:val="000000" w:themeColor="text1"/>
          <w:lang w:val="uk-UA"/>
        </w:rPr>
        <w:t xml:space="preserve">III фази випробування </w:t>
      </w:r>
      <w:r w:rsidRPr="008A50B6">
        <w:rPr>
          <w:rFonts w:ascii="Times New Roman" w:hAnsi="Times New Roman" w:cs="Times New Roman"/>
          <w:color w:val="000000" w:themeColor="text1"/>
          <w:lang w:val="uk-UA"/>
        </w:rPr>
        <w:t>АСТРАЛ</w:t>
      </w:r>
      <w:r w:rsidR="00FC6D8A">
        <w:rPr>
          <w:rFonts w:ascii="Times New Roman" w:hAnsi="Times New Roman" w:cs="Times New Roman"/>
          <w:color w:val="000000" w:themeColor="text1"/>
          <w:lang w:val="uk-UA"/>
        </w:rPr>
        <w:t>–</w:t>
      </w:r>
      <w:r w:rsidRPr="008A50B6">
        <w:rPr>
          <w:rFonts w:ascii="Times New Roman" w:hAnsi="Times New Roman" w:cs="Times New Roman"/>
          <w:color w:val="000000" w:themeColor="text1"/>
          <w:lang w:val="uk-UA"/>
        </w:rPr>
        <w:t>1 у пацієнтів з інфекцією ВГС 1</w:t>
      </w:r>
      <w:r w:rsidR="00FC6D8A">
        <w:rPr>
          <w:rFonts w:ascii="Times New Roman" w:hAnsi="Times New Roman" w:cs="Times New Roman"/>
          <w:color w:val="000000" w:themeColor="text1"/>
          <w:lang w:val="uk-UA"/>
        </w:rPr>
        <w:t>–</w:t>
      </w:r>
      <w:r w:rsidRPr="008A50B6">
        <w:rPr>
          <w:rFonts w:ascii="Times New Roman" w:hAnsi="Times New Roman" w:cs="Times New Roman"/>
          <w:color w:val="000000" w:themeColor="text1"/>
          <w:lang w:val="uk-UA"/>
        </w:rPr>
        <w:t xml:space="preserve">го генотипу (22% з цирозом печінки, 66% </w:t>
      </w:r>
      <w:r w:rsidR="00652F9A" w:rsidRPr="008A50B6">
        <w:rPr>
          <w:rFonts w:ascii="Times New Roman" w:hAnsi="Times New Roman" w:cs="Times New Roman"/>
          <w:color w:val="000000" w:themeColor="text1"/>
          <w:lang w:val="uk-UA"/>
        </w:rPr>
        <w:t>“наївних”</w:t>
      </w:r>
      <w:r w:rsidRPr="008A50B6">
        <w:rPr>
          <w:rFonts w:ascii="Times New Roman" w:hAnsi="Times New Roman" w:cs="Times New Roman"/>
          <w:color w:val="000000" w:themeColor="text1"/>
          <w:lang w:val="uk-UA"/>
        </w:rPr>
        <w:t xml:space="preserve">, 34% </w:t>
      </w:r>
      <w:r w:rsidR="00652F9A" w:rsidRPr="00652F9A">
        <w:rPr>
          <w:rFonts w:ascii="Times New Roman" w:hAnsi="Times New Roman" w:cs="Times New Roman"/>
          <w:color w:val="000000" w:themeColor="text1"/>
          <w:lang w:val="uk-UA"/>
        </w:rPr>
        <w:t>з досвідом лікування</w:t>
      </w:r>
      <w:r w:rsidRPr="008A50B6">
        <w:rPr>
          <w:rFonts w:ascii="Times New Roman" w:hAnsi="Times New Roman" w:cs="Times New Roman"/>
          <w:color w:val="000000" w:themeColor="text1"/>
          <w:lang w:val="uk-UA"/>
        </w:rPr>
        <w:t>, 44% з яких лікувалис</w:t>
      </w:r>
      <w:r w:rsidR="00652F9A">
        <w:rPr>
          <w:rFonts w:ascii="Times New Roman" w:hAnsi="Times New Roman" w:cs="Times New Roman"/>
          <w:color w:val="000000" w:themeColor="text1"/>
          <w:lang w:val="uk-UA"/>
        </w:rPr>
        <w:t>я</w:t>
      </w:r>
      <w:r w:rsidRPr="008A50B6">
        <w:rPr>
          <w:rFonts w:ascii="Times New Roman" w:hAnsi="Times New Roman" w:cs="Times New Roman"/>
          <w:color w:val="000000" w:themeColor="text1"/>
          <w:lang w:val="uk-UA"/>
        </w:rPr>
        <w:t xml:space="preserve"> ПППД), які отримували фіксовану дозу комбінації софосбувір</w:t>
      </w:r>
      <w:r w:rsidR="00345456">
        <w:rPr>
          <w:rFonts w:ascii="Times New Roman" w:hAnsi="Times New Roman" w:cs="Times New Roman"/>
          <w:color w:val="000000" w:themeColor="text1"/>
          <w:lang w:val="uk-UA"/>
        </w:rPr>
        <w:t>у</w:t>
      </w:r>
      <w:r w:rsidRPr="008A50B6">
        <w:rPr>
          <w:rFonts w:ascii="Times New Roman" w:hAnsi="Times New Roman" w:cs="Times New Roman"/>
          <w:color w:val="000000" w:themeColor="text1"/>
          <w:lang w:val="uk-UA"/>
        </w:rPr>
        <w:t xml:space="preserve"> і  велпатасвіру протягом 12 тижнів. СВВ12 спостерігалася у 98% (206/210; один рецидив) пацієнтів, інфікованих гено</w:t>
      </w:r>
      <w:r w:rsidR="00565EE9" w:rsidRPr="008A50B6">
        <w:rPr>
          <w:rFonts w:ascii="Times New Roman" w:hAnsi="Times New Roman" w:cs="Times New Roman"/>
          <w:color w:val="000000" w:themeColor="text1"/>
          <w:lang w:val="uk-UA"/>
        </w:rPr>
        <w:t>типом</w:t>
      </w:r>
      <w:r w:rsidRPr="008A50B6">
        <w:rPr>
          <w:rFonts w:ascii="Times New Roman" w:hAnsi="Times New Roman" w:cs="Times New Roman"/>
          <w:color w:val="000000" w:themeColor="text1"/>
          <w:lang w:val="uk-UA"/>
        </w:rPr>
        <w:t xml:space="preserve"> 1а</w:t>
      </w:r>
      <w:r w:rsidRPr="008A50B6">
        <w:rPr>
          <w:rFonts w:ascii="Times New Roman" w:hAnsi="Times New Roman" w:cs="Times New Roman"/>
          <w:color w:val="000000" w:themeColor="text1"/>
          <w:vertAlign w:val="superscript"/>
          <w:lang w:val="uk-UA"/>
        </w:rPr>
        <w:t>.67</w:t>
      </w:r>
      <w:r w:rsidRPr="008A50B6">
        <w:rPr>
          <w:rFonts w:ascii="Times New Roman" w:hAnsi="Times New Roman" w:cs="Times New Roman"/>
          <w:color w:val="000000" w:themeColor="text1"/>
          <w:lang w:val="uk-UA"/>
        </w:rPr>
        <w:t>. Ці результати підтверджувалис</w:t>
      </w:r>
      <w:r w:rsidR="00345456">
        <w:rPr>
          <w:rFonts w:ascii="Times New Roman" w:hAnsi="Times New Roman" w:cs="Times New Roman"/>
          <w:color w:val="000000" w:themeColor="text1"/>
          <w:lang w:val="uk-UA"/>
        </w:rPr>
        <w:t>я</w:t>
      </w:r>
      <w:r w:rsidRPr="008A50B6">
        <w:rPr>
          <w:rFonts w:ascii="Times New Roman" w:hAnsi="Times New Roman" w:cs="Times New Roman"/>
          <w:color w:val="000000" w:themeColor="text1"/>
          <w:lang w:val="uk-UA"/>
        </w:rPr>
        <w:t xml:space="preserve"> </w:t>
      </w:r>
      <w:r w:rsidR="00345456">
        <w:rPr>
          <w:rFonts w:ascii="Times New Roman" w:hAnsi="Times New Roman" w:cs="Times New Roman"/>
          <w:color w:val="000000" w:themeColor="text1"/>
          <w:lang w:val="uk-UA"/>
        </w:rPr>
        <w:t xml:space="preserve">у </w:t>
      </w:r>
      <w:r w:rsidRPr="008A50B6">
        <w:rPr>
          <w:rFonts w:ascii="Times New Roman" w:hAnsi="Times New Roman" w:cs="Times New Roman"/>
          <w:color w:val="000000" w:themeColor="text1"/>
          <w:lang w:val="uk-UA"/>
        </w:rPr>
        <w:t>багатоцентрових дослідженнях.</w:t>
      </w:r>
      <w:r w:rsidRPr="008A50B6">
        <w:rPr>
          <w:rFonts w:ascii="Times New Roman" w:hAnsi="Times New Roman" w:cs="Times New Roman"/>
          <w:b/>
          <w:color w:val="000000" w:themeColor="text1"/>
          <w:vertAlign w:val="superscript"/>
          <w:lang w:val="uk-UA"/>
        </w:rPr>
        <w:t>68,69</w:t>
      </w:r>
    </w:p>
    <w:p w14:paraId="5A16F4C5" w14:textId="77777777" w:rsidR="00695873" w:rsidRPr="008A50B6" w:rsidRDefault="00695873" w:rsidP="00F53078">
      <w:pPr>
        <w:tabs>
          <w:tab w:val="left" w:pos="1089"/>
        </w:tabs>
        <w:jc w:val="both"/>
        <w:rPr>
          <w:rFonts w:ascii="Times New Roman" w:hAnsi="Times New Roman" w:cs="Times New Roman"/>
          <w:b/>
          <w:color w:val="000000" w:themeColor="text1"/>
          <w:vertAlign w:val="superscript"/>
          <w:lang w:val="uk-UA"/>
        </w:rPr>
      </w:pPr>
    </w:p>
    <w:p w14:paraId="08E27A84" w14:textId="76233454" w:rsidR="00051730" w:rsidRDefault="00695873" w:rsidP="00F53078">
      <w:pPr>
        <w:tabs>
          <w:tab w:val="left" w:pos="1089"/>
        </w:tabs>
        <w:jc w:val="both"/>
        <w:rPr>
          <w:rFonts w:ascii="Times New Roman" w:hAnsi="Times New Roman" w:cs="Times New Roman"/>
          <w:color w:val="000000" w:themeColor="text1"/>
          <w:lang w:val="uk-UA"/>
        </w:rPr>
      </w:pPr>
      <w:r w:rsidRPr="008A50B6">
        <w:rPr>
          <w:rFonts w:ascii="Times New Roman" w:hAnsi="Times New Roman" w:cs="Times New Roman"/>
          <w:color w:val="000000" w:themeColor="text1"/>
          <w:lang w:val="uk-UA"/>
        </w:rPr>
        <w:t>У дослідженні ASTRAL</w:t>
      </w:r>
      <w:r w:rsidR="00FC6D8A">
        <w:rPr>
          <w:rFonts w:ascii="Times New Roman" w:hAnsi="Times New Roman" w:cs="Times New Roman"/>
          <w:color w:val="000000" w:themeColor="text1"/>
          <w:lang w:val="uk-UA"/>
        </w:rPr>
        <w:t>–</w:t>
      </w:r>
      <w:r w:rsidRPr="008A50B6">
        <w:rPr>
          <w:rFonts w:ascii="Times New Roman" w:hAnsi="Times New Roman" w:cs="Times New Roman"/>
          <w:color w:val="000000" w:themeColor="text1"/>
          <w:lang w:val="uk-UA"/>
        </w:rPr>
        <w:t>5 у “наївних” та пацієнтів</w:t>
      </w:r>
      <w:r w:rsidR="00652F9A">
        <w:rPr>
          <w:rFonts w:ascii="Times New Roman" w:hAnsi="Times New Roman" w:cs="Times New Roman"/>
          <w:color w:val="000000" w:themeColor="text1"/>
          <w:lang w:val="uk-UA"/>
        </w:rPr>
        <w:t xml:space="preserve"> з досвідом лікування</w:t>
      </w:r>
      <w:r w:rsidRPr="008A50B6">
        <w:rPr>
          <w:rFonts w:ascii="Times New Roman" w:hAnsi="Times New Roman" w:cs="Times New Roman"/>
          <w:color w:val="000000" w:themeColor="text1"/>
          <w:lang w:val="uk-UA"/>
        </w:rPr>
        <w:t>, з або без цирозу печінки, ВГС</w:t>
      </w:r>
      <w:r w:rsidR="00FC6D8A">
        <w:rPr>
          <w:rFonts w:ascii="Times New Roman" w:hAnsi="Times New Roman" w:cs="Times New Roman"/>
          <w:color w:val="000000" w:themeColor="text1"/>
          <w:lang w:val="uk-UA"/>
        </w:rPr>
        <w:t>–</w:t>
      </w:r>
      <w:r w:rsidRPr="008A50B6">
        <w:rPr>
          <w:rFonts w:ascii="Times New Roman" w:hAnsi="Times New Roman" w:cs="Times New Roman"/>
          <w:color w:val="000000" w:themeColor="text1"/>
          <w:lang w:val="uk-UA"/>
        </w:rPr>
        <w:t>інфікованих з генотипом 1а та коінфекцією ВІЛ</w:t>
      </w:r>
      <w:r w:rsidR="00525692">
        <w:rPr>
          <w:rFonts w:ascii="Times New Roman" w:hAnsi="Times New Roman" w:cs="Times New Roman"/>
          <w:color w:val="000000" w:themeColor="text1"/>
          <w:lang w:val="uk-UA"/>
        </w:rPr>
        <w:t>/ВГС</w:t>
      </w:r>
      <w:r w:rsidRPr="008A50B6">
        <w:rPr>
          <w:rFonts w:ascii="Times New Roman" w:hAnsi="Times New Roman" w:cs="Times New Roman"/>
          <w:color w:val="000000" w:themeColor="text1"/>
          <w:lang w:val="uk-UA"/>
        </w:rPr>
        <w:t>, показник СВВ12 становив 95% (63/66; 2 рецидиву)</w:t>
      </w:r>
      <w:r w:rsidR="00051730">
        <w:rPr>
          <w:rFonts w:ascii="Times New Roman" w:hAnsi="Times New Roman" w:cs="Times New Roman"/>
          <w:color w:val="000000" w:themeColor="text1"/>
          <w:lang w:val="uk-UA"/>
        </w:rPr>
        <w:t>.</w:t>
      </w:r>
      <w:r w:rsidRPr="008A50B6">
        <w:rPr>
          <w:rFonts w:ascii="Times New Roman" w:hAnsi="Times New Roman" w:cs="Times New Roman"/>
          <w:b/>
          <w:color w:val="000000" w:themeColor="text1"/>
          <w:vertAlign w:val="superscript"/>
          <w:lang w:val="uk-UA"/>
        </w:rPr>
        <w:t>70</w:t>
      </w:r>
      <w:r w:rsidR="0051281C" w:rsidRPr="008A50B6">
        <w:rPr>
          <w:rFonts w:ascii="Times New Roman" w:hAnsi="Times New Roman" w:cs="Times New Roman"/>
          <w:color w:val="000000" w:themeColor="text1"/>
          <w:lang w:val="uk-UA"/>
        </w:rPr>
        <w:t xml:space="preserve"> </w:t>
      </w:r>
    </w:p>
    <w:p w14:paraId="3DB913BE" w14:textId="52A99264" w:rsidR="00695873" w:rsidRPr="00695873" w:rsidRDefault="0051281C" w:rsidP="00F53078">
      <w:pPr>
        <w:tabs>
          <w:tab w:val="left" w:pos="1089"/>
        </w:tabs>
        <w:jc w:val="both"/>
        <w:rPr>
          <w:rFonts w:ascii="Times New Roman" w:hAnsi="Times New Roman" w:cs="Times New Roman"/>
          <w:color w:val="000000" w:themeColor="text1"/>
          <w:lang w:val="uk-UA"/>
        </w:rPr>
      </w:pPr>
      <w:r w:rsidRPr="008A50B6">
        <w:rPr>
          <w:rFonts w:ascii="Times New Roman" w:hAnsi="Times New Roman" w:cs="Times New Roman"/>
          <w:color w:val="000000" w:themeColor="text1"/>
          <w:lang w:val="uk-UA"/>
        </w:rPr>
        <w:t>Потрійна комбінація софосбувір</w:t>
      </w:r>
      <w:r w:rsidR="00597C6A" w:rsidRPr="008A50B6">
        <w:rPr>
          <w:rFonts w:ascii="Times New Roman" w:hAnsi="Times New Roman" w:cs="Times New Roman"/>
          <w:color w:val="000000" w:themeColor="text1"/>
          <w:lang w:val="uk-UA"/>
        </w:rPr>
        <w:t>/</w:t>
      </w:r>
      <w:r w:rsidRPr="008A50B6">
        <w:rPr>
          <w:rFonts w:ascii="Times New Roman" w:hAnsi="Times New Roman" w:cs="Times New Roman"/>
          <w:color w:val="000000" w:themeColor="text1"/>
          <w:lang w:val="uk-UA"/>
        </w:rPr>
        <w:t>велпатасвір</w:t>
      </w:r>
      <w:r w:rsidR="00597C6A" w:rsidRPr="008A50B6">
        <w:rPr>
          <w:rFonts w:ascii="Times New Roman" w:hAnsi="Times New Roman" w:cs="Times New Roman"/>
          <w:color w:val="000000" w:themeColor="text1"/>
          <w:lang w:val="uk-UA"/>
        </w:rPr>
        <w:t>/</w:t>
      </w:r>
      <w:r w:rsidRPr="008A50B6">
        <w:rPr>
          <w:rFonts w:ascii="Times New Roman" w:hAnsi="Times New Roman" w:cs="Times New Roman"/>
          <w:color w:val="000000" w:themeColor="text1"/>
          <w:lang w:val="uk-UA"/>
        </w:rPr>
        <w:t>воксілапревір, які приймаються протягом 8 тижнів, не продемонструвала результатів</w:t>
      </w:r>
      <w:r>
        <w:rPr>
          <w:rFonts w:ascii="Times New Roman" w:hAnsi="Times New Roman" w:cs="Times New Roman"/>
          <w:color w:val="000000" w:themeColor="text1"/>
          <w:lang w:val="uk-UA"/>
        </w:rPr>
        <w:t>, аналогічних схемі</w:t>
      </w:r>
      <w:r w:rsidR="00695873" w:rsidRPr="00695873">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софосбувір/велпатасвір</w:t>
      </w:r>
      <w:r w:rsidR="00695873" w:rsidRPr="00695873">
        <w:rPr>
          <w:rFonts w:ascii="Times New Roman" w:hAnsi="Times New Roman" w:cs="Times New Roman"/>
          <w:color w:val="000000" w:themeColor="text1"/>
          <w:lang w:val="uk-UA"/>
        </w:rPr>
        <w:t xml:space="preserve"> протягом 12 т</w:t>
      </w:r>
      <w:r>
        <w:rPr>
          <w:rFonts w:ascii="Times New Roman" w:hAnsi="Times New Roman" w:cs="Times New Roman"/>
          <w:color w:val="000000" w:themeColor="text1"/>
          <w:lang w:val="uk-UA"/>
        </w:rPr>
        <w:t xml:space="preserve">ижнів у дослідженні III фази дослідження </w:t>
      </w:r>
      <w:r>
        <w:rPr>
          <w:rFonts w:ascii="Times New Roman" w:hAnsi="Times New Roman" w:cs="Times New Roman"/>
          <w:color w:val="000000" w:themeColor="text1"/>
          <w:lang w:val="en-US"/>
        </w:rPr>
        <w:t>POLARIS</w:t>
      </w:r>
      <w:r w:rsidR="00FC6D8A">
        <w:rPr>
          <w:rFonts w:ascii="Times New Roman" w:hAnsi="Times New Roman" w:cs="Times New Roman"/>
          <w:color w:val="000000" w:themeColor="text1"/>
          <w:lang w:val="uk-UA"/>
        </w:rPr>
        <w:t>–</w:t>
      </w:r>
      <w:r w:rsidR="00695873" w:rsidRPr="00695873">
        <w:rPr>
          <w:rFonts w:ascii="Times New Roman" w:hAnsi="Times New Roman" w:cs="Times New Roman"/>
          <w:color w:val="000000" w:themeColor="text1"/>
          <w:lang w:val="uk-UA"/>
        </w:rPr>
        <w:t>2, яка включала прибл</w:t>
      </w:r>
      <w:r>
        <w:rPr>
          <w:rFonts w:ascii="Times New Roman" w:hAnsi="Times New Roman" w:cs="Times New Roman"/>
          <w:color w:val="000000" w:themeColor="text1"/>
          <w:lang w:val="uk-UA"/>
        </w:rPr>
        <w:t>изно 20% хворих на цироз та 25% пацієнтів</w:t>
      </w:r>
      <w:r w:rsidR="00652F9A">
        <w:rPr>
          <w:rFonts w:ascii="Times New Roman" w:hAnsi="Times New Roman" w:cs="Times New Roman"/>
          <w:color w:val="000000" w:themeColor="text1"/>
          <w:lang w:val="uk-UA"/>
        </w:rPr>
        <w:t xml:space="preserve"> з досвідом лікування</w:t>
      </w:r>
      <w:r>
        <w:rPr>
          <w:rFonts w:ascii="Times New Roman" w:hAnsi="Times New Roman" w:cs="Times New Roman"/>
          <w:color w:val="000000" w:themeColor="text1"/>
          <w:lang w:val="uk-UA"/>
        </w:rPr>
        <w:t>. Частота СВВ</w:t>
      </w:r>
      <w:r w:rsidR="00695873" w:rsidRPr="00695873">
        <w:rPr>
          <w:rFonts w:ascii="Times New Roman" w:hAnsi="Times New Roman" w:cs="Times New Roman"/>
          <w:color w:val="000000" w:themeColor="text1"/>
          <w:lang w:val="uk-UA"/>
        </w:rPr>
        <w:t>12 у пацієнтів, інфікованих генотипом 1а, станов</w:t>
      </w:r>
      <w:r w:rsidR="00597C6A">
        <w:rPr>
          <w:rFonts w:ascii="Times New Roman" w:hAnsi="Times New Roman" w:cs="Times New Roman"/>
          <w:color w:val="000000" w:themeColor="text1"/>
          <w:lang w:val="uk-UA"/>
        </w:rPr>
        <w:t>ила</w:t>
      </w:r>
      <w:r w:rsidR="00695873" w:rsidRPr="00695873">
        <w:rPr>
          <w:rFonts w:ascii="Times New Roman" w:hAnsi="Times New Roman" w:cs="Times New Roman"/>
          <w:color w:val="000000" w:themeColor="text1"/>
          <w:lang w:val="uk-UA"/>
        </w:rPr>
        <w:t xml:space="preserve"> 92% (155/169; 14 рецидивів) через 8 тижнів </w:t>
      </w:r>
      <w:r>
        <w:rPr>
          <w:rFonts w:ascii="Times New Roman" w:hAnsi="Times New Roman" w:cs="Times New Roman"/>
          <w:color w:val="000000" w:themeColor="text1"/>
          <w:lang w:val="uk-UA"/>
        </w:rPr>
        <w:t>лікування софосбувіром/велпатасвіром/воксілапревіром</w:t>
      </w:r>
      <w:r w:rsidR="00695873" w:rsidRPr="00695873">
        <w:rPr>
          <w:rFonts w:ascii="Times New Roman" w:hAnsi="Times New Roman" w:cs="Times New Roman"/>
          <w:color w:val="000000" w:themeColor="text1"/>
          <w:lang w:val="uk-UA"/>
        </w:rPr>
        <w:t xml:space="preserve"> та 99% (170/172; один рецидив) через 12 тижнів </w:t>
      </w:r>
      <w:r>
        <w:rPr>
          <w:rFonts w:ascii="Times New Roman" w:hAnsi="Times New Roman" w:cs="Times New Roman"/>
          <w:color w:val="000000" w:themeColor="text1"/>
          <w:lang w:val="uk-UA"/>
        </w:rPr>
        <w:t xml:space="preserve">лікування </w:t>
      </w:r>
      <w:r w:rsidR="00695873" w:rsidRPr="00695873">
        <w:rPr>
          <w:rFonts w:ascii="Times New Roman" w:hAnsi="Times New Roman" w:cs="Times New Roman"/>
          <w:color w:val="000000" w:themeColor="text1"/>
          <w:lang w:val="uk-UA"/>
        </w:rPr>
        <w:t>софосб</w:t>
      </w:r>
      <w:r>
        <w:rPr>
          <w:rFonts w:ascii="Times New Roman" w:hAnsi="Times New Roman" w:cs="Times New Roman"/>
          <w:color w:val="000000" w:themeColor="text1"/>
          <w:lang w:val="uk-UA"/>
        </w:rPr>
        <w:t>увіром/велп</w:t>
      </w:r>
      <w:r w:rsidR="00695873" w:rsidRPr="00695873">
        <w:rPr>
          <w:rFonts w:ascii="Times New Roman" w:hAnsi="Times New Roman" w:cs="Times New Roman"/>
          <w:color w:val="000000" w:themeColor="text1"/>
          <w:lang w:val="uk-UA"/>
        </w:rPr>
        <w:t>ата</w:t>
      </w:r>
      <w:r>
        <w:rPr>
          <w:rFonts w:ascii="Times New Roman" w:hAnsi="Times New Roman" w:cs="Times New Roman"/>
          <w:color w:val="000000" w:themeColor="text1"/>
          <w:lang w:val="uk-UA"/>
        </w:rPr>
        <w:t>свіром</w:t>
      </w:r>
      <w:r w:rsidR="00695873" w:rsidRPr="00695873">
        <w:rPr>
          <w:rFonts w:ascii="Times New Roman" w:hAnsi="Times New Roman" w:cs="Times New Roman"/>
          <w:color w:val="000000" w:themeColor="text1"/>
          <w:lang w:val="uk-UA"/>
        </w:rPr>
        <w:t>.</w:t>
      </w:r>
      <w:r w:rsidR="00695873" w:rsidRPr="0051281C">
        <w:rPr>
          <w:rFonts w:ascii="Times New Roman" w:hAnsi="Times New Roman" w:cs="Times New Roman"/>
          <w:b/>
          <w:color w:val="000000" w:themeColor="text1"/>
          <w:vertAlign w:val="superscript"/>
          <w:lang w:val="uk-UA"/>
        </w:rPr>
        <w:t>71</w:t>
      </w:r>
      <w:r w:rsidR="00695873" w:rsidRPr="00695873">
        <w:rPr>
          <w:rFonts w:ascii="Times New Roman" w:hAnsi="Times New Roman" w:cs="Times New Roman"/>
          <w:color w:val="000000" w:themeColor="text1"/>
          <w:lang w:val="uk-UA"/>
        </w:rPr>
        <w:t xml:space="preserve"> </w:t>
      </w:r>
      <w:r w:rsidR="00695873" w:rsidRPr="008C3BC9">
        <w:rPr>
          <w:rFonts w:ascii="Times New Roman" w:hAnsi="Times New Roman" w:cs="Times New Roman"/>
          <w:color w:val="000000" w:themeColor="text1"/>
          <w:lang w:val="uk-UA"/>
        </w:rPr>
        <w:t>Таким</w:t>
      </w:r>
      <w:r w:rsidR="00695873" w:rsidRPr="00695873">
        <w:rPr>
          <w:rFonts w:ascii="Times New Roman" w:hAnsi="Times New Roman" w:cs="Times New Roman"/>
          <w:color w:val="000000" w:themeColor="text1"/>
          <w:lang w:val="uk-UA"/>
        </w:rPr>
        <w:t xml:space="preserve"> чином, п</w:t>
      </w:r>
      <w:r>
        <w:rPr>
          <w:rFonts w:ascii="Times New Roman" w:hAnsi="Times New Roman" w:cs="Times New Roman"/>
          <w:color w:val="000000" w:themeColor="text1"/>
          <w:lang w:val="uk-UA"/>
        </w:rPr>
        <w:t>отрійна комбінація софосбувіру/велпатасвіру/воксілапревіру</w:t>
      </w:r>
      <w:r w:rsidRPr="00695873">
        <w:rPr>
          <w:rFonts w:ascii="Times New Roman" w:hAnsi="Times New Roman" w:cs="Times New Roman"/>
          <w:color w:val="000000" w:themeColor="text1"/>
          <w:lang w:val="uk-UA"/>
        </w:rPr>
        <w:t xml:space="preserve"> </w:t>
      </w:r>
      <w:r w:rsidR="00695873" w:rsidRPr="00695873">
        <w:rPr>
          <w:rFonts w:ascii="Times New Roman" w:hAnsi="Times New Roman" w:cs="Times New Roman"/>
          <w:color w:val="000000" w:themeColor="text1"/>
          <w:lang w:val="uk-UA"/>
        </w:rPr>
        <w:t>протяг</w:t>
      </w:r>
      <w:r>
        <w:rPr>
          <w:rFonts w:ascii="Times New Roman" w:hAnsi="Times New Roman" w:cs="Times New Roman"/>
          <w:color w:val="000000" w:themeColor="text1"/>
          <w:lang w:val="uk-UA"/>
        </w:rPr>
        <w:t xml:space="preserve">ом 8 тижнів </w:t>
      </w:r>
      <w:r w:rsidR="00345456">
        <w:rPr>
          <w:rFonts w:ascii="Times New Roman" w:hAnsi="Times New Roman" w:cs="Times New Roman"/>
          <w:color w:val="000000" w:themeColor="text1"/>
          <w:lang w:val="uk-UA"/>
        </w:rPr>
        <w:t xml:space="preserve">прийому </w:t>
      </w:r>
      <w:r>
        <w:rPr>
          <w:rFonts w:ascii="Times New Roman" w:hAnsi="Times New Roman" w:cs="Times New Roman"/>
          <w:color w:val="000000" w:themeColor="text1"/>
          <w:lang w:val="uk-UA"/>
        </w:rPr>
        <w:t>не рекомендується пацієнтам</w:t>
      </w:r>
      <w:r w:rsidR="008C3BC9" w:rsidRPr="00652F9A">
        <w:rPr>
          <w:rFonts w:ascii="Times New Roman" w:hAnsi="Times New Roman" w:cs="Times New Roman"/>
          <w:color w:val="000000" w:themeColor="text1"/>
          <w:lang w:val="uk-UA"/>
        </w:rPr>
        <w:t xml:space="preserve"> </w:t>
      </w:r>
      <w:r w:rsidR="008C3BC9">
        <w:rPr>
          <w:rFonts w:ascii="Times New Roman" w:hAnsi="Times New Roman" w:cs="Times New Roman"/>
          <w:color w:val="000000" w:themeColor="text1"/>
          <w:lang w:val="uk-UA"/>
        </w:rPr>
        <w:t>з ге</w:t>
      </w:r>
      <w:r>
        <w:rPr>
          <w:rFonts w:ascii="Times New Roman" w:hAnsi="Times New Roman" w:cs="Times New Roman"/>
          <w:color w:val="000000" w:themeColor="text1"/>
          <w:lang w:val="uk-UA"/>
        </w:rPr>
        <w:t>нотип</w:t>
      </w:r>
      <w:r w:rsidR="00345456">
        <w:rPr>
          <w:rFonts w:ascii="Times New Roman" w:hAnsi="Times New Roman" w:cs="Times New Roman"/>
          <w:color w:val="000000" w:themeColor="text1"/>
          <w:lang w:val="uk-UA"/>
        </w:rPr>
        <w:t>ом</w:t>
      </w:r>
      <w:r w:rsidR="00695873" w:rsidRPr="00695873">
        <w:rPr>
          <w:rFonts w:ascii="Times New Roman" w:hAnsi="Times New Roman" w:cs="Times New Roman"/>
          <w:color w:val="000000" w:themeColor="text1"/>
          <w:lang w:val="uk-UA"/>
        </w:rPr>
        <w:t xml:space="preserve"> 1а.</w:t>
      </w:r>
    </w:p>
    <w:p w14:paraId="5137DA45" w14:textId="77777777" w:rsidR="003C69E2" w:rsidRDefault="003C69E2" w:rsidP="003C69E2">
      <w:pPr>
        <w:tabs>
          <w:tab w:val="left" w:pos="1089"/>
        </w:tabs>
        <w:rPr>
          <w:rFonts w:ascii="Times New Roman" w:hAnsi="Times New Roman" w:cs="Times New Roman"/>
          <w:color w:val="000000" w:themeColor="text1"/>
          <w:lang w:val="uk-UA"/>
        </w:rPr>
      </w:pPr>
    </w:p>
    <w:tbl>
      <w:tblPr>
        <w:tblStyle w:val="a6"/>
        <w:tblW w:w="0" w:type="auto"/>
        <w:shd w:val="clear" w:color="auto" w:fill="BDD6EE" w:themeFill="accent1" w:themeFillTint="66"/>
        <w:tblLook w:val="04A0" w:firstRow="1" w:lastRow="0" w:firstColumn="1" w:lastColumn="0" w:noHBand="0" w:noVBand="1"/>
      </w:tblPr>
      <w:tblGrid>
        <w:gridCol w:w="9906"/>
      </w:tblGrid>
      <w:tr w:rsidR="003C69E2" w:rsidRPr="0080595E" w14:paraId="0CD57572" w14:textId="77777777" w:rsidTr="00597C6A">
        <w:tc>
          <w:tcPr>
            <w:tcW w:w="9906" w:type="dxa"/>
            <w:shd w:val="clear" w:color="auto" w:fill="BDD6EE" w:themeFill="accent1" w:themeFillTint="66"/>
          </w:tcPr>
          <w:p w14:paraId="46887CED" w14:textId="30B4163B" w:rsidR="00695873" w:rsidRPr="00F75915" w:rsidRDefault="00695873" w:rsidP="00695873">
            <w:pPr>
              <w:tabs>
                <w:tab w:val="left" w:pos="1089"/>
              </w:tabs>
              <w:rPr>
                <w:rFonts w:ascii="Times New Roman" w:hAnsi="Times New Roman" w:cs="Times New Roman"/>
                <w:b/>
                <w:i/>
                <w:color w:val="000000" w:themeColor="text1"/>
                <w:lang w:val="uk-UA"/>
              </w:rPr>
            </w:pPr>
            <w:r w:rsidRPr="00F75915">
              <w:rPr>
                <w:rFonts w:ascii="Times New Roman" w:hAnsi="Times New Roman" w:cs="Times New Roman"/>
                <w:b/>
                <w:i/>
                <w:color w:val="000000" w:themeColor="text1"/>
                <w:lang w:val="uk-UA"/>
              </w:rPr>
              <w:t xml:space="preserve">Генотип 1а, </w:t>
            </w:r>
            <w:r w:rsidR="00E109B8" w:rsidRPr="00F75915">
              <w:rPr>
                <w:rFonts w:ascii="Times New Roman" w:hAnsi="Times New Roman" w:cs="Times New Roman"/>
                <w:b/>
                <w:i/>
                <w:color w:val="000000" w:themeColor="text1"/>
                <w:lang w:val="uk-UA"/>
              </w:rPr>
              <w:t>Пангенотип</w:t>
            </w:r>
            <w:r w:rsidR="008A50B6">
              <w:rPr>
                <w:rFonts w:ascii="Times New Roman" w:hAnsi="Times New Roman" w:cs="Times New Roman"/>
                <w:b/>
                <w:i/>
                <w:color w:val="000000" w:themeColor="text1"/>
                <w:lang w:val="uk-UA"/>
              </w:rPr>
              <w:t>на</w:t>
            </w:r>
            <w:r w:rsidR="00E109B8" w:rsidRPr="00F75915">
              <w:rPr>
                <w:rFonts w:ascii="Times New Roman" w:hAnsi="Times New Roman" w:cs="Times New Roman"/>
                <w:b/>
                <w:i/>
                <w:color w:val="000000" w:themeColor="text1"/>
                <w:lang w:val="uk-UA"/>
              </w:rPr>
              <w:t xml:space="preserve"> схема: глекапревір/пібрентасві</w:t>
            </w:r>
            <w:r w:rsidRPr="00F75915">
              <w:rPr>
                <w:rFonts w:ascii="Times New Roman" w:hAnsi="Times New Roman" w:cs="Times New Roman"/>
                <w:b/>
                <w:i/>
                <w:color w:val="000000" w:themeColor="text1"/>
                <w:lang w:val="uk-UA"/>
              </w:rPr>
              <w:t>р</w:t>
            </w:r>
          </w:p>
          <w:p w14:paraId="7D2D789F" w14:textId="33AF5585" w:rsidR="00695873" w:rsidRPr="00E109B8" w:rsidRDefault="00E109B8" w:rsidP="00015E3B">
            <w:pPr>
              <w:pStyle w:val="a9"/>
              <w:numPr>
                <w:ilvl w:val="0"/>
                <w:numId w:val="6"/>
              </w:numPr>
              <w:tabs>
                <w:tab w:val="left" w:pos="1089"/>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“Наївні” та </w:t>
            </w:r>
            <w:r w:rsidR="00695873" w:rsidRPr="00E109B8">
              <w:rPr>
                <w:rFonts w:ascii="Times New Roman" w:hAnsi="Times New Roman" w:cs="Times New Roman"/>
                <w:color w:val="000000" w:themeColor="text1"/>
                <w:lang w:val="uk-UA"/>
              </w:rPr>
              <w:t>пацієнти</w:t>
            </w:r>
            <w:r w:rsidR="00652F9A">
              <w:rPr>
                <w:rFonts w:ascii="Times New Roman" w:hAnsi="Times New Roman" w:cs="Times New Roman"/>
                <w:color w:val="000000" w:themeColor="text1"/>
                <w:lang w:val="uk-UA"/>
              </w:rPr>
              <w:t xml:space="preserve"> з досвідом лікування</w:t>
            </w:r>
            <w:r w:rsidR="00695873" w:rsidRPr="00E109B8">
              <w:rPr>
                <w:rFonts w:ascii="Times New Roman" w:hAnsi="Times New Roman" w:cs="Times New Roman"/>
                <w:color w:val="000000" w:themeColor="text1"/>
                <w:lang w:val="uk-UA"/>
              </w:rPr>
              <w:t xml:space="preserve">, інфіковані </w:t>
            </w:r>
            <w:r w:rsidR="00345456">
              <w:rPr>
                <w:rFonts w:ascii="Times New Roman" w:hAnsi="Times New Roman" w:cs="Times New Roman"/>
                <w:color w:val="000000" w:themeColor="text1"/>
                <w:lang w:val="uk-UA"/>
              </w:rPr>
              <w:t xml:space="preserve">1а </w:t>
            </w:r>
            <w:r>
              <w:rPr>
                <w:rFonts w:ascii="Times New Roman" w:hAnsi="Times New Roman" w:cs="Times New Roman"/>
                <w:color w:val="000000" w:themeColor="text1"/>
                <w:lang w:val="uk-UA"/>
              </w:rPr>
              <w:t>генотип</w:t>
            </w:r>
            <w:r w:rsidR="00345456">
              <w:rPr>
                <w:rFonts w:ascii="Times New Roman" w:hAnsi="Times New Roman" w:cs="Times New Roman"/>
                <w:color w:val="000000" w:themeColor="text1"/>
                <w:lang w:val="uk-UA"/>
              </w:rPr>
              <w:t xml:space="preserve">ом </w:t>
            </w:r>
            <w:r w:rsidR="00695873" w:rsidRPr="00E109B8">
              <w:rPr>
                <w:rFonts w:ascii="Times New Roman" w:hAnsi="Times New Roman" w:cs="Times New Roman"/>
                <w:color w:val="000000" w:themeColor="text1"/>
                <w:lang w:val="uk-UA"/>
              </w:rPr>
              <w:t>без цирозу</w:t>
            </w:r>
            <w:r>
              <w:rPr>
                <w:rFonts w:ascii="Times New Roman" w:hAnsi="Times New Roman" w:cs="Times New Roman"/>
                <w:color w:val="000000" w:themeColor="text1"/>
                <w:lang w:val="uk-UA"/>
              </w:rPr>
              <w:t xml:space="preserve"> печінки, повинні отримувати фіксовану дозу </w:t>
            </w:r>
            <w:r w:rsidR="00695873" w:rsidRPr="00E109B8">
              <w:rPr>
                <w:rFonts w:ascii="Times New Roman" w:hAnsi="Times New Roman" w:cs="Times New Roman"/>
                <w:color w:val="000000" w:themeColor="text1"/>
                <w:lang w:val="uk-UA"/>
              </w:rPr>
              <w:t xml:space="preserve">комбінації </w:t>
            </w:r>
            <w:r>
              <w:rPr>
                <w:rFonts w:ascii="Times New Roman" w:hAnsi="Times New Roman" w:cs="Times New Roman"/>
                <w:color w:val="000000" w:themeColor="text1"/>
                <w:lang w:val="uk-UA"/>
              </w:rPr>
              <w:t>глекапревір/пібрентасві</w:t>
            </w:r>
            <w:r w:rsidRPr="00695873">
              <w:rPr>
                <w:rFonts w:ascii="Times New Roman" w:hAnsi="Times New Roman" w:cs="Times New Roman"/>
                <w:color w:val="000000" w:themeColor="text1"/>
                <w:lang w:val="uk-UA"/>
              </w:rPr>
              <w:t>р</w:t>
            </w:r>
            <w:r w:rsidRPr="00E109B8">
              <w:rPr>
                <w:rFonts w:ascii="Times New Roman" w:hAnsi="Times New Roman" w:cs="Times New Roman"/>
                <w:color w:val="000000" w:themeColor="text1"/>
                <w:lang w:val="uk-UA"/>
              </w:rPr>
              <w:t xml:space="preserve"> </w:t>
            </w:r>
            <w:r w:rsidR="00695873" w:rsidRPr="00E109B8">
              <w:rPr>
                <w:rFonts w:ascii="Times New Roman" w:hAnsi="Times New Roman" w:cs="Times New Roman"/>
                <w:color w:val="000000" w:themeColor="text1"/>
                <w:lang w:val="uk-UA"/>
              </w:rPr>
              <w:t>протягом 8 тижнів (A1).</w:t>
            </w:r>
          </w:p>
          <w:p w14:paraId="66BD7244" w14:textId="5B32908E" w:rsidR="003C69E2" w:rsidRPr="00597C6A" w:rsidRDefault="00E109B8">
            <w:pPr>
              <w:pStyle w:val="a9"/>
              <w:numPr>
                <w:ilvl w:val="0"/>
                <w:numId w:val="6"/>
              </w:numPr>
              <w:tabs>
                <w:tab w:val="left" w:pos="1089"/>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“Наївні” та </w:t>
            </w:r>
            <w:r w:rsidRPr="00E109B8">
              <w:rPr>
                <w:rFonts w:ascii="Times New Roman" w:hAnsi="Times New Roman" w:cs="Times New Roman"/>
                <w:color w:val="000000" w:themeColor="text1"/>
                <w:lang w:val="uk-UA"/>
              </w:rPr>
              <w:t>пацієнти</w:t>
            </w:r>
            <w:r w:rsidR="00652F9A">
              <w:rPr>
                <w:rFonts w:ascii="Times New Roman" w:hAnsi="Times New Roman" w:cs="Times New Roman"/>
                <w:color w:val="000000" w:themeColor="text1"/>
                <w:lang w:val="uk-UA"/>
              </w:rPr>
              <w:t xml:space="preserve"> з досвідом лікування</w:t>
            </w:r>
            <w:r w:rsidRPr="00E109B8">
              <w:rPr>
                <w:rFonts w:ascii="Times New Roman" w:hAnsi="Times New Roman" w:cs="Times New Roman"/>
                <w:color w:val="000000" w:themeColor="text1"/>
                <w:lang w:val="uk-UA"/>
              </w:rPr>
              <w:t xml:space="preserve">, інфіковані </w:t>
            </w:r>
            <w:r w:rsidR="00345456">
              <w:rPr>
                <w:rFonts w:ascii="Times New Roman" w:hAnsi="Times New Roman" w:cs="Times New Roman"/>
                <w:color w:val="000000" w:themeColor="text1"/>
                <w:lang w:val="uk-UA"/>
              </w:rPr>
              <w:t xml:space="preserve">1а </w:t>
            </w:r>
            <w:r>
              <w:rPr>
                <w:rFonts w:ascii="Times New Roman" w:hAnsi="Times New Roman" w:cs="Times New Roman"/>
                <w:color w:val="000000" w:themeColor="text1"/>
                <w:lang w:val="uk-UA"/>
              </w:rPr>
              <w:t>генотип</w:t>
            </w:r>
            <w:r w:rsidR="00345456">
              <w:rPr>
                <w:rFonts w:ascii="Times New Roman" w:hAnsi="Times New Roman" w:cs="Times New Roman"/>
                <w:color w:val="000000" w:themeColor="text1"/>
                <w:lang w:val="uk-UA"/>
              </w:rPr>
              <w:t>ом</w:t>
            </w:r>
            <w:r w:rsidRPr="00E109B8">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з</w:t>
            </w:r>
            <w:r w:rsidRPr="00E109B8">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 xml:space="preserve">компенсованим цирозом печінки </w:t>
            </w:r>
            <w:r w:rsidRPr="00E109B8">
              <w:rPr>
                <w:rFonts w:ascii="Times New Roman" w:hAnsi="Times New Roman" w:cs="Times New Roman"/>
                <w:color w:val="000000" w:themeColor="text1"/>
                <w:lang w:val="uk-UA"/>
              </w:rPr>
              <w:t>(Child</w:t>
            </w:r>
            <w:r w:rsidR="00FC6D8A">
              <w:rPr>
                <w:rFonts w:ascii="Times New Roman" w:hAnsi="Times New Roman" w:cs="Times New Roman"/>
                <w:color w:val="000000" w:themeColor="text1"/>
                <w:lang w:val="uk-UA"/>
              </w:rPr>
              <w:t>–</w:t>
            </w:r>
            <w:r w:rsidRPr="00E109B8">
              <w:rPr>
                <w:rFonts w:ascii="Times New Roman" w:hAnsi="Times New Roman" w:cs="Times New Roman"/>
                <w:color w:val="000000" w:themeColor="text1"/>
                <w:lang w:val="uk-UA"/>
              </w:rPr>
              <w:t>Pugh A)</w:t>
            </w:r>
            <w:r>
              <w:rPr>
                <w:rFonts w:ascii="Times New Roman" w:hAnsi="Times New Roman" w:cs="Times New Roman"/>
                <w:color w:val="000000" w:themeColor="text1"/>
                <w:lang w:val="uk-UA"/>
              </w:rPr>
              <w:t xml:space="preserve">, повинні отримувати фіксовану дозу </w:t>
            </w:r>
            <w:r w:rsidRPr="00E109B8">
              <w:rPr>
                <w:rFonts w:ascii="Times New Roman" w:hAnsi="Times New Roman" w:cs="Times New Roman"/>
                <w:color w:val="000000" w:themeColor="text1"/>
                <w:lang w:val="uk-UA"/>
              </w:rPr>
              <w:t xml:space="preserve">комбінації </w:t>
            </w:r>
            <w:r>
              <w:rPr>
                <w:rFonts w:ascii="Times New Roman" w:hAnsi="Times New Roman" w:cs="Times New Roman"/>
                <w:color w:val="000000" w:themeColor="text1"/>
                <w:lang w:val="uk-UA"/>
              </w:rPr>
              <w:t>глекапревір/пібрентасві</w:t>
            </w:r>
            <w:r w:rsidRPr="00695873">
              <w:rPr>
                <w:rFonts w:ascii="Times New Roman" w:hAnsi="Times New Roman" w:cs="Times New Roman"/>
                <w:color w:val="000000" w:themeColor="text1"/>
                <w:lang w:val="uk-UA"/>
              </w:rPr>
              <w:t>р</w:t>
            </w:r>
            <w:r w:rsidRPr="00E109B8">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протягом 12</w:t>
            </w:r>
            <w:r w:rsidRPr="00E109B8">
              <w:rPr>
                <w:rFonts w:ascii="Times New Roman" w:hAnsi="Times New Roman" w:cs="Times New Roman"/>
                <w:color w:val="000000" w:themeColor="text1"/>
                <w:lang w:val="uk-UA"/>
              </w:rPr>
              <w:t xml:space="preserve"> тижнів (A1)</w:t>
            </w:r>
          </w:p>
        </w:tc>
      </w:tr>
    </w:tbl>
    <w:p w14:paraId="7407489D" w14:textId="77777777" w:rsidR="003C69E2" w:rsidRDefault="003C69E2" w:rsidP="003C69E2">
      <w:pPr>
        <w:tabs>
          <w:tab w:val="left" w:pos="1089"/>
        </w:tabs>
        <w:rPr>
          <w:rFonts w:ascii="Times New Roman" w:hAnsi="Times New Roman" w:cs="Times New Roman"/>
          <w:color w:val="000000" w:themeColor="text1"/>
          <w:lang w:val="uk-UA"/>
        </w:rPr>
      </w:pPr>
    </w:p>
    <w:p w14:paraId="22A5E466" w14:textId="4578A689" w:rsidR="003C69E2" w:rsidRDefault="00D14230" w:rsidP="00F53078">
      <w:pPr>
        <w:tabs>
          <w:tab w:val="left" w:pos="1089"/>
        </w:tabs>
        <w:jc w:val="both"/>
        <w:rPr>
          <w:rFonts w:ascii="Times New Roman" w:hAnsi="Times New Roman" w:cs="Times New Roman"/>
          <w:color w:val="000000" w:themeColor="text1"/>
          <w:lang w:val="uk-UA"/>
        </w:rPr>
      </w:pPr>
      <w:r w:rsidRPr="00D14230">
        <w:rPr>
          <w:rFonts w:ascii="Times New Roman" w:hAnsi="Times New Roman" w:cs="Times New Roman"/>
          <w:color w:val="000000" w:themeColor="text1"/>
          <w:lang w:val="uk-UA"/>
        </w:rPr>
        <w:t xml:space="preserve">Коментарі: Ця рекомендація базується на результатах двох досліджень III фази </w:t>
      </w:r>
      <w:r>
        <w:rPr>
          <w:rFonts w:ascii="Times New Roman" w:hAnsi="Times New Roman" w:cs="Times New Roman"/>
          <w:color w:val="000000" w:themeColor="text1"/>
          <w:lang w:val="uk-UA"/>
        </w:rPr>
        <w:t>серед</w:t>
      </w:r>
      <w:r w:rsidRPr="00D14230">
        <w:rPr>
          <w:rFonts w:ascii="Times New Roman" w:hAnsi="Times New Roman" w:cs="Times New Roman"/>
          <w:color w:val="000000" w:themeColor="text1"/>
          <w:lang w:val="uk-UA"/>
        </w:rPr>
        <w:t xml:space="preserve"> пацієнтів з </w:t>
      </w:r>
      <w:r>
        <w:rPr>
          <w:rFonts w:ascii="Times New Roman" w:hAnsi="Times New Roman" w:cs="Times New Roman"/>
          <w:color w:val="000000" w:themeColor="text1"/>
          <w:lang w:val="uk-UA"/>
        </w:rPr>
        <w:t>генотип</w:t>
      </w:r>
      <w:r w:rsidR="008C3BC9">
        <w:rPr>
          <w:rFonts w:ascii="Times New Roman" w:hAnsi="Times New Roman" w:cs="Times New Roman"/>
          <w:color w:val="000000" w:themeColor="text1"/>
          <w:lang w:val="uk-UA"/>
        </w:rPr>
        <w:t>ом</w:t>
      </w:r>
      <w:r w:rsidRPr="00D14230">
        <w:rPr>
          <w:rFonts w:ascii="Times New Roman" w:hAnsi="Times New Roman" w:cs="Times New Roman"/>
          <w:color w:val="000000" w:themeColor="text1"/>
          <w:lang w:val="uk-UA"/>
        </w:rPr>
        <w:t xml:space="preserve"> 1а. У </w:t>
      </w:r>
      <w:r>
        <w:rPr>
          <w:rFonts w:ascii="Times New Roman" w:hAnsi="Times New Roman" w:cs="Times New Roman"/>
          <w:color w:val="000000" w:themeColor="text1"/>
          <w:lang w:val="uk-UA"/>
        </w:rPr>
        <w:t xml:space="preserve">дослідженні </w:t>
      </w:r>
      <w:r w:rsidRPr="00D14230">
        <w:rPr>
          <w:rFonts w:ascii="Times New Roman" w:hAnsi="Times New Roman" w:cs="Times New Roman"/>
          <w:color w:val="000000" w:themeColor="text1"/>
          <w:lang w:val="uk-UA"/>
        </w:rPr>
        <w:t>ENDURANCE</w:t>
      </w:r>
      <w:r w:rsidR="00FC6D8A">
        <w:rPr>
          <w:rFonts w:ascii="Times New Roman" w:hAnsi="Times New Roman" w:cs="Times New Roman"/>
          <w:color w:val="000000" w:themeColor="text1"/>
          <w:lang w:val="uk-UA"/>
        </w:rPr>
        <w:t>–</w:t>
      </w:r>
      <w:r w:rsidRPr="00D14230">
        <w:rPr>
          <w:rFonts w:ascii="Times New Roman" w:hAnsi="Times New Roman" w:cs="Times New Roman"/>
          <w:color w:val="000000" w:themeColor="text1"/>
          <w:lang w:val="uk-UA"/>
        </w:rPr>
        <w:t>1</w:t>
      </w:r>
      <w:r>
        <w:rPr>
          <w:rFonts w:ascii="Times New Roman" w:hAnsi="Times New Roman" w:cs="Times New Roman"/>
          <w:color w:val="000000" w:themeColor="text1"/>
          <w:lang w:val="uk-UA"/>
        </w:rPr>
        <w:t>частота СВВ12 склала</w:t>
      </w:r>
      <w:r w:rsidRPr="00D14230">
        <w:rPr>
          <w:rFonts w:ascii="Times New Roman" w:hAnsi="Times New Roman" w:cs="Times New Roman"/>
          <w:color w:val="000000" w:themeColor="text1"/>
          <w:lang w:val="uk-UA"/>
        </w:rPr>
        <w:t xml:space="preserve"> 98% (150/152, один вірус</w:t>
      </w:r>
      <w:r w:rsidR="0080595E">
        <w:rPr>
          <w:rFonts w:ascii="Times New Roman" w:hAnsi="Times New Roman" w:cs="Times New Roman"/>
          <w:color w:val="000000" w:themeColor="text1"/>
          <w:lang w:val="uk-UA"/>
        </w:rPr>
        <w:t>ологічний</w:t>
      </w:r>
      <w:r w:rsidRPr="00D14230">
        <w:rPr>
          <w:rFonts w:ascii="Times New Roman" w:hAnsi="Times New Roman" w:cs="Times New Roman"/>
          <w:color w:val="000000" w:themeColor="text1"/>
          <w:lang w:val="uk-UA"/>
        </w:rPr>
        <w:t xml:space="preserve"> прорив</w:t>
      </w:r>
      <w:r w:rsidRPr="008A50B6">
        <w:rPr>
          <w:rFonts w:ascii="Times New Roman" w:hAnsi="Times New Roman" w:cs="Times New Roman"/>
          <w:color w:val="000000" w:themeColor="text1"/>
          <w:lang w:val="uk-UA"/>
        </w:rPr>
        <w:t>,) у</w:t>
      </w:r>
      <w:r w:rsidRPr="00D14230">
        <w:rPr>
          <w:rFonts w:ascii="Times New Roman" w:hAnsi="Times New Roman" w:cs="Times New Roman"/>
          <w:color w:val="000000" w:themeColor="text1"/>
          <w:lang w:val="uk-UA"/>
        </w:rPr>
        <w:t xml:space="preserve"> </w:t>
      </w:r>
      <w:r w:rsidR="007E06B3">
        <w:rPr>
          <w:rFonts w:ascii="Times New Roman" w:hAnsi="Times New Roman" w:cs="Times New Roman"/>
          <w:color w:val="000000" w:themeColor="text1"/>
          <w:lang w:val="uk-UA"/>
        </w:rPr>
        <w:t>“наївних” та пацієнтів</w:t>
      </w:r>
      <w:r w:rsidR="00652F9A">
        <w:rPr>
          <w:rFonts w:ascii="Times New Roman" w:hAnsi="Times New Roman" w:cs="Times New Roman"/>
          <w:color w:val="000000" w:themeColor="text1"/>
          <w:lang w:val="uk-UA"/>
        </w:rPr>
        <w:t xml:space="preserve"> з досвідом лікування</w:t>
      </w:r>
      <w:r w:rsidRPr="00D14230">
        <w:rPr>
          <w:rFonts w:ascii="Times New Roman" w:hAnsi="Times New Roman" w:cs="Times New Roman"/>
          <w:color w:val="000000" w:themeColor="text1"/>
          <w:lang w:val="uk-UA"/>
        </w:rPr>
        <w:t xml:space="preserve">, які отримували 8 тижнів </w:t>
      </w:r>
      <w:r w:rsidR="007E06B3">
        <w:rPr>
          <w:rFonts w:ascii="Times New Roman" w:hAnsi="Times New Roman" w:cs="Times New Roman"/>
          <w:color w:val="000000" w:themeColor="text1"/>
          <w:lang w:val="uk-UA"/>
        </w:rPr>
        <w:t>глекапревір/пібрентасві</w:t>
      </w:r>
      <w:r w:rsidR="007E06B3" w:rsidRPr="00695873">
        <w:rPr>
          <w:rFonts w:ascii="Times New Roman" w:hAnsi="Times New Roman" w:cs="Times New Roman"/>
          <w:color w:val="000000" w:themeColor="text1"/>
          <w:lang w:val="uk-UA"/>
        </w:rPr>
        <w:t>р</w:t>
      </w:r>
      <w:r w:rsidR="008C3BC9">
        <w:rPr>
          <w:rFonts w:ascii="Times New Roman" w:hAnsi="Times New Roman" w:cs="Times New Roman"/>
          <w:color w:val="000000" w:themeColor="text1"/>
          <w:lang w:val="uk-UA"/>
        </w:rPr>
        <w:t>, включаючи</w:t>
      </w:r>
      <w:r w:rsidRPr="00D14230">
        <w:rPr>
          <w:rFonts w:ascii="Times New Roman" w:hAnsi="Times New Roman" w:cs="Times New Roman"/>
          <w:color w:val="000000" w:themeColor="text1"/>
          <w:lang w:val="uk-UA"/>
        </w:rPr>
        <w:t xml:space="preserve"> 13 пацієнтів</w:t>
      </w:r>
      <w:r w:rsidR="007E06B3">
        <w:rPr>
          <w:rFonts w:ascii="Times New Roman" w:hAnsi="Times New Roman" w:cs="Times New Roman"/>
          <w:color w:val="000000" w:themeColor="text1"/>
          <w:lang w:val="uk-UA"/>
        </w:rPr>
        <w:t xml:space="preserve"> з</w:t>
      </w:r>
      <w:r w:rsidRPr="00D14230">
        <w:rPr>
          <w:rFonts w:ascii="Times New Roman" w:hAnsi="Times New Roman" w:cs="Times New Roman"/>
          <w:color w:val="000000" w:themeColor="text1"/>
          <w:lang w:val="uk-UA"/>
        </w:rPr>
        <w:t xml:space="preserve"> ВІЛ</w:t>
      </w:r>
      <w:r w:rsidR="00525692">
        <w:rPr>
          <w:rFonts w:ascii="Times New Roman" w:hAnsi="Times New Roman" w:cs="Times New Roman"/>
          <w:color w:val="000000" w:themeColor="text1"/>
          <w:lang w:val="uk-UA"/>
        </w:rPr>
        <w:t>-</w:t>
      </w:r>
      <w:r w:rsidRPr="00D14230">
        <w:rPr>
          <w:rFonts w:ascii="Times New Roman" w:hAnsi="Times New Roman" w:cs="Times New Roman"/>
          <w:color w:val="000000" w:themeColor="text1"/>
          <w:lang w:val="uk-UA"/>
        </w:rPr>
        <w:t>інфекцією</w:t>
      </w:r>
      <w:r w:rsidRPr="007E06B3">
        <w:rPr>
          <w:rFonts w:ascii="Times New Roman" w:hAnsi="Times New Roman" w:cs="Times New Roman"/>
          <w:b/>
          <w:color w:val="000000" w:themeColor="text1"/>
          <w:vertAlign w:val="superscript"/>
          <w:lang w:val="uk-UA"/>
        </w:rPr>
        <w:t>.72</w:t>
      </w:r>
      <w:r w:rsidRPr="00D14230">
        <w:rPr>
          <w:rFonts w:ascii="Times New Roman" w:hAnsi="Times New Roman" w:cs="Times New Roman"/>
          <w:color w:val="000000" w:themeColor="text1"/>
          <w:lang w:val="uk-UA"/>
        </w:rPr>
        <w:t xml:space="preserve"> У дослідженні EXPEDITION</w:t>
      </w:r>
      <w:r w:rsidR="00FC6D8A">
        <w:rPr>
          <w:rFonts w:ascii="Times New Roman" w:hAnsi="Times New Roman" w:cs="Times New Roman"/>
          <w:color w:val="000000" w:themeColor="text1"/>
          <w:lang w:val="uk-UA"/>
        </w:rPr>
        <w:t>–</w:t>
      </w:r>
      <w:r w:rsidRPr="00D14230">
        <w:rPr>
          <w:rFonts w:ascii="Times New Roman" w:hAnsi="Times New Roman" w:cs="Times New Roman"/>
          <w:color w:val="000000" w:themeColor="text1"/>
          <w:lang w:val="uk-UA"/>
        </w:rPr>
        <w:t>1 досліджено пацієнт</w:t>
      </w:r>
      <w:r w:rsidR="00597C6A">
        <w:rPr>
          <w:rFonts w:ascii="Times New Roman" w:hAnsi="Times New Roman" w:cs="Times New Roman"/>
          <w:color w:val="000000" w:themeColor="text1"/>
          <w:lang w:val="uk-UA"/>
        </w:rPr>
        <w:t>ів</w:t>
      </w:r>
      <w:r w:rsidRPr="00D14230">
        <w:rPr>
          <w:rFonts w:ascii="Times New Roman" w:hAnsi="Times New Roman" w:cs="Times New Roman"/>
          <w:color w:val="000000" w:themeColor="text1"/>
          <w:lang w:val="uk-UA"/>
        </w:rPr>
        <w:t xml:space="preserve"> із генотипом 1а та комп</w:t>
      </w:r>
      <w:r w:rsidR="008C3BC9">
        <w:rPr>
          <w:rFonts w:ascii="Times New Roman" w:hAnsi="Times New Roman" w:cs="Times New Roman"/>
          <w:color w:val="000000" w:themeColor="text1"/>
          <w:lang w:val="uk-UA"/>
        </w:rPr>
        <w:t>енсованим циро</w:t>
      </w:r>
      <w:r w:rsidR="00C556FE">
        <w:rPr>
          <w:rFonts w:ascii="Times New Roman" w:hAnsi="Times New Roman" w:cs="Times New Roman"/>
          <w:color w:val="000000" w:themeColor="text1"/>
          <w:lang w:val="uk-UA"/>
        </w:rPr>
        <w:t>зом. Частота СВВ</w:t>
      </w:r>
      <w:r w:rsidRPr="00D14230">
        <w:rPr>
          <w:rFonts w:ascii="Times New Roman" w:hAnsi="Times New Roman" w:cs="Times New Roman"/>
          <w:color w:val="000000" w:themeColor="text1"/>
          <w:lang w:val="uk-UA"/>
        </w:rPr>
        <w:t>12 становила 98% (47/48; один рецидив) через 12 тижн</w:t>
      </w:r>
      <w:r w:rsidR="00DC6EEF">
        <w:rPr>
          <w:rFonts w:ascii="Times New Roman" w:hAnsi="Times New Roman" w:cs="Times New Roman"/>
          <w:color w:val="000000" w:themeColor="text1"/>
          <w:lang w:val="uk-UA"/>
        </w:rPr>
        <w:t xml:space="preserve">ів </w:t>
      </w:r>
      <w:r w:rsidR="00345456">
        <w:rPr>
          <w:rFonts w:ascii="Times New Roman" w:hAnsi="Times New Roman" w:cs="Times New Roman"/>
          <w:color w:val="000000" w:themeColor="text1"/>
          <w:lang w:val="uk-UA"/>
        </w:rPr>
        <w:t xml:space="preserve">прийому </w:t>
      </w:r>
      <w:r w:rsidR="00DC6EEF">
        <w:rPr>
          <w:rFonts w:ascii="Times New Roman" w:hAnsi="Times New Roman" w:cs="Times New Roman"/>
          <w:color w:val="000000" w:themeColor="text1"/>
          <w:lang w:val="uk-UA"/>
        </w:rPr>
        <w:t>глікапревіру/пібрентасві</w:t>
      </w:r>
      <w:r w:rsidR="00DC6EEF" w:rsidRPr="00695873">
        <w:rPr>
          <w:rFonts w:ascii="Times New Roman" w:hAnsi="Times New Roman" w:cs="Times New Roman"/>
          <w:color w:val="000000" w:themeColor="text1"/>
          <w:lang w:val="uk-UA"/>
        </w:rPr>
        <w:t>р</w:t>
      </w:r>
      <w:r w:rsidR="00DC6EEF">
        <w:rPr>
          <w:rFonts w:ascii="Times New Roman" w:hAnsi="Times New Roman" w:cs="Times New Roman"/>
          <w:color w:val="000000" w:themeColor="text1"/>
          <w:lang w:val="uk-UA"/>
        </w:rPr>
        <w:t>у</w:t>
      </w:r>
      <w:r w:rsidRPr="00D14230">
        <w:rPr>
          <w:rFonts w:ascii="Times New Roman" w:hAnsi="Times New Roman" w:cs="Times New Roman"/>
          <w:color w:val="000000" w:themeColor="text1"/>
          <w:lang w:val="uk-UA"/>
        </w:rPr>
        <w:t>.</w:t>
      </w:r>
      <w:r w:rsidRPr="00D14230">
        <w:rPr>
          <w:rFonts w:ascii="Times New Roman" w:hAnsi="Times New Roman" w:cs="Times New Roman"/>
          <w:b/>
          <w:color w:val="000000" w:themeColor="text1"/>
          <w:vertAlign w:val="superscript"/>
          <w:lang w:val="uk-UA"/>
        </w:rPr>
        <w:t>73</w:t>
      </w:r>
    </w:p>
    <w:p w14:paraId="0635031D" w14:textId="77777777" w:rsidR="003C69E2" w:rsidRDefault="003C69E2" w:rsidP="00F53078">
      <w:pPr>
        <w:tabs>
          <w:tab w:val="left" w:pos="1089"/>
        </w:tabs>
        <w:jc w:val="both"/>
        <w:rPr>
          <w:rFonts w:ascii="Times New Roman" w:hAnsi="Times New Roman" w:cs="Times New Roman"/>
          <w:color w:val="000000" w:themeColor="text1"/>
          <w:lang w:val="uk-U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F72A65" w:rsidRPr="0080595E" w14:paraId="3890433A" w14:textId="77777777" w:rsidTr="007C2563">
        <w:trPr>
          <w:trHeight w:val="1440"/>
        </w:trPr>
        <w:tc>
          <w:tcPr>
            <w:tcW w:w="9923" w:type="dxa"/>
            <w:shd w:val="clear" w:color="auto" w:fill="BDD6EE" w:themeFill="accent1" w:themeFillTint="66"/>
          </w:tcPr>
          <w:p w14:paraId="3CFFB36F" w14:textId="40F0C38E" w:rsidR="00F75915" w:rsidRPr="00F75915" w:rsidRDefault="00F75915" w:rsidP="00597C6A">
            <w:pPr>
              <w:tabs>
                <w:tab w:val="left" w:pos="1089"/>
              </w:tabs>
              <w:jc w:val="both"/>
              <w:rPr>
                <w:rFonts w:ascii="Times New Roman" w:hAnsi="Times New Roman" w:cs="Times New Roman"/>
                <w:color w:val="000000" w:themeColor="text1"/>
                <w:lang w:val="uk-UA"/>
              </w:rPr>
            </w:pPr>
            <w:r w:rsidRPr="00F75915">
              <w:rPr>
                <w:rFonts w:ascii="Times New Roman" w:hAnsi="Times New Roman" w:cs="Times New Roman"/>
                <w:b/>
                <w:i/>
                <w:color w:val="000000" w:themeColor="text1"/>
                <w:lang w:val="uk-UA"/>
              </w:rPr>
              <w:t xml:space="preserve">Генотип 1а, </w:t>
            </w:r>
            <w:r>
              <w:rPr>
                <w:rFonts w:ascii="Times New Roman" w:hAnsi="Times New Roman" w:cs="Times New Roman"/>
                <w:b/>
                <w:i/>
                <w:color w:val="000000" w:themeColor="text1"/>
                <w:lang w:val="uk-UA"/>
              </w:rPr>
              <w:t>специфічн</w:t>
            </w:r>
            <w:r w:rsidR="00F72A65">
              <w:rPr>
                <w:rFonts w:ascii="Times New Roman" w:hAnsi="Times New Roman" w:cs="Times New Roman"/>
                <w:b/>
                <w:i/>
                <w:color w:val="000000" w:themeColor="text1"/>
                <w:lang w:val="uk-UA"/>
              </w:rPr>
              <w:t>а</w:t>
            </w:r>
            <w:r>
              <w:rPr>
                <w:rFonts w:ascii="Times New Roman" w:hAnsi="Times New Roman" w:cs="Times New Roman"/>
                <w:b/>
                <w:i/>
                <w:color w:val="000000" w:themeColor="text1"/>
                <w:lang w:val="uk-UA"/>
              </w:rPr>
              <w:t xml:space="preserve"> </w:t>
            </w:r>
            <w:r>
              <w:rPr>
                <w:rFonts w:ascii="Times New Roman" w:hAnsi="Times New Roman" w:cs="Times New Roman"/>
                <w:b/>
                <w:i/>
                <w:color w:val="000000" w:themeColor="text1"/>
              </w:rPr>
              <w:t>до</w:t>
            </w:r>
            <w:r w:rsidRPr="00F75915">
              <w:rPr>
                <w:rFonts w:ascii="Times New Roman" w:hAnsi="Times New Roman" w:cs="Times New Roman"/>
                <w:b/>
                <w:i/>
                <w:color w:val="000000" w:themeColor="text1"/>
                <w:lang w:val="uk-UA"/>
              </w:rPr>
              <w:t xml:space="preserve"> </w:t>
            </w:r>
            <w:r w:rsidR="00F72A65">
              <w:rPr>
                <w:rFonts w:ascii="Times New Roman" w:hAnsi="Times New Roman" w:cs="Times New Roman"/>
                <w:b/>
                <w:i/>
                <w:color w:val="000000" w:themeColor="text1"/>
                <w:lang w:val="uk-UA"/>
              </w:rPr>
              <w:t>геноти</w:t>
            </w:r>
            <w:r>
              <w:rPr>
                <w:rFonts w:ascii="Times New Roman" w:hAnsi="Times New Roman" w:cs="Times New Roman"/>
                <w:b/>
                <w:i/>
                <w:color w:val="000000" w:themeColor="text1"/>
                <w:lang w:val="uk-UA"/>
              </w:rPr>
              <w:t xml:space="preserve">пу схема: </w:t>
            </w:r>
            <w:r w:rsidR="008A50B6">
              <w:rPr>
                <w:rFonts w:ascii="Times New Roman" w:hAnsi="Times New Roman" w:cs="Times New Roman"/>
                <w:b/>
                <w:i/>
                <w:color w:val="000000" w:themeColor="text1"/>
                <w:lang w:val="uk-UA"/>
              </w:rPr>
              <w:t>с</w:t>
            </w:r>
            <w:r w:rsidRPr="00F75915">
              <w:rPr>
                <w:rFonts w:ascii="Times New Roman" w:hAnsi="Times New Roman" w:cs="Times New Roman"/>
                <w:b/>
                <w:i/>
                <w:color w:val="000000" w:themeColor="text1"/>
                <w:lang w:val="uk-UA"/>
              </w:rPr>
              <w:t>офосбувір/л</w:t>
            </w:r>
            <w:r>
              <w:rPr>
                <w:rFonts w:ascii="Times New Roman" w:hAnsi="Times New Roman" w:cs="Times New Roman"/>
                <w:b/>
                <w:i/>
                <w:color w:val="000000" w:themeColor="text1"/>
                <w:lang w:val="uk-UA"/>
              </w:rPr>
              <w:t>е</w:t>
            </w:r>
            <w:r w:rsidRPr="00F75915">
              <w:rPr>
                <w:rFonts w:ascii="Times New Roman" w:hAnsi="Times New Roman" w:cs="Times New Roman"/>
                <w:b/>
                <w:i/>
                <w:color w:val="000000" w:themeColor="text1"/>
                <w:lang w:val="uk-UA"/>
              </w:rPr>
              <w:t>діпасвір</w:t>
            </w:r>
          </w:p>
          <w:p w14:paraId="38938E54" w14:textId="53E1623F" w:rsidR="00F75915" w:rsidRPr="00F75915" w:rsidRDefault="00652F9A" w:rsidP="00015E3B">
            <w:pPr>
              <w:pStyle w:val="a9"/>
              <w:numPr>
                <w:ilvl w:val="0"/>
                <w:numId w:val="7"/>
              </w:numPr>
              <w:tabs>
                <w:tab w:val="left" w:pos="1089"/>
              </w:tabs>
              <w:jc w:val="both"/>
              <w:rPr>
                <w:rFonts w:ascii="Times New Roman" w:hAnsi="Times New Roman" w:cs="Times New Roman"/>
                <w:color w:val="000000" w:themeColor="text1"/>
                <w:lang w:val="uk-UA"/>
              </w:rPr>
            </w:pPr>
            <w:r w:rsidRPr="00652F9A">
              <w:rPr>
                <w:rFonts w:ascii="Times New Roman" w:hAnsi="Times New Roman" w:cs="Times New Roman"/>
                <w:color w:val="000000" w:themeColor="text1"/>
                <w:lang w:val="uk-UA"/>
              </w:rPr>
              <w:t>“</w:t>
            </w:r>
            <w:r w:rsidR="00F72A65">
              <w:rPr>
                <w:rFonts w:ascii="Times New Roman" w:hAnsi="Times New Roman" w:cs="Times New Roman"/>
                <w:color w:val="000000" w:themeColor="text1"/>
                <w:lang w:val="uk-UA"/>
              </w:rPr>
              <w:t>Наївних</w:t>
            </w:r>
            <w:r w:rsidRPr="00652F9A">
              <w:rPr>
                <w:rFonts w:ascii="Times New Roman" w:hAnsi="Times New Roman" w:cs="Times New Roman"/>
                <w:color w:val="000000" w:themeColor="text1"/>
                <w:lang w:val="uk-UA"/>
              </w:rPr>
              <w:t>”</w:t>
            </w:r>
            <w:r w:rsidR="00F72A65">
              <w:rPr>
                <w:rFonts w:ascii="Times New Roman" w:hAnsi="Times New Roman" w:cs="Times New Roman"/>
                <w:color w:val="000000" w:themeColor="text1"/>
                <w:lang w:val="uk-UA"/>
              </w:rPr>
              <w:t xml:space="preserve"> пацієнтів, інфікованих</w:t>
            </w:r>
            <w:r w:rsidR="00F75915" w:rsidRPr="00F75915">
              <w:rPr>
                <w:rFonts w:ascii="Times New Roman" w:hAnsi="Times New Roman" w:cs="Times New Roman"/>
                <w:color w:val="000000" w:themeColor="text1"/>
                <w:lang w:val="uk-UA"/>
              </w:rPr>
              <w:t xml:space="preserve"> генотипом 1а, без цирозу або з компенсованим (Child</w:t>
            </w:r>
            <w:r w:rsidR="00FC6D8A">
              <w:rPr>
                <w:rFonts w:ascii="Times New Roman" w:hAnsi="Times New Roman" w:cs="Times New Roman"/>
                <w:color w:val="000000" w:themeColor="text1"/>
                <w:lang w:val="uk-UA"/>
              </w:rPr>
              <w:t>–</w:t>
            </w:r>
            <w:r w:rsidR="00F75915" w:rsidRPr="00F75915">
              <w:rPr>
                <w:rFonts w:ascii="Times New Roman" w:hAnsi="Times New Roman" w:cs="Times New Roman"/>
                <w:color w:val="000000" w:themeColor="text1"/>
                <w:lang w:val="uk-UA"/>
              </w:rPr>
              <w:t>Pugh A) цирозо</w:t>
            </w:r>
            <w:r w:rsidR="00935F26">
              <w:rPr>
                <w:rFonts w:ascii="Times New Roman" w:hAnsi="Times New Roman" w:cs="Times New Roman"/>
                <w:color w:val="000000" w:themeColor="text1"/>
                <w:lang w:val="uk-UA"/>
              </w:rPr>
              <w:t>м</w:t>
            </w:r>
            <w:r w:rsidR="00F75915" w:rsidRPr="00F75915">
              <w:rPr>
                <w:rFonts w:ascii="Times New Roman" w:hAnsi="Times New Roman" w:cs="Times New Roman"/>
                <w:color w:val="000000" w:themeColor="text1"/>
                <w:lang w:val="uk-UA"/>
              </w:rPr>
              <w:t xml:space="preserve">, слід лікувати фіксованою дозою комбінації софосбувіру та </w:t>
            </w:r>
            <w:r w:rsidR="00F72A65">
              <w:rPr>
                <w:rFonts w:ascii="Times New Roman" w:hAnsi="Times New Roman" w:cs="Times New Roman"/>
                <w:color w:val="000000" w:themeColor="text1"/>
                <w:lang w:val="uk-UA"/>
              </w:rPr>
              <w:t>ле</w:t>
            </w:r>
            <w:r w:rsidR="00F72A65" w:rsidRPr="00F75915">
              <w:rPr>
                <w:rFonts w:ascii="Times New Roman" w:hAnsi="Times New Roman" w:cs="Times New Roman"/>
                <w:color w:val="000000" w:themeColor="text1"/>
                <w:lang w:val="uk-UA"/>
              </w:rPr>
              <w:t>діпа</w:t>
            </w:r>
            <w:r w:rsidR="00F72A65">
              <w:rPr>
                <w:rFonts w:ascii="Times New Roman" w:hAnsi="Times New Roman" w:cs="Times New Roman"/>
                <w:color w:val="000000" w:themeColor="text1"/>
                <w:lang w:val="uk-UA"/>
              </w:rPr>
              <w:t>с</w:t>
            </w:r>
            <w:r w:rsidR="00F72A65" w:rsidRPr="00F75915">
              <w:rPr>
                <w:rFonts w:ascii="Times New Roman" w:hAnsi="Times New Roman" w:cs="Times New Roman"/>
                <w:color w:val="000000" w:themeColor="text1"/>
                <w:lang w:val="uk-UA"/>
              </w:rPr>
              <w:t>віру</w:t>
            </w:r>
            <w:r w:rsidR="00F75915" w:rsidRPr="00F75915">
              <w:rPr>
                <w:rFonts w:ascii="Times New Roman" w:hAnsi="Times New Roman" w:cs="Times New Roman"/>
                <w:color w:val="000000" w:themeColor="text1"/>
                <w:lang w:val="uk-UA"/>
              </w:rPr>
              <w:t xml:space="preserve"> протягом 12 тижнів (A1).</w:t>
            </w:r>
          </w:p>
          <w:p w14:paraId="0FC800AA" w14:textId="61BCE76A" w:rsidR="00F75915" w:rsidRPr="00F75915" w:rsidRDefault="00652F9A" w:rsidP="00015E3B">
            <w:pPr>
              <w:pStyle w:val="a9"/>
              <w:numPr>
                <w:ilvl w:val="0"/>
                <w:numId w:val="7"/>
              </w:numPr>
              <w:tabs>
                <w:tab w:val="left" w:pos="1089"/>
              </w:tabs>
              <w:jc w:val="both"/>
              <w:rPr>
                <w:rFonts w:ascii="Times New Roman" w:hAnsi="Times New Roman" w:cs="Times New Roman"/>
                <w:color w:val="000000" w:themeColor="text1"/>
                <w:lang w:val="uk-UA"/>
              </w:rPr>
            </w:pPr>
            <w:r w:rsidRPr="00652F9A">
              <w:rPr>
                <w:rFonts w:ascii="Times New Roman" w:hAnsi="Times New Roman" w:cs="Times New Roman"/>
                <w:color w:val="000000" w:themeColor="text1"/>
                <w:lang w:val="uk-UA"/>
              </w:rPr>
              <w:t>“</w:t>
            </w:r>
            <w:r w:rsidR="00F72A65">
              <w:rPr>
                <w:rFonts w:ascii="Times New Roman" w:hAnsi="Times New Roman" w:cs="Times New Roman"/>
                <w:color w:val="000000" w:themeColor="text1"/>
                <w:lang w:val="uk-UA"/>
              </w:rPr>
              <w:t>Наївних</w:t>
            </w:r>
            <w:r w:rsidRPr="00652F9A">
              <w:rPr>
                <w:rFonts w:ascii="Times New Roman" w:hAnsi="Times New Roman" w:cs="Times New Roman"/>
                <w:color w:val="000000" w:themeColor="text1"/>
                <w:lang w:val="uk-UA"/>
              </w:rPr>
              <w:t>”</w:t>
            </w:r>
            <w:r w:rsidR="00F72A65">
              <w:rPr>
                <w:rFonts w:ascii="Times New Roman" w:hAnsi="Times New Roman" w:cs="Times New Roman"/>
                <w:color w:val="000000" w:themeColor="text1"/>
                <w:lang w:val="uk-UA"/>
              </w:rPr>
              <w:t xml:space="preserve"> пацієнтів, інфікованих</w:t>
            </w:r>
            <w:r w:rsidR="00F72A65" w:rsidRPr="00F75915">
              <w:rPr>
                <w:rFonts w:ascii="Times New Roman" w:hAnsi="Times New Roman" w:cs="Times New Roman"/>
                <w:color w:val="000000" w:themeColor="text1"/>
                <w:lang w:val="uk-UA"/>
              </w:rPr>
              <w:t xml:space="preserve"> </w:t>
            </w:r>
            <w:r w:rsidR="00F75915" w:rsidRPr="00F75915">
              <w:rPr>
                <w:rFonts w:ascii="Times New Roman" w:hAnsi="Times New Roman" w:cs="Times New Roman"/>
                <w:color w:val="000000" w:themeColor="text1"/>
                <w:lang w:val="uk-UA"/>
              </w:rPr>
              <w:t>генотипом 1а без цирозу, можна лікувати фіксованою д</w:t>
            </w:r>
            <w:r w:rsidR="00F72A65">
              <w:rPr>
                <w:rFonts w:ascii="Times New Roman" w:hAnsi="Times New Roman" w:cs="Times New Roman"/>
                <w:color w:val="000000" w:themeColor="text1"/>
                <w:lang w:val="uk-UA"/>
              </w:rPr>
              <w:t>озою комбінації софосбувіру і ле</w:t>
            </w:r>
            <w:r w:rsidR="00F75915" w:rsidRPr="00F75915">
              <w:rPr>
                <w:rFonts w:ascii="Times New Roman" w:hAnsi="Times New Roman" w:cs="Times New Roman"/>
                <w:color w:val="000000" w:themeColor="text1"/>
                <w:lang w:val="uk-UA"/>
              </w:rPr>
              <w:t>діпа</w:t>
            </w:r>
            <w:r w:rsidR="00F72A65">
              <w:rPr>
                <w:rFonts w:ascii="Times New Roman" w:hAnsi="Times New Roman" w:cs="Times New Roman"/>
                <w:color w:val="000000" w:themeColor="text1"/>
                <w:lang w:val="uk-UA"/>
              </w:rPr>
              <w:t>с</w:t>
            </w:r>
            <w:r w:rsidR="00F75915" w:rsidRPr="00F75915">
              <w:rPr>
                <w:rFonts w:ascii="Times New Roman" w:hAnsi="Times New Roman" w:cs="Times New Roman"/>
                <w:color w:val="000000" w:themeColor="text1"/>
                <w:lang w:val="uk-UA"/>
              </w:rPr>
              <w:t>віру протягом 8 тижнів (В2).</w:t>
            </w:r>
          </w:p>
          <w:p w14:paraId="5BBE8F67" w14:textId="320095E4" w:rsidR="00F75915" w:rsidRPr="00F75915" w:rsidRDefault="00F72A65">
            <w:pPr>
              <w:pStyle w:val="a9"/>
              <w:numPr>
                <w:ilvl w:val="0"/>
                <w:numId w:val="7"/>
              </w:numPr>
              <w:tabs>
                <w:tab w:val="left" w:pos="1089"/>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Комбінація софосбувіру та ле</w:t>
            </w:r>
            <w:r w:rsidR="00F75915" w:rsidRPr="00F75915">
              <w:rPr>
                <w:rFonts w:ascii="Times New Roman" w:hAnsi="Times New Roman" w:cs="Times New Roman"/>
                <w:color w:val="000000" w:themeColor="text1"/>
                <w:lang w:val="uk-UA"/>
              </w:rPr>
              <w:t>діпасвіру не реком</w:t>
            </w:r>
            <w:r>
              <w:rPr>
                <w:rFonts w:ascii="Times New Roman" w:hAnsi="Times New Roman" w:cs="Times New Roman"/>
                <w:color w:val="000000" w:themeColor="text1"/>
                <w:lang w:val="uk-UA"/>
              </w:rPr>
              <w:t>ендована пацієнтам</w:t>
            </w:r>
            <w:r w:rsidR="006333DB">
              <w:rPr>
                <w:rFonts w:ascii="Times New Roman" w:hAnsi="Times New Roman" w:cs="Times New Roman"/>
                <w:color w:val="000000" w:themeColor="text1"/>
                <w:lang w:val="uk-UA"/>
              </w:rPr>
              <w:t xml:space="preserve"> із досвідом лікування</w:t>
            </w:r>
            <w:r>
              <w:rPr>
                <w:rFonts w:ascii="Times New Roman" w:hAnsi="Times New Roman" w:cs="Times New Roman"/>
                <w:color w:val="000000" w:themeColor="text1"/>
                <w:lang w:val="uk-UA"/>
              </w:rPr>
              <w:t xml:space="preserve">, </w:t>
            </w:r>
            <w:r w:rsidR="006333DB">
              <w:rPr>
                <w:rFonts w:ascii="Times New Roman" w:hAnsi="Times New Roman" w:cs="Times New Roman"/>
                <w:color w:val="000000" w:themeColor="text1"/>
                <w:lang w:val="uk-UA"/>
              </w:rPr>
              <w:t xml:space="preserve">які </w:t>
            </w:r>
            <w:r>
              <w:rPr>
                <w:rFonts w:ascii="Times New Roman" w:hAnsi="Times New Roman" w:cs="Times New Roman"/>
                <w:color w:val="000000" w:themeColor="text1"/>
                <w:lang w:val="uk-UA"/>
              </w:rPr>
              <w:t>інфікован</w:t>
            </w:r>
            <w:r w:rsidR="006333DB">
              <w:rPr>
                <w:rFonts w:ascii="Times New Roman" w:hAnsi="Times New Roman" w:cs="Times New Roman"/>
                <w:color w:val="000000" w:themeColor="text1"/>
                <w:lang w:val="uk-UA"/>
              </w:rPr>
              <w:t>і</w:t>
            </w:r>
            <w:r w:rsidR="00F75915" w:rsidRPr="00F75915">
              <w:rPr>
                <w:rFonts w:ascii="Times New Roman" w:hAnsi="Times New Roman" w:cs="Times New Roman"/>
                <w:color w:val="000000" w:themeColor="text1"/>
                <w:lang w:val="uk-UA"/>
              </w:rPr>
              <w:t xml:space="preserve"> генотипом 1а (В1)</w:t>
            </w:r>
          </w:p>
        </w:tc>
      </w:tr>
    </w:tbl>
    <w:p w14:paraId="4B6F1303" w14:textId="77777777" w:rsidR="00F9216A" w:rsidRDefault="00F9216A" w:rsidP="00365DE4">
      <w:pPr>
        <w:tabs>
          <w:tab w:val="left" w:pos="1089"/>
        </w:tabs>
        <w:rPr>
          <w:rFonts w:ascii="Times New Roman" w:hAnsi="Times New Roman" w:cs="Times New Roman"/>
          <w:color w:val="000000" w:themeColor="text1"/>
          <w:lang w:val="uk-UA"/>
        </w:rPr>
      </w:pPr>
    </w:p>
    <w:p w14:paraId="43950C81" w14:textId="32EAD456" w:rsidR="00F72A65" w:rsidRDefault="00F72A65" w:rsidP="00F53078">
      <w:pPr>
        <w:tabs>
          <w:tab w:val="left" w:pos="1089"/>
        </w:tabs>
        <w:jc w:val="both"/>
        <w:rPr>
          <w:rFonts w:ascii="Times New Roman" w:hAnsi="Times New Roman" w:cs="Times New Roman"/>
          <w:color w:val="000000" w:themeColor="text1"/>
          <w:lang w:val="uk-UA"/>
        </w:rPr>
      </w:pPr>
      <w:r w:rsidRPr="00F72A65">
        <w:rPr>
          <w:rFonts w:ascii="Times New Roman" w:hAnsi="Times New Roman" w:cs="Times New Roman"/>
          <w:color w:val="000000" w:themeColor="text1"/>
          <w:lang w:val="uk-UA"/>
        </w:rPr>
        <w:t xml:space="preserve">Коментарі: Ця рекомендація базується на результатах </w:t>
      </w:r>
      <w:r w:rsidR="0013605C">
        <w:rPr>
          <w:rFonts w:ascii="Times New Roman" w:hAnsi="Times New Roman" w:cs="Times New Roman"/>
          <w:color w:val="000000" w:themeColor="text1"/>
          <w:lang w:val="uk-UA"/>
        </w:rPr>
        <w:t>трьофазного дослідження ІІІ</w:t>
      </w:r>
      <w:r w:rsidR="00E327CF">
        <w:rPr>
          <w:rFonts w:ascii="Times New Roman" w:hAnsi="Times New Roman" w:cs="Times New Roman"/>
          <w:color w:val="000000" w:themeColor="text1"/>
          <w:lang w:val="uk-UA"/>
        </w:rPr>
        <w:t xml:space="preserve"> ION</w:t>
      </w:r>
      <w:r w:rsidR="00FC6D8A">
        <w:rPr>
          <w:rFonts w:ascii="Times New Roman" w:hAnsi="Times New Roman" w:cs="Times New Roman"/>
          <w:color w:val="000000" w:themeColor="text1"/>
          <w:lang w:val="uk-UA"/>
        </w:rPr>
        <w:t>–</w:t>
      </w:r>
      <w:r w:rsidR="00E327CF">
        <w:rPr>
          <w:rFonts w:ascii="Times New Roman" w:hAnsi="Times New Roman" w:cs="Times New Roman"/>
          <w:color w:val="000000" w:themeColor="text1"/>
          <w:lang w:val="uk-UA"/>
        </w:rPr>
        <w:t>1, ION</w:t>
      </w:r>
      <w:r w:rsidR="00FC6D8A">
        <w:rPr>
          <w:rFonts w:ascii="Times New Roman" w:hAnsi="Times New Roman" w:cs="Times New Roman"/>
          <w:color w:val="000000" w:themeColor="text1"/>
          <w:lang w:val="uk-UA"/>
        </w:rPr>
        <w:t>–</w:t>
      </w:r>
      <w:r w:rsidR="00E327CF">
        <w:rPr>
          <w:rFonts w:ascii="Times New Roman" w:hAnsi="Times New Roman" w:cs="Times New Roman"/>
          <w:color w:val="000000" w:themeColor="text1"/>
          <w:lang w:val="uk-UA"/>
        </w:rPr>
        <w:t>3 та ION</w:t>
      </w:r>
      <w:r w:rsidR="00FC6D8A">
        <w:rPr>
          <w:rFonts w:ascii="Times New Roman" w:hAnsi="Times New Roman" w:cs="Times New Roman"/>
          <w:color w:val="000000" w:themeColor="text1"/>
          <w:lang w:val="uk-UA"/>
        </w:rPr>
        <w:t>–</w:t>
      </w:r>
      <w:r w:rsidR="00E327CF">
        <w:rPr>
          <w:rFonts w:ascii="Times New Roman" w:hAnsi="Times New Roman" w:cs="Times New Roman"/>
          <w:color w:val="000000" w:themeColor="text1"/>
          <w:lang w:val="uk-UA"/>
        </w:rPr>
        <w:t xml:space="preserve">4 </w:t>
      </w:r>
      <w:r w:rsidRPr="00784CAA">
        <w:rPr>
          <w:rFonts w:ascii="Times New Roman" w:hAnsi="Times New Roman" w:cs="Times New Roman"/>
          <w:b/>
          <w:color w:val="000000" w:themeColor="text1"/>
          <w:vertAlign w:val="superscript"/>
          <w:lang w:val="uk-UA"/>
        </w:rPr>
        <w:t>74</w:t>
      </w:r>
      <w:r w:rsidR="00FC6D8A">
        <w:rPr>
          <w:rFonts w:ascii="Times New Roman" w:hAnsi="Times New Roman" w:cs="Times New Roman"/>
          <w:b/>
          <w:color w:val="000000" w:themeColor="text1"/>
          <w:vertAlign w:val="superscript"/>
          <w:lang w:val="uk-UA"/>
        </w:rPr>
        <w:t>–</w:t>
      </w:r>
      <w:r w:rsidRPr="00784CAA">
        <w:rPr>
          <w:rFonts w:ascii="Times New Roman" w:hAnsi="Times New Roman" w:cs="Times New Roman"/>
          <w:b/>
          <w:color w:val="000000" w:themeColor="text1"/>
          <w:vertAlign w:val="superscript"/>
          <w:lang w:val="uk-UA"/>
        </w:rPr>
        <w:t>77</w:t>
      </w:r>
      <w:r w:rsidR="00E327CF">
        <w:rPr>
          <w:rFonts w:ascii="Times New Roman" w:hAnsi="Times New Roman" w:cs="Times New Roman"/>
          <w:color w:val="000000" w:themeColor="text1"/>
          <w:lang w:val="uk-UA"/>
        </w:rPr>
        <w:t xml:space="preserve"> та</w:t>
      </w:r>
      <w:r w:rsidRPr="00F72A65">
        <w:rPr>
          <w:rFonts w:ascii="Times New Roman" w:hAnsi="Times New Roman" w:cs="Times New Roman"/>
          <w:color w:val="000000" w:themeColor="text1"/>
          <w:lang w:val="uk-UA"/>
        </w:rPr>
        <w:t xml:space="preserve"> </w:t>
      </w:r>
      <w:r w:rsidR="00E327CF">
        <w:rPr>
          <w:rFonts w:ascii="Times New Roman" w:hAnsi="Times New Roman" w:cs="Times New Roman"/>
          <w:color w:val="000000" w:themeColor="text1"/>
          <w:lang w:val="uk-UA"/>
        </w:rPr>
        <w:t>кількох ретроспективних аналіз</w:t>
      </w:r>
      <w:r w:rsidR="00345456">
        <w:rPr>
          <w:rFonts w:ascii="Times New Roman" w:hAnsi="Times New Roman" w:cs="Times New Roman"/>
          <w:color w:val="000000" w:themeColor="text1"/>
          <w:lang w:val="uk-UA"/>
        </w:rPr>
        <w:t>ах</w:t>
      </w:r>
      <w:r w:rsidR="00E327CF">
        <w:rPr>
          <w:rFonts w:ascii="Times New Roman" w:hAnsi="Times New Roman" w:cs="Times New Roman"/>
          <w:color w:val="000000" w:themeColor="text1"/>
          <w:lang w:val="uk-UA"/>
        </w:rPr>
        <w:t xml:space="preserve"> </w:t>
      </w:r>
      <w:r w:rsidRPr="00F72A65">
        <w:rPr>
          <w:rFonts w:ascii="Times New Roman" w:hAnsi="Times New Roman" w:cs="Times New Roman"/>
          <w:color w:val="000000" w:themeColor="text1"/>
          <w:lang w:val="uk-UA"/>
        </w:rPr>
        <w:t>даних, що складаються з клінічних випробувань фази II та III, а так</w:t>
      </w:r>
      <w:r w:rsidR="00E327CF">
        <w:rPr>
          <w:rFonts w:ascii="Times New Roman" w:hAnsi="Times New Roman" w:cs="Times New Roman"/>
          <w:color w:val="000000" w:themeColor="text1"/>
          <w:lang w:val="uk-UA"/>
        </w:rPr>
        <w:t xml:space="preserve">ож на даних, представлених </w:t>
      </w:r>
      <w:r w:rsidRPr="00F72A65">
        <w:rPr>
          <w:rFonts w:ascii="Times New Roman" w:hAnsi="Times New Roman" w:cs="Times New Roman"/>
          <w:color w:val="000000" w:themeColor="text1"/>
          <w:lang w:val="uk-UA"/>
        </w:rPr>
        <w:t>на міжнародних медичн</w:t>
      </w:r>
      <w:r w:rsidR="00E327CF">
        <w:rPr>
          <w:rFonts w:ascii="Times New Roman" w:hAnsi="Times New Roman" w:cs="Times New Roman"/>
          <w:color w:val="000000" w:themeColor="text1"/>
          <w:lang w:val="uk-UA"/>
        </w:rPr>
        <w:t>их конференціях або опублікуваних в спеціалізованих виданнях</w:t>
      </w:r>
      <w:r w:rsidRPr="00F72A65">
        <w:rPr>
          <w:rFonts w:ascii="Times New Roman" w:hAnsi="Times New Roman" w:cs="Times New Roman"/>
          <w:color w:val="000000" w:themeColor="text1"/>
          <w:lang w:val="uk-UA"/>
        </w:rPr>
        <w:t>.</w:t>
      </w:r>
    </w:p>
    <w:p w14:paraId="2BE2DBB8" w14:textId="77777777" w:rsidR="00E327CF" w:rsidRPr="00F72A65" w:rsidRDefault="00E327CF" w:rsidP="00F53078">
      <w:pPr>
        <w:tabs>
          <w:tab w:val="left" w:pos="1089"/>
        </w:tabs>
        <w:jc w:val="both"/>
        <w:rPr>
          <w:rFonts w:ascii="Times New Roman" w:hAnsi="Times New Roman" w:cs="Times New Roman"/>
          <w:color w:val="000000" w:themeColor="text1"/>
          <w:lang w:val="uk-UA"/>
        </w:rPr>
      </w:pPr>
    </w:p>
    <w:p w14:paraId="480D9378" w14:textId="5316B9FF" w:rsidR="00F72A65" w:rsidRPr="00F72A65" w:rsidRDefault="00FC0A82" w:rsidP="00F53078">
      <w:pPr>
        <w:tabs>
          <w:tab w:val="left" w:pos="1089"/>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У</w:t>
      </w:r>
      <w:r w:rsidR="00F72A65" w:rsidRPr="00F72A65">
        <w:rPr>
          <w:rFonts w:ascii="Times New Roman" w:hAnsi="Times New Roman" w:cs="Times New Roman"/>
          <w:color w:val="000000" w:themeColor="text1"/>
          <w:lang w:val="uk-UA"/>
        </w:rPr>
        <w:t xml:space="preserve"> ION</w:t>
      </w:r>
      <w:r w:rsidR="00FC6D8A">
        <w:rPr>
          <w:rFonts w:ascii="Times New Roman" w:hAnsi="Times New Roman" w:cs="Times New Roman"/>
          <w:color w:val="000000" w:themeColor="text1"/>
          <w:lang w:val="uk-UA"/>
        </w:rPr>
        <w:t>–</w:t>
      </w:r>
      <w:r w:rsidR="00F72A65" w:rsidRPr="00F72A65">
        <w:rPr>
          <w:rFonts w:ascii="Times New Roman" w:hAnsi="Times New Roman" w:cs="Times New Roman"/>
          <w:color w:val="000000" w:themeColor="text1"/>
          <w:lang w:val="uk-UA"/>
        </w:rPr>
        <w:t>1</w:t>
      </w:r>
      <w:r w:rsidR="00E327CF">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 xml:space="preserve">“наївні” </w:t>
      </w:r>
      <w:r w:rsidR="00F72A65" w:rsidRPr="00F72A65">
        <w:rPr>
          <w:rFonts w:ascii="Times New Roman" w:hAnsi="Times New Roman" w:cs="Times New Roman"/>
          <w:color w:val="000000" w:themeColor="text1"/>
          <w:lang w:val="uk-UA"/>
        </w:rPr>
        <w:t>пацієнти із генотипом 1а, у тому числі приблизно 15% з компенс</w:t>
      </w:r>
      <w:r w:rsidR="00E327CF">
        <w:rPr>
          <w:rFonts w:ascii="Times New Roman" w:hAnsi="Times New Roman" w:cs="Times New Roman"/>
          <w:color w:val="000000" w:themeColor="text1"/>
          <w:lang w:val="uk-UA"/>
        </w:rPr>
        <w:t>ованим цирозом печінки, досягли СВВ</w:t>
      </w:r>
      <w:r w:rsidR="00F72A65" w:rsidRPr="00F72A65">
        <w:rPr>
          <w:rFonts w:ascii="Times New Roman" w:hAnsi="Times New Roman" w:cs="Times New Roman"/>
          <w:color w:val="000000" w:themeColor="text1"/>
          <w:lang w:val="uk-UA"/>
        </w:rPr>
        <w:t xml:space="preserve">12 у 98% (141/144; один рецидив) випадків після 12 тижнів </w:t>
      </w:r>
      <w:r w:rsidR="00E327CF">
        <w:rPr>
          <w:rFonts w:ascii="Times New Roman" w:hAnsi="Times New Roman" w:cs="Times New Roman"/>
          <w:color w:val="000000" w:themeColor="text1"/>
          <w:lang w:val="uk-UA"/>
        </w:rPr>
        <w:t>прийому фіксованої дози</w:t>
      </w:r>
      <w:r w:rsidR="00F72A65" w:rsidRPr="00F72A65">
        <w:rPr>
          <w:rFonts w:ascii="Times New Roman" w:hAnsi="Times New Roman" w:cs="Times New Roman"/>
          <w:color w:val="000000" w:themeColor="text1"/>
          <w:lang w:val="uk-UA"/>
        </w:rPr>
        <w:t xml:space="preserve"> комбінації софосбувіру та </w:t>
      </w:r>
      <w:r w:rsidR="00E327CF">
        <w:rPr>
          <w:rFonts w:ascii="Times New Roman" w:hAnsi="Times New Roman" w:cs="Times New Roman"/>
          <w:color w:val="000000" w:themeColor="text1"/>
          <w:lang w:val="uk-UA"/>
        </w:rPr>
        <w:t>ле</w:t>
      </w:r>
      <w:r w:rsidR="00E327CF" w:rsidRPr="00F75915">
        <w:rPr>
          <w:rFonts w:ascii="Times New Roman" w:hAnsi="Times New Roman" w:cs="Times New Roman"/>
          <w:color w:val="000000" w:themeColor="text1"/>
          <w:lang w:val="uk-UA"/>
        </w:rPr>
        <w:t>діпа</w:t>
      </w:r>
      <w:r w:rsidR="00E327CF">
        <w:rPr>
          <w:rFonts w:ascii="Times New Roman" w:hAnsi="Times New Roman" w:cs="Times New Roman"/>
          <w:color w:val="000000" w:themeColor="text1"/>
          <w:lang w:val="uk-UA"/>
        </w:rPr>
        <w:t>с</w:t>
      </w:r>
      <w:r w:rsidR="00E327CF" w:rsidRPr="00F75915">
        <w:rPr>
          <w:rFonts w:ascii="Times New Roman" w:hAnsi="Times New Roman" w:cs="Times New Roman"/>
          <w:color w:val="000000" w:themeColor="text1"/>
          <w:lang w:val="uk-UA"/>
        </w:rPr>
        <w:t>віру</w:t>
      </w:r>
      <w:r w:rsidR="00F72A65" w:rsidRPr="00F72A65">
        <w:rPr>
          <w:rFonts w:ascii="Times New Roman" w:hAnsi="Times New Roman" w:cs="Times New Roman"/>
          <w:color w:val="000000" w:themeColor="text1"/>
          <w:lang w:val="uk-UA"/>
        </w:rPr>
        <w:t>.</w:t>
      </w:r>
      <w:r w:rsidR="00F72A65" w:rsidRPr="00784CAA">
        <w:rPr>
          <w:rFonts w:ascii="Times New Roman" w:hAnsi="Times New Roman" w:cs="Times New Roman"/>
          <w:b/>
          <w:color w:val="000000" w:themeColor="text1"/>
          <w:vertAlign w:val="superscript"/>
          <w:lang w:val="uk-UA"/>
        </w:rPr>
        <w:t>74</w:t>
      </w:r>
      <w:r w:rsidR="00F72A65" w:rsidRPr="00F72A65">
        <w:rPr>
          <w:rFonts w:ascii="Times New Roman" w:hAnsi="Times New Roman" w:cs="Times New Roman"/>
          <w:color w:val="000000" w:themeColor="text1"/>
          <w:lang w:val="uk-UA"/>
        </w:rPr>
        <w:t xml:space="preserve"> Інтегрований аналіз пацієнтів з компенсованим цирозом </w:t>
      </w:r>
      <w:r w:rsidR="00784CAA">
        <w:rPr>
          <w:rFonts w:ascii="Times New Roman" w:hAnsi="Times New Roman" w:cs="Times New Roman"/>
          <w:color w:val="000000" w:themeColor="text1"/>
          <w:lang w:val="uk-UA"/>
        </w:rPr>
        <w:t>з генотипом</w:t>
      </w:r>
      <w:r w:rsidR="00F72A65" w:rsidRPr="00F72A65">
        <w:rPr>
          <w:rFonts w:ascii="Times New Roman" w:hAnsi="Times New Roman" w:cs="Times New Roman"/>
          <w:color w:val="000000" w:themeColor="text1"/>
          <w:lang w:val="uk-UA"/>
        </w:rPr>
        <w:t xml:space="preserve"> 1а, що отримували лікува</w:t>
      </w:r>
      <w:r w:rsidR="00784CAA">
        <w:rPr>
          <w:rFonts w:ascii="Times New Roman" w:hAnsi="Times New Roman" w:cs="Times New Roman"/>
          <w:color w:val="000000" w:themeColor="text1"/>
          <w:lang w:val="uk-UA"/>
        </w:rPr>
        <w:t>ння з використанням софосбувіру/</w:t>
      </w:r>
      <w:r w:rsidR="00E327CF">
        <w:rPr>
          <w:rFonts w:ascii="Times New Roman" w:hAnsi="Times New Roman" w:cs="Times New Roman"/>
          <w:color w:val="000000" w:themeColor="text1"/>
          <w:lang w:val="uk-UA"/>
        </w:rPr>
        <w:t>ле</w:t>
      </w:r>
      <w:r w:rsidR="00E327CF" w:rsidRPr="00F75915">
        <w:rPr>
          <w:rFonts w:ascii="Times New Roman" w:hAnsi="Times New Roman" w:cs="Times New Roman"/>
          <w:color w:val="000000" w:themeColor="text1"/>
          <w:lang w:val="uk-UA"/>
        </w:rPr>
        <w:t>діпа</w:t>
      </w:r>
      <w:r w:rsidR="00E327CF">
        <w:rPr>
          <w:rFonts w:ascii="Times New Roman" w:hAnsi="Times New Roman" w:cs="Times New Roman"/>
          <w:color w:val="000000" w:themeColor="text1"/>
          <w:lang w:val="uk-UA"/>
        </w:rPr>
        <w:t>с</w:t>
      </w:r>
      <w:r w:rsidR="00E327CF" w:rsidRPr="00F75915">
        <w:rPr>
          <w:rFonts w:ascii="Times New Roman" w:hAnsi="Times New Roman" w:cs="Times New Roman"/>
          <w:color w:val="000000" w:themeColor="text1"/>
          <w:lang w:val="uk-UA"/>
        </w:rPr>
        <w:t>віру</w:t>
      </w:r>
      <w:r w:rsidR="00F72A65" w:rsidRPr="00F72A65">
        <w:rPr>
          <w:rFonts w:ascii="Times New Roman" w:hAnsi="Times New Roman" w:cs="Times New Roman"/>
          <w:color w:val="000000" w:themeColor="text1"/>
          <w:lang w:val="uk-UA"/>
        </w:rPr>
        <w:t xml:space="preserve"> протягом 12 тижнів у різних </w:t>
      </w:r>
      <w:r w:rsidR="00784CAA">
        <w:rPr>
          <w:rFonts w:ascii="Times New Roman" w:hAnsi="Times New Roman" w:cs="Times New Roman"/>
          <w:color w:val="000000" w:themeColor="text1"/>
          <w:lang w:val="uk-UA"/>
        </w:rPr>
        <w:t>фазах</w:t>
      </w:r>
      <w:r w:rsidR="00784CAA" w:rsidRPr="00F72A65">
        <w:rPr>
          <w:rFonts w:ascii="Times New Roman" w:hAnsi="Times New Roman" w:cs="Times New Roman"/>
          <w:color w:val="000000" w:themeColor="text1"/>
          <w:lang w:val="uk-UA"/>
        </w:rPr>
        <w:t xml:space="preserve"> </w:t>
      </w:r>
      <w:r w:rsidR="00F72A65" w:rsidRPr="00F72A65">
        <w:rPr>
          <w:rFonts w:ascii="Times New Roman" w:hAnsi="Times New Roman" w:cs="Times New Roman"/>
          <w:color w:val="000000" w:themeColor="text1"/>
          <w:lang w:val="uk-UA"/>
        </w:rPr>
        <w:t>дослідженнях II та III</w:t>
      </w:r>
      <w:r w:rsidR="00784CAA">
        <w:rPr>
          <w:rFonts w:ascii="Times New Roman" w:hAnsi="Times New Roman" w:cs="Times New Roman"/>
          <w:color w:val="000000" w:themeColor="text1"/>
          <w:lang w:val="uk-UA"/>
        </w:rPr>
        <w:t>, показали загальну частоту СВВ12 98% (84/86)</w:t>
      </w:r>
      <w:r w:rsidR="00F72A65" w:rsidRPr="00F72A65">
        <w:rPr>
          <w:rFonts w:ascii="Times New Roman" w:hAnsi="Times New Roman" w:cs="Times New Roman"/>
          <w:color w:val="000000" w:themeColor="text1"/>
          <w:lang w:val="uk-UA"/>
        </w:rPr>
        <w:t>.</w:t>
      </w:r>
      <w:r w:rsidR="00F72A65" w:rsidRPr="00784CAA">
        <w:rPr>
          <w:rFonts w:ascii="Times New Roman" w:hAnsi="Times New Roman" w:cs="Times New Roman"/>
          <w:b/>
          <w:color w:val="000000" w:themeColor="text1"/>
          <w:vertAlign w:val="superscript"/>
          <w:lang w:val="uk-UA"/>
        </w:rPr>
        <w:t>78</w:t>
      </w:r>
    </w:p>
    <w:p w14:paraId="7C5E8DB7" w14:textId="77777777" w:rsidR="00784CAA" w:rsidRDefault="00784CAA" w:rsidP="00F53078">
      <w:pPr>
        <w:tabs>
          <w:tab w:val="left" w:pos="1089"/>
        </w:tabs>
        <w:jc w:val="both"/>
        <w:rPr>
          <w:rFonts w:ascii="Times New Roman" w:hAnsi="Times New Roman" w:cs="Times New Roman"/>
          <w:color w:val="000000" w:themeColor="text1"/>
          <w:lang w:val="uk-UA"/>
        </w:rPr>
      </w:pPr>
    </w:p>
    <w:p w14:paraId="4BDF3DEE" w14:textId="7D74FA73" w:rsidR="00F72A65" w:rsidRPr="00F72A65" w:rsidRDefault="00FC0A82" w:rsidP="00F53078">
      <w:pPr>
        <w:tabs>
          <w:tab w:val="left" w:pos="1089"/>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У</w:t>
      </w:r>
      <w:r w:rsidR="00F72A65" w:rsidRPr="00F72A65">
        <w:rPr>
          <w:rFonts w:ascii="Times New Roman" w:hAnsi="Times New Roman" w:cs="Times New Roman"/>
          <w:color w:val="000000" w:themeColor="text1"/>
          <w:lang w:val="uk-UA"/>
        </w:rPr>
        <w:t xml:space="preserve"> ION</w:t>
      </w:r>
      <w:r w:rsidR="00FC6D8A">
        <w:rPr>
          <w:rFonts w:ascii="Times New Roman" w:hAnsi="Times New Roman" w:cs="Times New Roman"/>
          <w:color w:val="000000" w:themeColor="text1"/>
          <w:lang w:val="uk-UA"/>
        </w:rPr>
        <w:t>–</w:t>
      </w:r>
      <w:r w:rsidR="00F72A65" w:rsidRPr="00F72A65">
        <w:rPr>
          <w:rFonts w:ascii="Times New Roman" w:hAnsi="Times New Roman" w:cs="Times New Roman"/>
          <w:color w:val="000000" w:themeColor="text1"/>
          <w:lang w:val="uk-UA"/>
        </w:rPr>
        <w:t xml:space="preserve">4 </w:t>
      </w:r>
      <w:r w:rsidR="008C3BC9">
        <w:rPr>
          <w:rFonts w:ascii="Times New Roman" w:hAnsi="Times New Roman" w:cs="Times New Roman"/>
          <w:color w:val="000000" w:themeColor="text1"/>
          <w:lang w:val="uk-UA"/>
        </w:rPr>
        <w:t>у відкритому дослідженні,</w:t>
      </w:r>
      <w:r w:rsidR="00F72A65" w:rsidRPr="00F72A65">
        <w:rPr>
          <w:rFonts w:ascii="Times New Roman" w:hAnsi="Times New Roman" w:cs="Times New Roman"/>
          <w:color w:val="000000" w:themeColor="text1"/>
          <w:lang w:val="uk-UA"/>
        </w:rPr>
        <w:t xml:space="preserve"> </w:t>
      </w:r>
      <w:r w:rsidR="00784CAA">
        <w:rPr>
          <w:rFonts w:ascii="Times New Roman" w:hAnsi="Times New Roman" w:cs="Times New Roman"/>
          <w:color w:val="000000" w:themeColor="text1"/>
          <w:lang w:val="uk-UA"/>
        </w:rPr>
        <w:t>у “наївних” та пацієнтів</w:t>
      </w:r>
      <w:r w:rsidR="006333DB">
        <w:rPr>
          <w:rFonts w:ascii="Times New Roman" w:hAnsi="Times New Roman" w:cs="Times New Roman"/>
          <w:color w:val="000000" w:themeColor="text1"/>
          <w:lang w:val="uk-UA"/>
        </w:rPr>
        <w:t xml:space="preserve"> з досвідом лікування</w:t>
      </w:r>
      <w:r w:rsidR="00784CAA" w:rsidRPr="00F72A65">
        <w:rPr>
          <w:rFonts w:ascii="Times New Roman" w:hAnsi="Times New Roman" w:cs="Times New Roman"/>
          <w:color w:val="000000" w:themeColor="text1"/>
          <w:lang w:val="uk-UA"/>
        </w:rPr>
        <w:t xml:space="preserve"> </w:t>
      </w:r>
      <w:r w:rsidR="00784CAA">
        <w:rPr>
          <w:rFonts w:ascii="Times New Roman" w:hAnsi="Times New Roman" w:cs="Times New Roman"/>
          <w:color w:val="000000" w:themeColor="text1"/>
          <w:lang w:val="uk-UA"/>
        </w:rPr>
        <w:t>з генотипом</w:t>
      </w:r>
      <w:r w:rsidR="00F72A65" w:rsidRPr="00F72A65">
        <w:rPr>
          <w:rFonts w:ascii="Times New Roman" w:hAnsi="Times New Roman" w:cs="Times New Roman"/>
          <w:color w:val="000000" w:themeColor="text1"/>
          <w:lang w:val="uk-UA"/>
        </w:rPr>
        <w:t xml:space="preserve"> 1а без цирозу</w:t>
      </w:r>
      <w:r w:rsidR="00784CAA">
        <w:rPr>
          <w:rFonts w:ascii="Times New Roman" w:hAnsi="Times New Roman" w:cs="Times New Roman"/>
          <w:color w:val="000000" w:themeColor="text1"/>
          <w:lang w:val="uk-UA"/>
        </w:rPr>
        <w:t xml:space="preserve"> та з цирозом</w:t>
      </w:r>
      <w:r w:rsidR="00F72A65" w:rsidRPr="00F72A65">
        <w:rPr>
          <w:rFonts w:ascii="Times New Roman" w:hAnsi="Times New Roman" w:cs="Times New Roman"/>
          <w:color w:val="000000" w:themeColor="text1"/>
          <w:lang w:val="uk-UA"/>
        </w:rPr>
        <w:t xml:space="preserve">, </w:t>
      </w:r>
      <w:r w:rsidR="00935F26">
        <w:rPr>
          <w:rFonts w:ascii="Times New Roman" w:hAnsi="Times New Roman" w:cs="Times New Roman"/>
          <w:color w:val="000000" w:themeColor="text1"/>
          <w:lang w:val="uk-UA"/>
        </w:rPr>
        <w:t>які мали</w:t>
      </w:r>
      <w:r w:rsidR="00F72A65" w:rsidRPr="00F72A65">
        <w:rPr>
          <w:rFonts w:ascii="Times New Roman" w:hAnsi="Times New Roman" w:cs="Times New Roman"/>
          <w:color w:val="000000" w:themeColor="text1"/>
          <w:lang w:val="uk-UA"/>
        </w:rPr>
        <w:t xml:space="preserve"> ВІЛ та отрим</w:t>
      </w:r>
      <w:r w:rsidR="00935F26">
        <w:rPr>
          <w:rFonts w:ascii="Times New Roman" w:hAnsi="Times New Roman" w:cs="Times New Roman"/>
          <w:color w:val="000000" w:themeColor="text1"/>
          <w:lang w:val="uk-UA"/>
        </w:rPr>
        <w:t>ували</w:t>
      </w:r>
      <w:r w:rsidR="00F72A65" w:rsidRPr="00F72A65">
        <w:rPr>
          <w:rFonts w:ascii="Times New Roman" w:hAnsi="Times New Roman" w:cs="Times New Roman"/>
          <w:color w:val="000000" w:themeColor="text1"/>
          <w:lang w:val="uk-UA"/>
        </w:rPr>
        <w:t xml:space="preserve"> </w:t>
      </w:r>
      <w:r w:rsidR="00784CAA">
        <w:rPr>
          <w:rFonts w:ascii="Times New Roman" w:hAnsi="Times New Roman" w:cs="Times New Roman"/>
          <w:color w:val="000000" w:themeColor="text1"/>
          <w:lang w:val="uk-UA"/>
        </w:rPr>
        <w:t>антиретровірусн</w:t>
      </w:r>
      <w:r w:rsidR="00935F26">
        <w:rPr>
          <w:rFonts w:ascii="Times New Roman" w:hAnsi="Times New Roman" w:cs="Times New Roman"/>
          <w:color w:val="000000" w:themeColor="text1"/>
          <w:lang w:val="uk-UA"/>
        </w:rPr>
        <w:t>е лікування</w:t>
      </w:r>
      <w:r w:rsidR="00784CAA">
        <w:rPr>
          <w:rFonts w:ascii="Times New Roman" w:hAnsi="Times New Roman" w:cs="Times New Roman"/>
          <w:color w:val="000000" w:themeColor="text1"/>
          <w:lang w:val="uk-UA"/>
        </w:rPr>
        <w:t xml:space="preserve"> </w:t>
      </w:r>
      <w:r w:rsidR="00935F26">
        <w:rPr>
          <w:rFonts w:ascii="Times New Roman" w:hAnsi="Times New Roman" w:cs="Times New Roman"/>
          <w:color w:val="000000" w:themeColor="text1"/>
          <w:lang w:val="uk-UA"/>
        </w:rPr>
        <w:t>(</w:t>
      </w:r>
      <w:r w:rsidR="00784CAA">
        <w:rPr>
          <w:rFonts w:ascii="Times New Roman" w:hAnsi="Times New Roman" w:cs="Times New Roman"/>
          <w:color w:val="000000" w:themeColor="text1"/>
          <w:lang w:val="uk-UA"/>
        </w:rPr>
        <w:t>тенофовір</w:t>
      </w:r>
      <w:r w:rsidR="00F72A65" w:rsidRPr="00F72A65">
        <w:rPr>
          <w:rFonts w:ascii="Times New Roman" w:hAnsi="Times New Roman" w:cs="Times New Roman"/>
          <w:color w:val="000000" w:themeColor="text1"/>
          <w:lang w:val="uk-UA"/>
        </w:rPr>
        <w:t xml:space="preserve"> та емтріцітабін</w:t>
      </w:r>
      <w:r w:rsidR="00784CAA">
        <w:rPr>
          <w:rFonts w:ascii="Times New Roman" w:hAnsi="Times New Roman" w:cs="Times New Roman"/>
          <w:color w:val="000000" w:themeColor="text1"/>
          <w:lang w:val="uk-UA"/>
        </w:rPr>
        <w:t xml:space="preserve"> з </w:t>
      </w:r>
      <w:r w:rsidR="00187E20">
        <w:rPr>
          <w:rFonts w:ascii="Times New Roman" w:hAnsi="Times New Roman" w:cs="Times New Roman"/>
          <w:color w:val="000000" w:themeColor="text1"/>
          <w:lang w:val="uk-UA"/>
        </w:rPr>
        <w:t>ефавіренц</w:t>
      </w:r>
      <w:r w:rsidR="00784CAA">
        <w:rPr>
          <w:rFonts w:ascii="Times New Roman" w:hAnsi="Times New Roman" w:cs="Times New Roman"/>
          <w:color w:val="000000" w:themeColor="text1"/>
          <w:lang w:val="uk-UA"/>
        </w:rPr>
        <w:t>ом, рилпівіри</w:t>
      </w:r>
      <w:r w:rsidR="00163439">
        <w:rPr>
          <w:rFonts w:ascii="Times New Roman" w:hAnsi="Times New Roman" w:cs="Times New Roman"/>
          <w:color w:val="000000" w:themeColor="text1"/>
          <w:lang w:val="uk-UA"/>
        </w:rPr>
        <w:t>н</w:t>
      </w:r>
      <w:r w:rsidR="00784CAA">
        <w:rPr>
          <w:rFonts w:ascii="Times New Roman" w:hAnsi="Times New Roman" w:cs="Times New Roman"/>
          <w:color w:val="000000" w:themeColor="text1"/>
          <w:lang w:val="uk-UA"/>
        </w:rPr>
        <w:t xml:space="preserve"> або ралтеграві</w:t>
      </w:r>
      <w:r w:rsidR="00F72A65" w:rsidRPr="00F72A65">
        <w:rPr>
          <w:rFonts w:ascii="Times New Roman" w:hAnsi="Times New Roman" w:cs="Times New Roman"/>
          <w:color w:val="000000" w:themeColor="text1"/>
          <w:lang w:val="uk-UA"/>
        </w:rPr>
        <w:t>р</w:t>
      </w:r>
      <w:r w:rsidR="00935F26">
        <w:rPr>
          <w:rFonts w:ascii="Times New Roman" w:hAnsi="Times New Roman" w:cs="Times New Roman"/>
          <w:color w:val="000000" w:themeColor="text1"/>
          <w:lang w:val="uk-UA"/>
        </w:rPr>
        <w:t>)</w:t>
      </w:r>
      <w:r w:rsidR="00F72A65" w:rsidRPr="00F72A65">
        <w:rPr>
          <w:rFonts w:ascii="Times New Roman" w:hAnsi="Times New Roman" w:cs="Times New Roman"/>
          <w:color w:val="000000" w:themeColor="text1"/>
          <w:lang w:val="uk-UA"/>
        </w:rPr>
        <w:t xml:space="preserve">, частота </w:t>
      </w:r>
      <w:r w:rsidR="00163439">
        <w:rPr>
          <w:rFonts w:ascii="Times New Roman" w:hAnsi="Times New Roman" w:cs="Times New Roman"/>
          <w:color w:val="000000" w:themeColor="text1"/>
          <w:lang w:val="uk-UA"/>
        </w:rPr>
        <w:t>СВВ</w:t>
      </w:r>
      <w:r w:rsidR="00163439" w:rsidRPr="00F72A65">
        <w:rPr>
          <w:rFonts w:ascii="Times New Roman" w:hAnsi="Times New Roman" w:cs="Times New Roman"/>
          <w:color w:val="000000" w:themeColor="text1"/>
          <w:lang w:val="uk-UA"/>
        </w:rPr>
        <w:t xml:space="preserve"> </w:t>
      </w:r>
      <w:r w:rsidR="00F72A65" w:rsidRPr="00F72A65">
        <w:rPr>
          <w:rFonts w:ascii="Times New Roman" w:hAnsi="Times New Roman" w:cs="Times New Roman"/>
          <w:color w:val="000000" w:themeColor="text1"/>
          <w:lang w:val="uk-UA"/>
        </w:rPr>
        <w:t>12 стано</w:t>
      </w:r>
      <w:r w:rsidR="00163439">
        <w:rPr>
          <w:rFonts w:ascii="Times New Roman" w:hAnsi="Times New Roman" w:cs="Times New Roman"/>
          <w:color w:val="000000" w:themeColor="text1"/>
          <w:lang w:val="uk-UA"/>
        </w:rPr>
        <w:t>вила 96% (240/250; 8 рецидивів)</w:t>
      </w:r>
      <w:r w:rsidR="00F72A65" w:rsidRPr="00F72A65">
        <w:rPr>
          <w:rFonts w:ascii="Times New Roman" w:hAnsi="Times New Roman" w:cs="Times New Roman"/>
          <w:color w:val="000000" w:themeColor="text1"/>
          <w:lang w:val="uk-UA"/>
        </w:rPr>
        <w:t>.</w:t>
      </w:r>
      <w:r w:rsidR="00F72A65" w:rsidRPr="00163439">
        <w:rPr>
          <w:rFonts w:ascii="Times New Roman" w:hAnsi="Times New Roman" w:cs="Times New Roman"/>
          <w:color w:val="000000" w:themeColor="text1"/>
          <w:vertAlign w:val="superscript"/>
          <w:lang w:val="uk-UA"/>
        </w:rPr>
        <w:t>77</w:t>
      </w:r>
    </w:p>
    <w:p w14:paraId="03A42885" w14:textId="77777777" w:rsidR="00163439" w:rsidRDefault="00163439" w:rsidP="00F53078">
      <w:pPr>
        <w:tabs>
          <w:tab w:val="left" w:pos="1089"/>
        </w:tabs>
        <w:jc w:val="both"/>
        <w:rPr>
          <w:rFonts w:ascii="Times New Roman" w:hAnsi="Times New Roman" w:cs="Times New Roman"/>
          <w:color w:val="000000" w:themeColor="text1"/>
          <w:lang w:val="uk-UA"/>
        </w:rPr>
      </w:pPr>
    </w:p>
    <w:p w14:paraId="4E57BD69" w14:textId="730EF952" w:rsidR="00F72A65" w:rsidRPr="00F72A65" w:rsidRDefault="00FC0A82" w:rsidP="00F53078">
      <w:pPr>
        <w:tabs>
          <w:tab w:val="left" w:pos="1089"/>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У</w:t>
      </w:r>
      <w:r w:rsidR="00163439">
        <w:rPr>
          <w:rFonts w:ascii="Times New Roman" w:hAnsi="Times New Roman" w:cs="Times New Roman"/>
          <w:color w:val="000000" w:themeColor="text1"/>
          <w:lang w:val="uk-UA"/>
        </w:rPr>
        <w:t xml:space="preserve"> ІОН</w:t>
      </w:r>
      <w:r w:rsidR="00FC6D8A">
        <w:rPr>
          <w:rFonts w:ascii="Times New Roman" w:hAnsi="Times New Roman" w:cs="Times New Roman"/>
          <w:color w:val="000000" w:themeColor="text1"/>
          <w:lang w:val="uk-UA"/>
        </w:rPr>
        <w:t>–</w:t>
      </w:r>
      <w:r w:rsidR="00163439">
        <w:rPr>
          <w:rFonts w:ascii="Times New Roman" w:hAnsi="Times New Roman" w:cs="Times New Roman"/>
          <w:color w:val="000000" w:themeColor="text1"/>
          <w:lang w:val="uk-UA"/>
        </w:rPr>
        <w:t xml:space="preserve">3 при лікуванні </w:t>
      </w:r>
      <w:r>
        <w:rPr>
          <w:rFonts w:ascii="Times New Roman" w:hAnsi="Times New Roman" w:cs="Times New Roman"/>
          <w:color w:val="000000" w:themeColor="text1"/>
          <w:lang w:val="uk-UA"/>
        </w:rPr>
        <w:t xml:space="preserve">“наївних” </w:t>
      </w:r>
      <w:r w:rsidR="00163439">
        <w:rPr>
          <w:rFonts w:ascii="Times New Roman" w:hAnsi="Times New Roman" w:cs="Times New Roman"/>
          <w:color w:val="000000" w:themeColor="text1"/>
          <w:lang w:val="uk-UA"/>
        </w:rPr>
        <w:t>пацієнтів</w:t>
      </w:r>
      <w:r w:rsidR="00F72A65" w:rsidRPr="00F72A65">
        <w:rPr>
          <w:rFonts w:ascii="Times New Roman" w:hAnsi="Times New Roman" w:cs="Times New Roman"/>
          <w:color w:val="000000" w:themeColor="text1"/>
          <w:lang w:val="uk-UA"/>
        </w:rPr>
        <w:t xml:space="preserve"> </w:t>
      </w:r>
      <w:r w:rsidR="00163439">
        <w:rPr>
          <w:rFonts w:ascii="Times New Roman" w:hAnsi="Times New Roman" w:cs="Times New Roman"/>
          <w:color w:val="000000" w:themeColor="text1"/>
          <w:lang w:val="uk-UA"/>
        </w:rPr>
        <w:t>з генотипом</w:t>
      </w:r>
      <w:r w:rsidR="00F72A65" w:rsidRPr="00F72A65">
        <w:rPr>
          <w:rFonts w:ascii="Times New Roman" w:hAnsi="Times New Roman" w:cs="Times New Roman"/>
          <w:color w:val="000000" w:themeColor="text1"/>
          <w:lang w:val="uk-UA"/>
        </w:rPr>
        <w:t xml:space="preserve"> 1а без цироз</w:t>
      </w:r>
      <w:r w:rsidR="00163439">
        <w:rPr>
          <w:rFonts w:ascii="Times New Roman" w:hAnsi="Times New Roman" w:cs="Times New Roman"/>
          <w:color w:val="000000" w:themeColor="text1"/>
          <w:lang w:val="uk-UA"/>
        </w:rPr>
        <w:t>у</w:t>
      </w:r>
      <w:r w:rsidR="00F72A65" w:rsidRPr="00F72A65">
        <w:rPr>
          <w:rFonts w:ascii="Times New Roman" w:hAnsi="Times New Roman" w:cs="Times New Roman"/>
          <w:color w:val="000000" w:themeColor="text1"/>
          <w:lang w:val="uk-UA"/>
        </w:rPr>
        <w:t xml:space="preserve"> печінки</w:t>
      </w:r>
      <w:r w:rsidR="00163439">
        <w:rPr>
          <w:rFonts w:ascii="Times New Roman" w:hAnsi="Times New Roman" w:cs="Times New Roman"/>
          <w:color w:val="000000" w:themeColor="text1"/>
          <w:lang w:val="uk-UA"/>
        </w:rPr>
        <w:t>,</w:t>
      </w:r>
      <w:r w:rsidR="00F72A65" w:rsidRPr="00F72A65">
        <w:rPr>
          <w:rFonts w:ascii="Times New Roman" w:hAnsi="Times New Roman" w:cs="Times New Roman"/>
          <w:color w:val="000000" w:themeColor="text1"/>
          <w:lang w:val="uk-UA"/>
        </w:rPr>
        <w:t xml:space="preserve"> </w:t>
      </w:r>
      <w:r w:rsidR="00163439">
        <w:rPr>
          <w:rFonts w:ascii="Times New Roman" w:hAnsi="Times New Roman" w:cs="Times New Roman"/>
          <w:color w:val="000000" w:themeColor="text1"/>
          <w:lang w:val="uk-UA"/>
        </w:rPr>
        <w:t>СВВ</w:t>
      </w:r>
      <w:r w:rsidR="00F72A65" w:rsidRPr="00F72A65">
        <w:rPr>
          <w:rFonts w:ascii="Times New Roman" w:hAnsi="Times New Roman" w:cs="Times New Roman"/>
          <w:color w:val="000000" w:themeColor="text1"/>
          <w:lang w:val="uk-UA"/>
        </w:rPr>
        <w:t xml:space="preserve">12 </w:t>
      </w:r>
      <w:r w:rsidR="00935F26">
        <w:rPr>
          <w:rFonts w:ascii="Times New Roman" w:hAnsi="Times New Roman" w:cs="Times New Roman"/>
          <w:color w:val="000000" w:themeColor="text1"/>
          <w:lang w:val="uk-UA"/>
        </w:rPr>
        <w:t xml:space="preserve">було досягнуто у </w:t>
      </w:r>
      <w:r w:rsidR="00F72A65" w:rsidRPr="00F72A65">
        <w:rPr>
          <w:rFonts w:ascii="Times New Roman" w:hAnsi="Times New Roman" w:cs="Times New Roman"/>
          <w:color w:val="000000" w:themeColor="text1"/>
          <w:lang w:val="uk-UA"/>
        </w:rPr>
        <w:t xml:space="preserve">93% </w:t>
      </w:r>
      <w:r>
        <w:rPr>
          <w:rFonts w:ascii="Times New Roman" w:hAnsi="Times New Roman" w:cs="Times New Roman"/>
          <w:color w:val="000000" w:themeColor="text1"/>
          <w:lang w:val="uk-UA"/>
        </w:rPr>
        <w:t xml:space="preserve">випадків </w:t>
      </w:r>
      <w:r w:rsidR="00F72A65" w:rsidRPr="00F72A65">
        <w:rPr>
          <w:rFonts w:ascii="Times New Roman" w:hAnsi="Times New Roman" w:cs="Times New Roman"/>
          <w:color w:val="000000" w:themeColor="text1"/>
          <w:lang w:val="uk-UA"/>
        </w:rPr>
        <w:t>(159/17</w:t>
      </w:r>
      <w:r w:rsidR="00163439">
        <w:rPr>
          <w:rFonts w:ascii="Times New Roman" w:hAnsi="Times New Roman" w:cs="Times New Roman"/>
          <w:color w:val="000000" w:themeColor="text1"/>
          <w:lang w:val="uk-UA"/>
        </w:rPr>
        <w:t xml:space="preserve">1; 10 рецидивів) </w:t>
      </w:r>
      <w:r w:rsidR="00935F26">
        <w:rPr>
          <w:rFonts w:ascii="Times New Roman" w:hAnsi="Times New Roman" w:cs="Times New Roman"/>
          <w:color w:val="000000" w:themeColor="text1"/>
          <w:lang w:val="uk-UA"/>
        </w:rPr>
        <w:t xml:space="preserve">при лікуванні </w:t>
      </w:r>
      <w:r w:rsidR="00F72A65" w:rsidRPr="00F72A65">
        <w:rPr>
          <w:rFonts w:ascii="Times New Roman" w:hAnsi="Times New Roman" w:cs="Times New Roman"/>
          <w:color w:val="000000" w:themeColor="text1"/>
          <w:lang w:val="uk-UA"/>
        </w:rPr>
        <w:t xml:space="preserve">протягом 8 тижнів та </w:t>
      </w:r>
      <w:r>
        <w:rPr>
          <w:rFonts w:ascii="Times New Roman" w:hAnsi="Times New Roman" w:cs="Times New Roman"/>
          <w:color w:val="000000" w:themeColor="text1"/>
          <w:lang w:val="uk-UA"/>
        </w:rPr>
        <w:t xml:space="preserve">у </w:t>
      </w:r>
      <w:r w:rsidR="00F72A65" w:rsidRPr="00F72A65">
        <w:rPr>
          <w:rFonts w:ascii="Times New Roman" w:hAnsi="Times New Roman" w:cs="Times New Roman"/>
          <w:color w:val="000000" w:themeColor="text1"/>
          <w:lang w:val="uk-UA"/>
        </w:rPr>
        <w:t>95%</w:t>
      </w:r>
      <w:r>
        <w:rPr>
          <w:rFonts w:ascii="Times New Roman" w:hAnsi="Times New Roman" w:cs="Times New Roman"/>
          <w:color w:val="000000" w:themeColor="text1"/>
          <w:lang w:val="uk-UA"/>
        </w:rPr>
        <w:t xml:space="preserve"> випадків</w:t>
      </w:r>
      <w:r w:rsidR="00F72A65" w:rsidRPr="00F72A65">
        <w:rPr>
          <w:rFonts w:ascii="Times New Roman" w:hAnsi="Times New Roman" w:cs="Times New Roman"/>
          <w:color w:val="000000" w:themeColor="text1"/>
          <w:lang w:val="uk-UA"/>
        </w:rPr>
        <w:t xml:space="preserve"> (163/</w:t>
      </w:r>
      <w:r w:rsidR="00163439">
        <w:rPr>
          <w:rFonts w:ascii="Times New Roman" w:hAnsi="Times New Roman" w:cs="Times New Roman"/>
          <w:color w:val="000000" w:themeColor="text1"/>
          <w:lang w:val="uk-UA"/>
        </w:rPr>
        <w:t xml:space="preserve">172; 2 рецидиву) </w:t>
      </w:r>
      <w:r w:rsidR="00935F26">
        <w:rPr>
          <w:rFonts w:ascii="Times New Roman" w:hAnsi="Times New Roman" w:cs="Times New Roman"/>
          <w:color w:val="000000" w:themeColor="text1"/>
          <w:lang w:val="uk-UA"/>
        </w:rPr>
        <w:t xml:space="preserve">при лікуванні </w:t>
      </w:r>
      <w:r w:rsidR="00F72A65" w:rsidRPr="00F72A65">
        <w:rPr>
          <w:rFonts w:ascii="Times New Roman" w:hAnsi="Times New Roman" w:cs="Times New Roman"/>
          <w:color w:val="000000" w:themeColor="text1"/>
          <w:lang w:val="uk-UA"/>
        </w:rPr>
        <w:t>протягом 12 тижнів.</w:t>
      </w:r>
      <w:r w:rsidR="00F72A65" w:rsidRPr="00163439">
        <w:rPr>
          <w:rFonts w:ascii="Times New Roman" w:hAnsi="Times New Roman" w:cs="Times New Roman"/>
          <w:color w:val="000000" w:themeColor="text1"/>
          <w:vertAlign w:val="superscript"/>
          <w:lang w:val="uk-UA"/>
        </w:rPr>
        <w:t xml:space="preserve">76 </w:t>
      </w:r>
      <w:r w:rsidR="00F72A65" w:rsidRPr="00F72A65">
        <w:rPr>
          <w:rFonts w:ascii="Times New Roman" w:hAnsi="Times New Roman" w:cs="Times New Roman"/>
          <w:color w:val="000000" w:themeColor="text1"/>
          <w:lang w:val="uk-UA"/>
        </w:rPr>
        <w:t>Ці результати були підтве</w:t>
      </w:r>
      <w:r w:rsidR="00163439">
        <w:rPr>
          <w:rFonts w:ascii="Times New Roman" w:hAnsi="Times New Roman" w:cs="Times New Roman"/>
          <w:color w:val="000000" w:themeColor="text1"/>
          <w:lang w:val="uk-UA"/>
        </w:rPr>
        <w:t>рджені дослідженнями в Європі</w:t>
      </w:r>
      <w:r w:rsidR="00F72A65" w:rsidRPr="00F72A65">
        <w:rPr>
          <w:rFonts w:ascii="Times New Roman" w:hAnsi="Times New Roman" w:cs="Times New Roman"/>
          <w:color w:val="000000" w:themeColor="text1"/>
          <w:lang w:val="uk-UA"/>
        </w:rPr>
        <w:t xml:space="preserve"> та США в </w:t>
      </w:r>
      <w:r w:rsidR="00163439">
        <w:rPr>
          <w:rFonts w:ascii="Times New Roman" w:hAnsi="Times New Roman" w:cs="Times New Roman"/>
          <w:color w:val="000000" w:themeColor="text1"/>
          <w:lang w:val="uk-UA"/>
        </w:rPr>
        <w:t>тій самій підгрупі пацієнтів, та</w:t>
      </w:r>
      <w:r w:rsidR="00F72A65" w:rsidRPr="00F72A65">
        <w:rPr>
          <w:rFonts w:ascii="Times New Roman" w:hAnsi="Times New Roman" w:cs="Times New Roman"/>
          <w:color w:val="000000" w:themeColor="text1"/>
          <w:lang w:val="uk-UA"/>
        </w:rPr>
        <w:t xml:space="preserve"> </w:t>
      </w:r>
      <w:r w:rsidR="00163439">
        <w:rPr>
          <w:rFonts w:ascii="Times New Roman" w:hAnsi="Times New Roman" w:cs="Times New Roman"/>
          <w:color w:val="000000" w:themeColor="text1"/>
          <w:lang w:val="uk-UA"/>
        </w:rPr>
        <w:t>продемонстрували</w:t>
      </w:r>
      <w:r w:rsidR="00F72A65" w:rsidRPr="00F72A65">
        <w:rPr>
          <w:rFonts w:ascii="Times New Roman" w:hAnsi="Times New Roman" w:cs="Times New Roman"/>
          <w:color w:val="000000" w:themeColor="text1"/>
          <w:lang w:val="uk-UA"/>
        </w:rPr>
        <w:t xml:space="preserve"> такі ж високі показники </w:t>
      </w:r>
      <w:r w:rsidR="00163439">
        <w:rPr>
          <w:rFonts w:ascii="Times New Roman" w:hAnsi="Times New Roman" w:cs="Times New Roman"/>
          <w:color w:val="000000" w:themeColor="text1"/>
          <w:lang w:val="uk-UA"/>
        </w:rPr>
        <w:t>СВВ</w:t>
      </w:r>
      <w:r w:rsidR="00F72A65" w:rsidRPr="00F72A65">
        <w:rPr>
          <w:rFonts w:ascii="Times New Roman" w:hAnsi="Times New Roman" w:cs="Times New Roman"/>
          <w:color w:val="000000" w:themeColor="text1"/>
          <w:lang w:val="uk-UA"/>
        </w:rPr>
        <w:t xml:space="preserve">12. Одне </w:t>
      </w:r>
      <w:r w:rsidR="00163439">
        <w:rPr>
          <w:rFonts w:ascii="Times New Roman" w:hAnsi="Times New Roman" w:cs="Times New Roman"/>
          <w:color w:val="000000" w:themeColor="text1"/>
          <w:lang w:val="uk-UA"/>
        </w:rPr>
        <w:t>з досліджень</w:t>
      </w:r>
      <w:r w:rsidR="00F72A65" w:rsidRPr="00F72A65">
        <w:rPr>
          <w:rFonts w:ascii="Times New Roman" w:hAnsi="Times New Roman" w:cs="Times New Roman"/>
          <w:color w:val="000000" w:themeColor="text1"/>
          <w:lang w:val="uk-UA"/>
        </w:rPr>
        <w:t xml:space="preserve"> показало, що короткочасна тривалість лікування софосбувіром та </w:t>
      </w:r>
      <w:r w:rsidR="00784CAA">
        <w:rPr>
          <w:rFonts w:ascii="Times New Roman" w:hAnsi="Times New Roman" w:cs="Times New Roman"/>
          <w:color w:val="000000" w:themeColor="text1"/>
          <w:lang w:val="uk-UA"/>
        </w:rPr>
        <w:t>ле</w:t>
      </w:r>
      <w:r w:rsidR="00784CAA" w:rsidRPr="00F75915">
        <w:rPr>
          <w:rFonts w:ascii="Times New Roman" w:hAnsi="Times New Roman" w:cs="Times New Roman"/>
          <w:color w:val="000000" w:themeColor="text1"/>
          <w:lang w:val="uk-UA"/>
        </w:rPr>
        <w:t>діпа</w:t>
      </w:r>
      <w:r w:rsidR="00784CAA">
        <w:rPr>
          <w:rFonts w:ascii="Times New Roman" w:hAnsi="Times New Roman" w:cs="Times New Roman"/>
          <w:color w:val="000000" w:themeColor="text1"/>
          <w:lang w:val="uk-UA"/>
        </w:rPr>
        <w:t>с</w:t>
      </w:r>
      <w:r w:rsidR="00163439">
        <w:rPr>
          <w:rFonts w:ascii="Times New Roman" w:hAnsi="Times New Roman" w:cs="Times New Roman"/>
          <w:color w:val="000000" w:themeColor="text1"/>
          <w:lang w:val="uk-UA"/>
        </w:rPr>
        <w:t>віром</w:t>
      </w:r>
      <w:r w:rsidR="00F72A65" w:rsidRPr="00F72A65">
        <w:rPr>
          <w:rFonts w:ascii="Times New Roman" w:hAnsi="Times New Roman" w:cs="Times New Roman"/>
          <w:color w:val="000000" w:themeColor="text1"/>
          <w:lang w:val="uk-UA"/>
        </w:rPr>
        <w:t xml:space="preserve"> може бути зас</w:t>
      </w:r>
      <w:r w:rsidR="00163439">
        <w:rPr>
          <w:rFonts w:ascii="Times New Roman" w:hAnsi="Times New Roman" w:cs="Times New Roman"/>
          <w:color w:val="000000" w:themeColor="text1"/>
          <w:lang w:val="uk-UA"/>
        </w:rPr>
        <w:t>тосована для пацієнтів з РНК ВГС</w:t>
      </w:r>
      <w:r w:rsidR="00F72A65" w:rsidRPr="00F72A65">
        <w:rPr>
          <w:rFonts w:ascii="Times New Roman" w:hAnsi="Times New Roman" w:cs="Times New Roman"/>
          <w:color w:val="000000" w:themeColor="text1"/>
          <w:lang w:val="uk-UA"/>
        </w:rPr>
        <w:t xml:space="preserve"> &lt;6 000 000 МО / мл (6.8 Log10 IU /мл) на початковому етапі.</w:t>
      </w:r>
      <w:r w:rsidR="00F72A65" w:rsidRPr="00163439">
        <w:rPr>
          <w:rFonts w:ascii="Times New Roman" w:hAnsi="Times New Roman" w:cs="Times New Roman"/>
          <w:color w:val="000000" w:themeColor="text1"/>
          <w:vertAlign w:val="superscript"/>
          <w:lang w:val="uk-UA"/>
        </w:rPr>
        <w:t>79</w:t>
      </w:r>
      <w:r w:rsidR="00F72A65" w:rsidRPr="00F72A65">
        <w:rPr>
          <w:rFonts w:ascii="Times New Roman" w:hAnsi="Times New Roman" w:cs="Times New Roman"/>
          <w:color w:val="000000" w:themeColor="text1"/>
          <w:lang w:val="uk-UA"/>
        </w:rPr>
        <w:t xml:space="preserve"> </w:t>
      </w:r>
      <w:r w:rsidR="00163439">
        <w:rPr>
          <w:rFonts w:ascii="Times New Roman" w:hAnsi="Times New Roman" w:cs="Times New Roman"/>
          <w:color w:val="000000" w:themeColor="text1"/>
          <w:lang w:val="uk-UA"/>
        </w:rPr>
        <w:t>Було проведено ретроспективний</w:t>
      </w:r>
      <w:r w:rsidR="00F72A65" w:rsidRPr="00F72A65">
        <w:rPr>
          <w:rFonts w:ascii="Times New Roman" w:hAnsi="Times New Roman" w:cs="Times New Roman"/>
          <w:color w:val="000000" w:themeColor="text1"/>
          <w:lang w:val="uk-UA"/>
        </w:rPr>
        <w:t xml:space="preserve"> аналіз пацієнтів з різних досліджень</w:t>
      </w:r>
      <w:r w:rsidR="00163439">
        <w:rPr>
          <w:rFonts w:ascii="Times New Roman" w:hAnsi="Times New Roman" w:cs="Times New Roman"/>
          <w:color w:val="000000" w:themeColor="text1"/>
          <w:lang w:val="uk-UA"/>
        </w:rPr>
        <w:t xml:space="preserve">, що включав 566 </w:t>
      </w:r>
      <w:r>
        <w:rPr>
          <w:rFonts w:ascii="Times New Roman" w:hAnsi="Times New Roman" w:cs="Times New Roman"/>
          <w:color w:val="000000" w:themeColor="text1"/>
          <w:lang w:val="uk-UA"/>
        </w:rPr>
        <w:t xml:space="preserve">“наївних” </w:t>
      </w:r>
      <w:r w:rsidR="00163439">
        <w:rPr>
          <w:rFonts w:ascii="Times New Roman" w:hAnsi="Times New Roman" w:cs="Times New Roman"/>
          <w:color w:val="000000" w:themeColor="text1"/>
          <w:lang w:val="uk-UA"/>
        </w:rPr>
        <w:t>пацієнтів з</w:t>
      </w:r>
      <w:r w:rsidR="00F72A65" w:rsidRPr="00F72A65">
        <w:rPr>
          <w:rFonts w:ascii="Times New Roman" w:hAnsi="Times New Roman" w:cs="Times New Roman"/>
          <w:color w:val="000000" w:themeColor="text1"/>
          <w:lang w:val="uk-UA"/>
        </w:rPr>
        <w:t xml:space="preserve"> генотип</w:t>
      </w:r>
      <w:r w:rsidR="00163439">
        <w:rPr>
          <w:rFonts w:ascii="Times New Roman" w:hAnsi="Times New Roman" w:cs="Times New Roman"/>
          <w:color w:val="000000" w:themeColor="text1"/>
          <w:lang w:val="uk-UA"/>
        </w:rPr>
        <w:t>ом 1а</w:t>
      </w:r>
      <w:r w:rsidR="00F72A65" w:rsidRPr="00F72A65">
        <w:rPr>
          <w:rFonts w:ascii="Times New Roman" w:hAnsi="Times New Roman" w:cs="Times New Roman"/>
          <w:color w:val="000000" w:themeColor="text1"/>
          <w:lang w:val="uk-UA"/>
        </w:rPr>
        <w:t xml:space="preserve"> без цирозу; 527 з них </w:t>
      </w:r>
      <w:r w:rsidR="00163439">
        <w:rPr>
          <w:rFonts w:ascii="Times New Roman" w:hAnsi="Times New Roman" w:cs="Times New Roman"/>
          <w:color w:val="000000" w:themeColor="text1"/>
          <w:lang w:val="uk-UA"/>
        </w:rPr>
        <w:t>отримували 8 тижнів софосбувір</w:t>
      </w:r>
      <w:r w:rsidR="00163439" w:rsidRPr="006C7989">
        <w:rPr>
          <w:rFonts w:ascii="Times New Roman" w:hAnsi="Times New Roman" w:cs="Times New Roman"/>
          <w:color w:val="000000" w:themeColor="text1"/>
          <w:lang w:val="uk-UA"/>
        </w:rPr>
        <w:t>/ле</w:t>
      </w:r>
      <w:r w:rsidR="00F72A65" w:rsidRPr="00F72A65">
        <w:rPr>
          <w:rFonts w:ascii="Times New Roman" w:hAnsi="Times New Roman" w:cs="Times New Roman"/>
          <w:color w:val="000000" w:themeColor="text1"/>
          <w:lang w:val="uk-UA"/>
        </w:rPr>
        <w:t xml:space="preserve">діпасвір за маркуванням FDA. Частота </w:t>
      </w:r>
      <w:r w:rsidR="00163439">
        <w:rPr>
          <w:rFonts w:ascii="Times New Roman" w:hAnsi="Times New Roman" w:cs="Times New Roman"/>
          <w:color w:val="000000" w:themeColor="text1"/>
          <w:lang w:val="uk-UA"/>
        </w:rPr>
        <w:t>СВВ</w:t>
      </w:r>
      <w:r w:rsidR="00F72A65" w:rsidRPr="00F72A65">
        <w:rPr>
          <w:rFonts w:ascii="Times New Roman" w:hAnsi="Times New Roman" w:cs="Times New Roman"/>
          <w:color w:val="000000" w:themeColor="text1"/>
          <w:lang w:val="uk-UA"/>
        </w:rPr>
        <w:t xml:space="preserve">12 становила 98% (518/527; 9 рецидивів). </w:t>
      </w:r>
      <w:r w:rsidR="00935F26">
        <w:rPr>
          <w:rFonts w:ascii="Times New Roman" w:hAnsi="Times New Roman" w:cs="Times New Roman"/>
          <w:color w:val="000000" w:themeColor="text1"/>
          <w:lang w:val="uk-UA"/>
        </w:rPr>
        <w:t xml:space="preserve">За допомогою </w:t>
      </w:r>
      <w:r w:rsidR="00F72A65" w:rsidRPr="00F72A65">
        <w:rPr>
          <w:rFonts w:ascii="Times New Roman" w:hAnsi="Times New Roman" w:cs="Times New Roman"/>
          <w:color w:val="000000" w:themeColor="text1"/>
          <w:lang w:val="uk-UA"/>
        </w:rPr>
        <w:t>р</w:t>
      </w:r>
      <w:r w:rsidR="00FF5DD0">
        <w:rPr>
          <w:rFonts w:ascii="Times New Roman" w:hAnsi="Times New Roman" w:cs="Times New Roman"/>
          <w:color w:val="000000" w:themeColor="text1"/>
          <w:lang w:val="uk-UA"/>
        </w:rPr>
        <w:t>егресійн</w:t>
      </w:r>
      <w:r w:rsidR="00935F26">
        <w:rPr>
          <w:rFonts w:ascii="Times New Roman" w:hAnsi="Times New Roman" w:cs="Times New Roman"/>
          <w:color w:val="000000" w:themeColor="text1"/>
          <w:lang w:val="uk-UA"/>
        </w:rPr>
        <w:t>ого</w:t>
      </w:r>
      <w:r w:rsidR="00FF5DD0">
        <w:rPr>
          <w:rFonts w:ascii="Times New Roman" w:hAnsi="Times New Roman" w:cs="Times New Roman"/>
          <w:color w:val="000000" w:themeColor="text1"/>
          <w:lang w:val="uk-UA"/>
        </w:rPr>
        <w:t xml:space="preserve"> аналіз</w:t>
      </w:r>
      <w:r w:rsidR="00935F26">
        <w:rPr>
          <w:rFonts w:ascii="Times New Roman" w:hAnsi="Times New Roman" w:cs="Times New Roman"/>
          <w:color w:val="000000" w:themeColor="text1"/>
          <w:lang w:val="uk-UA"/>
        </w:rPr>
        <w:t xml:space="preserve">у було виявлено, що </w:t>
      </w:r>
      <w:r w:rsidR="00FF5DD0">
        <w:rPr>
          <w:rFonts w:ascii="Times New Roman" w:hAnsi="Times New Roman" w:cs="Times New Roman"/>
          <w:color w:val="000000" w:themeColor="text1"/>
          <w:lang w:val="uk-UA"/>
        </w:rPr>
        <w:t>чоловіч</w:t>
      </w:r>
      <w:r w:rsidR="00935F26">
        <w:rPr>
          <w:rFonts w:ascii="Times New Roman" w:hAnsi="Times New Roman" w:cs="Times New Roman"/>
          <w:color w:val="000000" w:themeColor="text1"/>
          <w:lang w:val="uk-UA"/>
        </w:rPr>
        <w:t>а</w:t>
      </w:r>
      <w:r w:rsidR="00FF5DD0">
        <w:rPr>
          <w:rFonts w:ascii="Times New Roman" w:hAnsi="Times New Roman" w:cs="Times New Roman"/>
          <w:color w:val="000000" w:themeColor="text1"/>
          <w:lang w:val="uk-UA"/>
        </w:rPr>
        <w:t xml:space="preserve"> стать</w:t>
      </w:r>
      <w:r w:rsidR="00F72A65" w:rsidRPr="00F72A65">
        <w:rPr>
          <w:rFonts w:ascii="Times New Roman" w:hAnsi="Times New Roman" w:cs="Times New Roman"/>
          <w:color w:val="000000" w:themeColor="text1"/>
          <w:lang w:val="uk-UA"/>
        </w:rPr>
        <w:t>, африкансь</w:t>
      </w:r>
      <w:r w:rsidR="00FF5DD0">
        <w:rPr>
          <w:rFonts w:ascii="Times New Roman" w:hAnsi="Times New Roman" w:cs="Times New Roman"/>
          <w:color w:val="000000" w:themeColor="text1"/>
          <w:lang w:val="uk-UA"/>
        </w:rPr>
        <w:t>ке походження та стаді</w:t>
      </w:r>
      <w:r w:rsidR="00935F26">
        <w:rPr>
          <w:rFonts w:ascii="Times New Roman" w:hAnsi="Times New Roman" w:cs="Times New Roman"/>
          <w:color w:val="000000" w:themeColor="text1"/>
          <w:lang w:val="uk-UA"/>
        </w:rPr>
        <w:t>я</w:t>
      </w:r>
      <w:r w:rsidR="00FF5DD0">
        <w:rPr>
          <w:rFonts w:ascii="Times New Roman" w:hAnsi="Times New Roman" w:cs="Times New Roman"/>
          <w:color w:val="000000" w:themeColor="text1"/>
          <w:lang w:val="uk-UA"/>
        </w:rPr>
        <w:t xml:space="preserve"> фіброзу</w:t>
      </w:r>
      <w:r w:rsidR="00F72A65" w:rsidRPr="00F72A65">
        <w:rPr>
          <w:rFonts w:ascii="Times New Roman" w:hAnsi="Times New Roman" w:cs="Times New Roman"/>
          <w:color w:val="000000" w:themeColor="text1"/>
          <w:lang w:val="uk-UA"/>
        </w:rPr>
        <w:t xml:space="preserve"> F3 </w:t>
      </w:r>
      <w:r w:rsidR="00935F26">
        <w:rPr>
          <w:rFonts w:ascii="Times New Roman" w:hAnsi="Times New Roman" w:cs="Times New Roman"/>
          <w:color w:val="000000" w:themeColor="text1"/>
          <w:lang w:val="uk-UA"/>
        </w:rPr>
        <w:t xml:space="preserve">є </w:t>
      </w:r>
      <w:r w:rsidR="00F72A65" w:rsidRPr="00F72A65">
        <w:rPr>
          <w:rFonts w:ascii="Times New Roman" w:hAnsi="Times New Roman" w:cs="Times New Roman"/>
          <w:color w:val="000000" w:themeColor="text1"/>
          <w:lang w:val="uk-UA"/>
        </w:rPr>
        <w:t>самостійн</w:t>
      </w:r>
      <w:r w:rsidR="00935F26">
        <w:rPr>
          <w:rFonts w:ascii="Times New Roman" w:hAnsi="Times New Roman" w:cs="Times New Roman"/>
          <w:color w:val="000000" w:themeColor="text1"/>
          <w:lang w:val="uk-UA"/>
        </w:rPr>
        <w:t>ими</w:t>
      </w:r>
      <w:r w:rsidR="00F72A65" w:rsidRPr="00F72A65">
        <w:rPr>
          <w:rFonts w:ascii="Times New Roman" w:hAnsi="Times New Roman" w:cs="Times New Roman"/>
          <w:color w:val="000000" w:themeColor="text1"/>
          <w:lang w:val="uk-UA"/>
        </w:rPr>
        <w:t xml:space="preserve"> прогностичн</w:t>
      </w:r>
      <w:r w:rsidR="00935F26">
        <w:rPr>
          <w:rFonts w:ascii="Times New Roman" w:hAnsi="Times New Roman" w:cs="Times New Roman"/>
          <w:color w:val="000000" w:themeColor="text1"/>
          <w:lang w:val="uk-UA"/>
        </w:rPr>
        <w:t>ими</w:t>
      </w:r>
      <w:r w:rsidR="00F72A65" w:rsidRPr="00F72A65">
        <w:rPr>
          <w:rFonts w:ascii="Times New Roman" w:hAnsi="Times New Roman" w:cs="Times New Roman"/>
          <w:color w:val="000000" w:themeColor="text1"/>
          <w:lang w:val="uk-UA"/>
        </w:rPr>
        <w:t xml:space="preserve"> фактор</w:t>
      </w:r>
      <w:r w:rsidR="00935F26">
        <w:rPr>
          <w:rFonts w:ascii="Times New Roman" w:hAnsi="Times New Roman" w:cs="Times New Roman"/>
          <w:color w:val="000000" w:themeColor="text1"/>
          <w:lang w:val="uk-UA"/>
        </w:rPr>
        <w:t>ами</w:t>
      </w:r>
      <w:r w:rsidR="00F72A65" w:rsidRPr="00F72A65">
        <w:rPr>
          <w:rFonts w:ascii="Times New Roman" w:hAnsi="Times New Roman" w:cs="Times New Roman"/>
          <w:color w:val="000000" w:themeColor="text1"/>
          <w:lang w:val="uk-UA"/>
        </w:rPr>
        <w:t xml:space="preserve"> рецидиву після лікування. </w:t>
      </w:r>
      <w:r w:rsidR="00F72A65" w:rsidRPr="00FF5DD0">
        <w:rPr>
          <w:rFonts w:ascii="Times New Roman" w:hAnsi="Times New Roman" w:cs="Times New Roman"/>
          <w:color w:val="000000" w:themeColor="text1"/>
          <w:vertAlign w:val="superscript"/>
          <w:lang w:val="uk-UA"/>
        </w:rPr>
        <w:t xml:space="preserve">80 </w:t>
      </w:r>
      <w:r w:rsidR="00FF5DD0">
        <w:rPr>
          <w:rFonts w:ascii="Times New Roman" w:hAnsi="Times New Roman" w:cs="Times New Roman"/>
          <w:color w:val="000000" w:themeColor="text1"/>
          <w:lang w:val="uk-UA"/>
        </w:rPr>
        <w:t xml:space="preserve">Вплив стадії </w:t>
      </w:r>
      <w:r w:rsidR="00F72A65" w:rsidRPr="00F72A65">
        <w:rPr>
          <w:rFonts w:ascii="Times New Roman" w:hAnsi="Times New Roman" w:cs="Times New Roman"/>
          <w:color w:val="000000" w:themeColor="text1"/>
          <w:lang w:val="uk-UA"/>
        </w:rPr>
        <w:t>фіброз F3 не був підтвер</w:t>
      </w:r>
      <w:r w:rsidR="00FF5DD0">
        <w:rPr>
          <w:rFonts w:ascii="Times New Roman" w:hAnsi="Times New Roman" w:cs="Times New Roman"/>
          <w:color w:val="000000" w:themeColor="text1"/>
          <w:lang w:val="uk-UA"/>
        </w:rPr>
        <w:t>джений у подальших дослідженнях</w:t>
      </w:r>
      <w:r w:rsidR="00F72A65" w:rsidRPr="00F72A65">
        <w:rPr>
          <w:rFonts w:ascii="Times New Roman" w:hAnsi="Times New Roman" w:cs="Times New Roman"/>
          <w:color w:val="000000" w:themeColor="text1"/>
          <w:lang w:val="uk-UA"/>
        </w:rPr>
        <w:t>.</w:t>
      </w:r>
      <w:r w:rsidR="00F72A65" w:rsidRPr="00FF5DD0">
        <w:rPr>
          <w:rFonts w:ascii="Times New Roman" w:hAnsi="Times New Roman" w:cs="Times New Roman"/>
          <w:color w:val="000000" w:themeColor="text1"/>
          <w:vertAlign w:val="superscript"/>
          <w:lang w:val="uk-UA"/>
        </w:rPr>
        <w:t>81,82</w:t>
      </w:r>
    </w:p>
    <w:p w14:paraId="2DF0BFFB" w14:textId="77777777" w:rsidR="00FF5DD0" w:rsidRDefault="00FF5DD0" w:rsidP="00F53078">
      <w:pPr>
        <w:tabs>
          <w:tab w:val="left" w:pos="1089"/>
        </w:tabs>
        <w:jc w:val="both"/>
        <w:rPr>
          <w:rFonts w:ascii="Times New Roman" w:hAnsi="Times New Roman" w:cs="Times New Roman"/>
          <w:color w:val="000000" w:themeColor="text1"/>
          <w:lang w:val="uk-UA"/>
        </w:rPr>
      </w:pPr>
    </w:p>
    <w:p w14:paraId="170A38D8" w14:textId="55FFEFF0" w:rsidR="00F72A65" w:rsidRPr="00F72A65" w:rsidRDefault="00837247" w:rsidP="00F53078">
      <w:pPr>
        <w:tabs>
          <w:tab w:val="left" w:pos="1089"/>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Аналогічна частота</w:t>
      </w:r>
      <w:r w:rsidR="00F72A65" w:rsidRPr="00F72A65">
        <w:rPr>
          <w:rFonts w:ascii="Times New Roman" w:hAnsi="Times New Roman" w:cs="Times New Roman"/>
          <w:color w:val="000000" w:themeColor="text1"/>
          <w:lang w:val="uk-UA"/>
        </w:rPr>
        <w:t xml:space="preserve"> </w:t>
      </w:r>
      <w:r w:rsidR="00163439">
        <w:rPr>
          <w:rFonts w:ascii="Times New Roman" w:hAnsi="Times New Roman" w:cs="Times New Roman"/>
          <w:color w:val="000000" w:themeColor="text1"/>
          <w:lang w:val="uk-UA"/>
        </w:rPr>
        <w:t>СВВ</w:t>
      </w:r>
      <w:r>
        <w:rPr>
          <w:rFonts w:ascii="Times New Roman" w:hAnsi="Times New Roman" w:cs="Times New Roman"/>
          <w:color w:val="000000" w:themeColor="text1"/>
          <w:lang w:val="uk-UA"/>
        </w:rPr>
        <w:t>12</w:t>
      </w:r>
      <w:r w:rsidR="00F72A65" w:rsidRPr="00F72A65">
        <w:rPr>
          <w:rFonts w:ascii="Times New Roman" w:hAnsi="Times New Roman" w:cs="Times New Roman"/>
          <w:color w:val="000000" w:themeColor="text1"/>
          <w:lang w:val="uk-UA"/>
        </w:rPr>
        <w:t>, як у клінічних випробуваннях, сп</w:t>
      </w:r>
      <w:r w:rsidR="00FC0A82">
        <w:rPr>
          <w:rFonts w:ascii="Times New Roman" w:hAnsi="Times New Roman" w:cs="Times New Roman"/>
          <w:color w:val="000000" w:themeColor="text1"/>
          <w:lang w:val="uk-UA"/>
        </w:rPr>
        <w:t>остерігалися</w:t>
      </w:r>
      <w:r>
        <w:rPr>
          <w:rFonts w:ascii="Times New Roman" w:hAnsi="Times New Roman" w:cs="Times New Roman"/>
          <w:color w:val="000000" w:themeColor="text1"/>
          <w:lang w:val="uk-UA"/>
        </w:rPr>
        <w:t xml:space="preserve"> у пацієнтів із цирозом або без компенсованого цирозу</w:t>
      </w:r>
      <w:r w:rsidR="00F72A65" w:rsidRPr="00F72A65">
        <w:rPr>
          <w:rFonts w:ascii="Times New Roman" w:hAnsi="Times New Roman" w:cs="Times New Roman"/>
          <w:color w:val="000000" w:themeColor="text1"/>
          <w:lang w:val="uk-UA"/>
        </w:rPr>
        <w:t xml:space="preserve"> в дослідженнях </w:t>
      </w:r>
      <w:r w:rsidR="00935F26">
        <w:rPr>
          <w:rFonts w:ascii="Times New Roman" w:hAnsi="Times New Roman" w:cs="Times New Roman"/>
          <w:color w:val="000000" w:themeColor="text1"/>
          <w:lang w:val="uk-UA"/>
        </w:rPr>
        <w:t xml:space="preserve">проведених на </w:t>
      </w:r>
      <w:r w:rsidR="00F72A65" w:rsidRPr="00F72A65">
        <w:rPr>
          <w:rFonts w:ascii="Times New Roman" w:hAnsi="Times New Roman" w:cs="Times New Roman"/>
          <w:color w:val="000000" w:themeColor="text1"/>
          <w:lang w:val="uk-UA"/>
        </w:rPr>
        <w:t>різних континент</w:t>
      </w:r>
      <w:r w:rsidR="00935F26">
        <w:rPr>
          <w:rFonts w:ascii="Times New Roman" w:hAnsi="Times New Roman" w:cs="Times New Roman"/>
          <w:color w:val="000000" w:themeColor="text1"/>
          <w:lang w:val="uk-UA"/>
        </w:rPr>
        <w:t>ах</w:t>
      </w:r>
      <w:r w:rsidR="00F72A65" w:rsidRPr="00F72A65">
        <w:rPr>
          <w:rFonts w:ascii="Times New Roman" w:hAnsi="Times New Roman" w:cs="Times New Roman"/>
          <w:color w:val="000000" w:themeColor="text1"/>
          <w:lang w:val="uk-UA"/>
        </w:rPr>
        <w:t>.</w:t>
      </w:r>
    </w:p>
    <w:p w14:paraId="7E3365D2" w14:textId="1D3085B0" w:rsidR="00F72A65" w:rsidRDefault="00837247" w:rsidP="00F53078">
      <w:pPr>
        <w:tabs>
          <w:tab w:val="left" w:pos="1089"/>
        </w:tabs>
        <w:jc w:val="both"/>
        <w:rPr>
          <w:rFonts w:ascii="Times New Roman" w:hAnsi="Times New Roman" w:cs="Times New Roman"/>
          <w:color w:val="000000" w:themeColor="text1"/>
          <w:vertAlign w:val="superscript"/>
          <w:lang w:val="uk-UA"/>
        </w:rPr>
      </w:pPr>
      <w:r>
        <w:rPr>
          <w:rFonts w:ascii="Times New Roman" w:hAnsi="Times New Roman" w:cs="Times New Roman"/>
          <w:color w:val="000000" w:themeColor="text1"/>
          <w:lang w:val="uk-UA"/>
        </w:rPr>
        <w:t>Комбінація софосбувіру та ледіпасвіру не рекомендується серед</w:t>
      </w:r>
      <w:r w:rsidR="00F72A65" w:rsidRPr="00F72A65">
        <w:rPr>
          <w:rFonts w:ascii="Times New Roman" w:hAnsi="Times New Roman" w:cs="Times New Roman"/>
          <w:color w:val="000000" w:themeColor="text1"/>
          <w:lang w:val="uk-UA"/>
        </w:rPr>
        <w:t xml:space="preserve"> пацієнтів </w:t>
      </w:r>
      <w:r w:rsidR="00652F9A">
        <w:rPr>
          <w:rFonts w:ascii="Times New Roman" w:hAnsi="Times New Roman" w:cs="Times New Roman"/>
          <w:color w:val="000000" w:themeColor="text1"/>
          <w:lang w:val="uk-UA"/>
        </w:rPr>
        <w:t>з досвідом лікування</w:t>
      </w:r>
      <w:r w:rsidR="00652F9A" w:rsidRPr="00F326C6">
        <w:rPr>
          <w:rFonts w:ascii="Times New Roman" w:hAnsi="Times New Roman" w:cs="Times New Roman"/>
          <w:color w:val="000000" w:themeColor="text1"/>
          <w:lang w:val="uk-UA"/>
        </w:rPr>
        <w:t xml:space="preserve"> </w:t>
      </w:r>
      <w:r w:rsidR="00F72A65" w:rsidRPr="00F72A65">
        <w:rPr>
          <w:rFonts w:ascii="Times New Roman" w:hAnsi="Times New Roman" w:cs="Times New Roman"/>
          <w:color w:val="000000" w:themeColor="text1"/>
          <w:lang w:val="uk-UA"/>
        </w:rPr>
        <w:t>із генотипом 1а, тому що цей режим потребує додаван</w:t>
      </w:r>
      <w:r>
        <w:rPr>
          <w:rFonts w:ascii="Times New Roman" w:hAnsi="Times New Roman" w:cs="Times New Roman"/>
          <w:color w:val="000000" w:themeColor="text1"/>
          <w:lang w:val="uk-UA"/>
        </w:rPr>
        <w:t>ня рибавірину, як це вказано</w:t>
      </w:r>
      <w:r w:rsidR="00F72A65" w:rsidRPr="00F72A65">
        <w:rPr>
          <w:rFonts w:ascii="Times New Roman" w:hAnsi="Times New Roman" w:cs="Times New Roman"/>
          <w:color w:val="000000" w:themeColor="text1"/>
          <w:lang w:val="uk-UA"/>
        </w:rPr>
        <w:t xml:space="preserve"> в рекомендаціях EASL для лікування гепатиту С 2016,</w:t>
      </w:r>
      <w:r w:rsidR="00F72A65" w:rsidRPr="00837247">
        <w:rPr>
          <w:rFonts w:ascii="Times New Roman" w:hAnsi="Times New Roman" w:cs="Times New Roman"/>
          <w:color w:val="000000" w:themeColor="text1"/>
          <w:vertAlign w:val="superscript"/>
          <w:lang w:val="uk-UA"/>
        </w:rPr>
        <w:t>54</w:t>
      </w:r>
    </w:p>
    <w:p w14:paraId="2CDD8495" w14:textId="493401A3" w:rsidR="00935F26" w:rsidRDefault="00935F26" w:rsidP="00F53078">
      <w:pPr>
        <w:tabs>
          <w:tab w:val="left" w:pos="1089"/>
        </w:tabs>
        <w:jc w:val="both"/>
        <w:rPr>
          <w:rFonts w:ascii="Times New Roman" w:hAnsi="Times New Roman" w:cs="Times New Roman"/>
          <w:color w:val="000000" w:themeColor="text1"/>
          <w:vertAlign w:val="superscript"/>
          <w:lang w:val="uk-UA"/>
        </w:rPr>
      </w:pPr>
    </w:p>
    <w:tbl>
      <w:tblPr>
        <w:tblStyle w:val="a6"/>
        <w:tblW w:w="0" w:type="auto"/>
        <w:shd w:val="clear" w:color="auto" w:fill="BDD6EE" w:themeFill="accent1" w:themeFillTint="66"/>
        <w:tblLook w:val="04A0" w:firstRow="1" w:lastRow="0" w:firstColumn="1" w:lastColumn="0" w:noHBand="0" w:noVBand="1"/>
      </w:tblPr>
      <w:tblGrid>
        <w:gridCol w:w="9906"/>
      </w:tblGrid>
      <w:tr w:rsidR="00935F26" w:rsidRPr="0080595E" w14:paraId="0976F186" w14:textId="77777777" w:rsidTr="00935F26">
        <w:tc>
          <w:tcPr>
            <w:tcW w:w="9906" w:type="dxa"/>
            <w:shd w:val="clear" w:color="auto" w:fill="BDD6EE" w:themeFill="accent1" w:themeFillTint="66"/>
          </w:tcPr>
          <w:p w14:paraId="3A1A3432" w14:textId="77777777" w:rsidR="00935F26" w:rsidRPr="00935F26" w:rsidRDefault="00935F26" w:rsidP="00935F26">
            <w:pPr>
              <w:pStyle w:val="a9"/>
              <w:tabs>
                <w:tab w:val="left" w:pos="1089"/>
              </w:tabs>
              <w:rPr>
                <w:rFonts w:ascii="Times New Roman" w:hAnsi="Times New Roman" w:cs="Times New Roman"/>
                <w:b/>
                <w:i/>
                <w:color w:val="000000" w:themeColor="text1"/>
                <w:lang w:val="uk-UA"/>
              </w:rPr>
            </w:pPr>
            <w:r w:rsidRPr="00935F26">
              <w:rPr>
                <w:rFonts w:ascii="Times New Roman" w:hAnsi="Times New Roman" w:cs="Times New Roman"/>
                <w:b/>
                <w:i/>
                <w:color w:val="000000" w:themeColor="text1"/>
                <w:lang w:val="uk-UA"/>
              </w:rPr>
              <w:t>Генотип 1а, специфічна до генотипу схема: гразопревір/ельбасвір</w:t>
            </w:r>
          </w:p>
          <w:p w14:paraId="1A5138B5" w14:textId="7AEE75D6" w:rsidR="00935F26" w:rsidRPr="007C3608" w:rsidRDefault="00935F26" w:rsidP="00015E3B">
            <w:pPr>
              <w:pStyle w:val="a9"/>
              <w:numPr>
                <w:ilvl w:val="0"/>
                <w:numId w:val="8"/>
              </w:numPr>
              <w:tabs>
                <w:tab w:val="left" w:pos="1089"/>
              </w:tabs>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“Наївні” та </w:t>
            </w:r>
            <w:r w:rsidRPr="00E109B8">
              <w:rPr>
                <w:rFonts w:ascii="Times New Roman" w:hAnsi="Times New Roman" w:cs="Times New Roman"/>
                <w:color w:val="000000" w:themeColor="text1"/>
                <w:lang w:val="uk-UA"/>
              </w:rPr>
              <w:t>пацієнти</w:t>
            </w:r>
            <w:r w:rsidR="00652F9A">
              <w:rPr>
                <w:rFonts w:ascii="Times New Roman" w:hAnsi="Times New Roman" w:cs="Times New Roman"/>
                <w:color w:val="000000" w:themeColor="text1"/>
                <w:lang w:val="uk-UA"/>
              </w:rPr>
              <w:t xml:space="preserve"> з досвідом лікування</w:t>
            </w:r>
            <w:r>
              <w:rPr>
                <w:rFonts w:ascii="Times New Roman" w:hAnsi="Times New Roman" w:cs="Times New Roman"/>
                <w:color w:val="000000" w:themeColor="text1"/>
                <w:lang w:val="uk-UA"/>
              </w:rPr>
              <w:t>, з</w:t>
            </w:r>
            <w:r w:rsidRPr="007C3608">
              <w:rPr>
                <w:rFonts w:ascii="Times New Roman" w:hAnsi="Times New Roman" w:cs="Times New Roman"/>
                <w:color w:val="000000" w:themeColor="text1"/>
                <w:lang w:val="uk-UA"/>
              </w:rPr>
              <w:t xml:space="preserve"> генотипом 1а, без цирозу або з компенсованим (Child</w:t>
            </w:r>
            <w:r w:rsidR="00FC6D8A">
              <w:rPr>
                <w:rFonts w:ascii="Times New Roman" w:hAnsi="Times New Roman" w:cs="Times New Roman"/>
                <w:color w:val="000000" w:themeColor="text1"/>
                <w:lang w:val="uk-UA"/>
              </w:rPr>
              <w:t>–</w:t>
            </w:r>
            <w:r w:rsidRPr="007C3608">
              <w:rPr>
                <w:rFonts w:ascii="Times New Roman" w:hAnsi="Times New Roman" w:cs="Times New Roman"/>
                <w:color w:val="000000" w:themeColor="text1"/>
                <w:lang w:val="uk-UA"/>
              </w:rPr>
              <w:t>Pugh A) цирозо</w:t>
            </w:r>
            <w:r>
              <w:rPr>
                <w:rFonts w:ascii="Times New Roman" w:hAnsi="Times New Roman" w:cs="Times New Roman"/>
                <w:color w:val="000000" w:themeColor="text1"/>
                <w:lang w:val="uk-UA"/>
              </w:rPr>
              <w:t>м</w:t>
            </w:r>
            <w:r w:rsidRPr="007C3608">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з вірусним навантаженням РНК ВГС ≤ 800 000 МО/мл (5.9 Log10 IU/</w:t>
            </w:r>
            <w:r w:rsidRPr="007C3608">
              <w:rPr>
                <w:rFonts w:ascii="Times New Roman" w:hAnsi="Times New Roman" w:cs="Times New Roman"/>
                <w:color w:val="000000" w:themeColor="text1"/>
                <w:lang w:val="uk-UA"/>
              </w:rPr>
              <w:t xml:space="preserve">мл) </w:t>
            </w:r>
            <w:r>
              <w:rPr>
                <w:rFonts w:ascii="Times New Roman" w:hAnsi="Times New Roman" w:cs="Times New Roman"/>
                <w:color w:val="000000" w:themeColor="text1"/>
                <w:lang w:val="uk-UA"/>
              </w:rPr>
              <w:t>повинні отримувати лікування</w:t>
            </w:r>
            <w:r w:rsidRPr="007C3608">
              <w:rPr>
                <w:rFonts w:ascii="Times New Roman" w:hAnsi="Times New Roman" w:cs="Times New Roman"/>
                <w:color w:val="000000" w:themeColor="text1"/>
                <w:lang w:val="uk-UA"/>
              </w:rPr>
              <w:t xml:space="preserve"> фіксо</w:t>
            </w:r>
            <w:r>
              <w:rPr>
                <w:rFonts w:ascii="Times New Roman" w:hAnsi="Times New Roman" w:cs="Times New Roman"/>
                <w:color w:val="000000" w:themeColor="text1"/>
                <w:lang w:val="uk-UA"/>
              </w:rPr>
              <w:t>ваною дозою</w:t>
            </w:r>
            <w:r w:rsidRPr="007C3608">
              <w:rPr>
                <w:rFonts w:ascii="Times New Roman" w:hAnsi="Times New Roman" w:cs="Times New Roman"/>
                <w:color w:val="000000" w:themeColor="text1"/>
                <w:lang w:val="uk-UA"/>
              </w:rPr>
              <w:t xml:space="preserve"> комбінації гразопревіру та ельба</w:t>
            </w:r>
            <w:r>
              <w:rPr>
                <w:rFonts w:ascii="Times New Roman" w:hAnsi="Times New Roman" w:cs="Times New Roman"/>
                <w:color w:val="000000" w:themeColor="text1"/>
                <w:lang w:val="uk-UA"/>
              </w:rPr>
              <w:t>с</w:t>
            </w:r>
            <w:r w:rsidRPr="007C3608">
              <w:rPr>
                <w:rFonts w:ascii="Times New Roman" w:hAnsi="Times New Roman" w:cs="Times New Roman"/>
                <w:color w:val="000000" w:themeColor="text1"/>
                <w:lang w:val="uk-UA"/>
              </w:rPr>
              <w:t>віру протягом 12 тижнів (B1)</w:t>
            </w:r>
            <w:r>
              <w:rPr>
                <w:rFonts w:ascii="Times New Roman" w:hAnsi="Times New Roman" w:cs="Times New Roman"/>
                <w:color w:val="000000" w:themeColor="text1"/>
                <w:lang w:val="uk-UA"/>
              </w:rPr>
              <w:t>.</w:t>
            </w:r>
          </w:p>
          <w:p w14:paraId="123B56A0" w14:textId="1F0D217E" w:rsidR="00935F26" w:rsidRPr="00935F26" w:rsidRDefault="00935F26" w:rsidP="00015E3B">
            <w:pPr>
              <w:pStyle w:val="a9"/>
              <w:numPr>
                <w:ilvl w:val="0"/>
                <w:numId w:val="8"/>
              </w:numPr>
              <w:tabs>
                <w:tab w:val="left" w:pos="1089"/>
              </w:tabs>
              <w:rPr>
                <w:rFonts w:ascii="Times New Roman" w:hAnsi="Times New Roman" w:cs="Times New Roman"/>
                <w:color w:val="000000" w:themeColor="text1"/>
                <w:lang w:val="uk-UA"/>
              </w:rPr>
            </w:pPr>
            <w:r w:rsidRPr="007C3608">
              <w:rPr>
                <w:rFonts w:ascii="Times New Roman" w:hAnsi="Times New Roman" w:cs="Times New Roman"/>
                <w:color w:val="000000" w:themeColor="text1"/>
                <w:lang w:val="uk-UA"/>
              </w:rPr>
              <w:t>Комбінація гразопревіру та ельба</w:t>
            </w:r>
            <w:r>
              <w:rPr>
                <w:rFonts w:ascii="Times New Roman" w:hAnsi="Times New Roman" w:cs="Times New Roman"/>
                <w:color w:val="000000" w:themeColor="text1"/>
                <w:lang w:val="uk-UA"/>
              </w:rPr>
              <w:t>с</w:t>
            </w:r>
            <w:r w:rsidRPr="007C3608">
              <w:rPr>
                <w:rFonts w:ascii="Times New Roman" w:hAnsi="Times New Roman" w:cs="Times New Roman"/>
                <w:color w:val="000000" w:themeColor="text1"/>
                <w:lang w:val="uk-UA"/>
              </w:rPr>
              <w:t xml:space="preserve">віру не рекомендується пацієнтам, інфікованим генотипом 1а, з </w:t>
            </w:r>
            <w:r>
              <w:rPr>
                <w:rFonts w:ascii="Times New Roman" w:hAnsi="Times New Roman" w:cs="Times New Roman"/>
                <w:color w:val="000000" w:themeColor="text1"/>
                <w:lang w:val="uk-UA"/>
              </w:rPr>
              <w:t>вірусним навантаженням</w:t>
            </w:r>
            <w:r w:rsidRPr="007C3608">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РНК ВГС</w:t>
            </w:r>
            <w:r w:rsidRPr="007C3608">
              <w:rPr>
                <w:rFonts w:ascii="Times New Roman" w:hAnsi="Times New Roman" w:cs="Times New Roman"/>
                <w:color w:val="000000" w:themeColor="text1"/>
                <w:lang w:val="uk-UA"/>
              </w:rPr>
              <w:t>&gt; 800 000 МО / мл (5.9 Log10 IU / ml) (A1)</w:t>
            </w:r>
          </w:p>
        </w:tc>
      </w:tr>
    </w:tbl>
    <w:p w14:paraId="467451E0" w14:textId="77777777" w:rsidR="00837247" w:rsidRDefault="00837247" w:rsidP="00F53078">
      <w:pPr>
        <w:tabs>
          <w:tab w:val="left" w:pos="1089"/>
        </w:tabs>
        <w:jc w:val="both"/>
        <w:rPr>
          <w:rFonts w:ascii="Times New Roman" w:hAnsi="Times New Roman" w:cs="Times New Roman"/>
          <w:color w:val="000000" w:themeColor="text1"/>
          <w:lang w:val="uk-UA"/>
        </w:rPr>
      </w:pPr>
    </w:p>
    <w:p w14:paraId="635AD816" w14:textId="54C7D5D7" w:rsidR="007C3608" w:rsidRDefault="007C3608" w:rsidP="007C3608">
      <w:pPr>
        <w:tabs>
          <w:tab w:val="left" w:pos="1480"/>
        </w:tabs>
        <w:ind w:left="-87"/>
        <w:rPr>
          <w:rFonts w:ascii="Times New Roman" w:hAnsi="Times New Roman" w:cs="Times New Roman"/>
          <w:color w:val="000000" w:themeColor="text1"/>
          <w:lang w:val="uk-UA"/>
        </w:rPr>
      </w:pPr>
      <w:r>
        <w:rPr>
          <w:rFonts w:ascii="Times New Roman" w:hAnsi="Times New Roman" w:cs="Times New Roman"/>
          <w:color w:val="000000" w:themeColor="text1"/>
          <w:lang w:val="uk-UA"/>
        </w:rPr>
        <w:tab/>
      </w:r>
    </w:p>
    <w:p w14:paraId="4965555D" w14:textId="613BB2C1" w:rsidR="007C3608" w:rsidRPr="007C3608" w:rsidRDefault="007C3608" w:rsidP="00F53078">
      <w:pPr>
        <w:tabs>
          <w:tab w:val="left" w:pos="1480"/>
        </w:tabs>
        <w:ind w:left="-87"/>
        <w:jc w:val="both"/>
        <w:rPr>
          <w:rFonts w:ascii="Times New Roman" w:hAnsi="Times New Roman" w:cs="Times New Roman"/>
          <w:color w:val="000000" w:themeColor="text1"/>
          <w:lang w:val="uk-UA"/>
        </w:rPr>
      </w:pPr>
      <w:r w:rsidRPr="007C3608">
        <w:rPr>
          <w:rFonts w:ascii="Times New Roman" w:hAnsi="Times New Roman" w:cs="Times New Roman"/>
          <w:color w:val="000000" w:themeColor="text1"/>
          <w:lang w:val="uk-UA"/>
        </w:rPr>
        <w:t>Коментарі: Ця рекомендаці</w:t>
      </w:r>
      <w:r w:rsidR="0013605C">
        <w:rPr>
          <w:rFonts w:ascii="Times New Roman" w:hAnsi="Times New Roman" w:cs="Times New Roman"/>
          <w:color w:val="000000" w:themeColor="text1"/>
          <w:lang w:val="uk-UA"/>
        </w:rPr>
        <w:t xml:space="preserve">я базується на результатах трьофазного дослідження </w:t>
      </w:r>
      <w:r w:rsidRPr="007C3608">
        <w:rPr>
          <w:rFonts w:ascii="Times New Roman" w:hAnsi="Times New Roman" w:cs="Times New Roman"/>
          <w:color w:val="000000" w:themeColor="text1"/>
          <w:lang w:val="uk-UA"/>
        </w:rPr>
        <w:t xml:space="preserve">III </w:t>
      </w:r>
      <w:r w:rsidR="00B05E55">
        <w:rPr>
          <w:rFonts w:ascii="Times New Roman" w:hAnsi="Times New Roman" w:cs="Times New Roman"/>
          <w:color w:val="000000" w:themeColor="text1"/>
          <w:lang w:val="uk-UA"/>
        </w:rPr>
        <w:t>та подальшого ретроспективного аналізу</w:t>
      </w:r>
      <w:r w:rsidRPr="007C3608">
        <w:rPr>
          <w:rFonts w:ascii="Times New Roman" w:hAnsi="Times New Roman" w:cs="Times New Roman"/>
          <w:color w:val="000000" w:themeColor="text1"/>
          <w:lang w:val="uk-UA"/>
        </w:rPr>
        <w:t xml:space="preserve"> </w:t>
      </w:r>
      <w:r w:rsidR="00B05E55">
        <w:rPr>
          <w:rFonts w:ascii="Times New Roman" w:hAnsi="Times New Roman" w:cs="Times New Roman"/>
          <w:color w:val="000000" w:themeColor="text1"/>
          <w:lang w:val="uk-UA"/>
        </w:rPr>
        <w:t xml:space="preserve">сукупних </w:t>
      </w:r>
      <w:r w:rsidRPr="007C3608">
        <w:rPr>
          <w:rFonts w:ascii="Times New Roman" w:hAnsi="Times New Roman" w:cs="Times New Roman"/>
          <w:color w:val="000000" w:themeColor="text1"/>
          <w:lang w:val="uk-UA"/>
        </w:rPr>
        <w:t>даних про клінічні випробування II та III фази.</w:t>
      </w:r>
    </w:p>
    <w:p w14:paraId="07F4D2D7" w14:textId="77777777" w:rsidR="00B05E55" w:rsidRDefault="00B05E55" w:rsidP="00F53078">
      <w:pPr>
        <w:tabs>
          <w:tab w:val="left" w:pos="1480"/>
        </w:tabs>
        <w:ind w:left="-87"/>
        <w:jc w:val="both"/>
        <w:rPr>
          <w:rFonts w:ascii="Times New Roman" w:hAnsi="Times New Roman" w:cs="Times New Roman"/>
          <w:color w:val="000000" w:themeColor="text1"/>
          <w:lang w:val="uk-UA"/>
        </w:rPr>
      </w:pPr>
    </w:p>
    <w:p w14:paraId="4F88AB39" w14:textId="5EB7CCA7" w:rsidR="007C3608" w:rsidRPr="007C3608" w:rsidRDefault="007C3608" w:rsidP="00F53078">
      <w:pPr>
        <w:tabs>
          <w:tab w:val="left" w:pos="1480"/>
        </w:tabs>
        <w:ind w:left="-87"/>
        <w:jc w:val="both"/>
        <w:rPr>
          <w:rFonts w:ascii="Times New Roman" w:hAnsi="Times New Roman" w:cs="Times New Roman"/>
          <w:color w:val="000000" w:themeColor="text1"/>
          <w:lang w:val="uk-UA"/>
        </w:rPr>
      </w:pPr>
      <w:r w:rsidRPr="007C3608">
        <w:rPr>
          <w:rFonts w:ascii="Times New Roman" w:hAnsi="Times New Roman" w:cs="Times New Roman"/>
          <w:color w:val="000000" w:themeColor="text1"/>
          <w:lang w:val="uk-UA"/>
        </w:rPr>
        <w:t>У дослідженні C</w:t>
      </w:r>
      <w:r w:rsidR="00FC6D8A">
        <w:rPr>
          <w:rFonts w:ascii="Times New Roman" w:hAnsi="Times New Roman" w:cs="Times New Roman"/>
          <w:color w:val="000000" w:themeColor="text1"/>
          <w:lang w:val="uk-UA"/>
        </w:rPr>
        <w:t>–</w:t>
      </w:r>
      <w:r w:rsidRPr="007C3608">
        <w:rPr>
          <w:rFonts w:ascii="Times New Roman" w:hAnsi="Times New Roman" w:cs="Times New Roman"/>
          <w:color w:val="000000" w:themeColor="text1"/>
          <w:lang w:val="uk-UA"/>
        </w:rPr>
        <w:t>EDGE</w:t>
      </w:r>
      <w:r w:rsidR="00FC6D8A">
        <w:rPr>
          <w:rFonts w:ascii="Times New Roman" w:hAnsi="Times New Roman" w:cs="Times New Roman"/>
          <w:color w:val="000000" w:themeColor="text1"/>
          <w:lang w:val="uk-UA"/>
        </w:rPr>
        <w:t>–</w:t>
      </w:r>
      <w:r w:rsidRPr="007C3608">
        <w:rPr>
          <w:rFonts w:ascii="Times New Roman" w:hAnsi="Times New Roman" w:cs="Times New Roman"/>
          <w:color w:val="000000" w:themeColor="text1"/>
          <w:lang w:val="uk-UA"/>
        </w:rPr>
        <w:t xml:space="preserve">TN у </w:t>
      </w:r>
      <w:r w:rsidR="00FC0A82">
        <w:rPr>
          <w:rFonts w:ascii="Times New Roman" w:hAnsi="Times New Roman" w:cs="Times New Roman"/>
          <w:color w:val="000000" w:themeColor="text1"/>
          <w:lang w:val="uk-UA"/>
        </w:rPr>
        <w:t>“наївних”</w:t>
      </w:r>
      <w:r w:rsidR="00B05E55">
        <w:rPr>
          <w:rFonts w:ascii="Times New Roman" w:hAnsi="Times New Roman" w:cs="Times New Roman"/>
          <w:color w:val="000000" w:themeColor="text1"/>
          <w:lang w:val="uk-UA"/>
        </w:rPr>
        <w:t xml:space="preserve"> пацієнтів, інфікуваних</w:t>
      </w:r>
      <w:r w:rsidRPr="007C3608">
        <w:rPr>
          <w:rFonts w:ascii="Times New Roman" w:hAnsi="Times New Roman" w:cs="Times New Roman"/>
          <w:color w:val="000000" w:themeColor="text1"/>
          <w:lang w:val="uk-UA"/>
        </w:rPr>
        <w:t xml:space="preserve"> генотип</w:t>
      </w:r>
      <w:r w:rsidR="00B05E55">
        <w:rPr>
          <w:rFonts w:ascii="Times New Roman" w:hAnsi="Times New Roman" w:cs="Times New Roman"/>
          <w:color w:val="000000" w:themeColor="text1"/>
          <w:lang w:val="uk-UA"/>
        </w:rPr>
        <w:t>ом</w:t>
      </w:r>
      <w:r w:rsidRPr="007C3608">
        <w:rPr>
          <w:rFonts w:ascii="Times New Roman" w:hAnsi="Times New Roman" w:cs="Times New Roman"/>
          <w:color w:val="000000" w:themeColor="text1"/>
          <w:lang w:val="uk-UA"/>
        </w:rPr>
        <w:t xml:space="preserve"> 1а, </w:t>
      </w:r>
      <w:r w:rsidR="00B05E55">
        <w:rPr>
          <w:rFonts w:ascii="Times New Roman" w:hAnsi="Times New Roman" w:cs="Times New Roman"/>
          <w:color w:val="000000" w:themeColor="text1"/>
          <w:lang w:val="uk-UA"/>
        </w:rPr>
        <w:t>які отримували гра</w:t>
      </w:r>
      <w:r w:rsidRPr="007C3608">
        <w:rPr>
          <w:rFonts w:ascii="Times New Roman" w:hAnsi="Times New Roman" w:cs="Times New Roman"/>
          <w:color w:val="000000" w:themeColor="text1"/>
          <w:lang w:val="uk-UA"/>
        </w:rPr>
        <w:t>зопревір та ельба</w:t>
      </w:r>
      <w:r w:rsidR="00B05E55">
        <w:rPr>
          <w:rFonts w:ascii="Times New Roman" w:hAnsi="Times New Roman" w:cs="Times New Roman"/>
          <w:color w:val="000000" w:themeColor="text1"/>
          <w:lang w:val="uk-UA"/>
        </w:rPr>
        <w:t>с</w:t>
      </w:r>
      <w:r w:rsidRPr="007C3608">
        <w:rPr>
          <w:rFonts w:ascii="Times New Roman" w:hAnsi="Times New Roman" w:cs="Times New Roman"/>
          <w:color w:val="000000" w:themeColor="text1"/>
          <w:lang w:val="uk-UA"/>
        </w:rPr>
        <w:t>вір</w:t>
      </w:r>
      <w:r w:rsidR="00B05E55">
        <w:rPr>
          <w:rFonts w:ascii="Times New Roman" w:hAnsi="Times New Roman" w:cs="Times New Roman"/>
          <w:color w:val="000000" w:themeColor="text1"/>
          <w:lang w:val="uk-UA"/>
        </w:rPr>
        <w:t xml:space="preserve"> протягом 12 тижнів, СВВ12 станови</w:t>
      </w:r>
      <w:r w:rsidR="002D6239">
        <w:rPr>
          <w:rFonts w:ascii="Times New Roman" w:hAnsi="Times New Roman" w:cs="Times New Roman"/>
          <w:color w:val="000000" w:themeColor="text1"/>
          <w:lang w:val="uk-UA"/>
        </w:rPr>
        <w:t>ла</w:t>
      </w:r>
      <w:r w:rsidRPr="007C3608">
        <w:rPr>
          <w:rFonts w:ascii="Times New Roman" w:hAnsi="Times New Roman" w:cs="Times New Roman"/>
          <w:color w:val="000000" w:themeColor="text1"/>
          <w:lang w:val="uk-UA"/>
        </w:rPr>
        <w:t xml:space="preserve"> 92% (144/157, один</w:t>
      </w:r>
      <w:r w:rsidR="0080595E">
        <w:rPr>
          <w:rFonts w:ascii="Times New Roman" w:hAnsi="Times New Roman" w:cs="Times New Roman"/>
          <w:color w:val="000000" w:themeColor="text1"/>
          <w:lang w:val="uk-UA"/>
        </w:rPr>
        <w:t xml:space="preserve"> вірусологічний</w:t>
      </w:r>
      <w:r w:rsidRPr="007C3608">
        <w:rPr>
          <w:rFonts w:ascii="Times New Roman" w:hAnsi="Times New Roman" w:cs="Times New Roman"/>
          <w:color w:val="000000" w:themeColor="text1"/>
          <w:lang w:val="uk-UA"/>
        </w:rPr>
        <w:t xml:space="preserve"> прорив та 12 рецидивів), при цьому </w:t>
      </w:r>
      <w:r w:rsidR="00B05E55">
        <w:rPr>
          <w:rFonts w:ascii="Times New Roman" w:hAnsi="Times New Roman" w:cs="Times New Roman"/>
          <w:color w:val="000000" w:themeColor="text1"/>
          <w:lang w:val="uk-UA"/>
        </w:rPr>
        <w:t>наявність компенсованого</w:t>
      </w:r>
      <w:r w:rsidRPr="007C3608">
        <w:rPr>
          <w:rFonts w:ascii="Times New Roman" w:hAnsi="Times New Roman" w:cs="Times New Roman"/>
          <w:color w:val="000000" w:themeColor="text1"/>
          <w:lang w:val="uk-UA"/>
        </w:rPr>
        <w:t xml:space="preserve"> цироз</w:t>
      </w:r>
      <w:r w:rsidR="00FC0A82">
        <w:rPr>
          <w:rFonts w:ascii="Times New Roman" w:hAnsi="Times New Roman" w:cs="Times New Roman"/>
          <w:color w:val="000000" w:themeColor="text1"/>
          <w:lang w:val="uk-UA"/>
        </w:rPr>
        <w:t>у не вплинула</w:t>
      </w:r>
      <w:r w:rsidR="00B05E55">
        <w:rPr>
          <w:rFonts w:ascii="Times New Roman" w:hAnsi="Times New Roman" w:cs="Times New Roman"/>
          <w:color w:val="000000" w:themeColor="text1"/>
          <w:lang w:val="uk-UA"/>
        </w:rPr>
        <w:t xml:space="preserve"> на</w:t>
      </w:r>
      <w:r w:rsidRPr="007C3608">
        <w:rPr>
          <w:rFonts w:ascii="Times New Roman" w:hAnsi="Times New Roman" w:cs="Times New Roman"/>
          <w:color w:val="000000" w:themeColor="text1"/>
          <w:lang w:val="uk-UA"/>
        </w:rPr>
        <w:t xml:space="preserve"> </w:t>
      </w:r>
      <w:r w:rsidR="00FC0A82">
        <w:rPr>
          <w:rFonts w:ascii="Times New Roman" w:hAnsi="Times New Roman" w:cs="Times New Roman"/>
          <w:color w:val="000000" w:themeColor="text1"/>
          <w:lang w:val="uk-UA"/>
        </w:rPr>
        <w:t xml:space="preserve">досягнення </w:t>
      </w:r>
      <w:r w:rsidR="00B05E55">
        <w:rPr>
          <w:rFonts w:ascii="Times New Roman" w:hAnsi="Times New Roman" w:cs="Times New Roman"/>
          <w:color w:val="000000" w:themeColor="text1"/>
          <w:lang w:val="uk-UA"/>
        </w:rPr>
        <w:t>СВВ</w:t>
      </w:r>
      <w:r w:rsidRPr="007C3608">
        <w:rPr>
          <w:rFonts w:ascii="Times New Roman" w:hAnsi="Times New Roman" w:cs="Times New Roman"/>
          <w:color w:val="000000" w:themeColor="text1"/>
          <w:lang w:val="uk-UA"/>
        </w:rPr>
        <w:t>12.</w:t>
      </w:r>
      <w:r w:rsidRPr="00B05E55">
        <w:rPr>
          <w:rFonts w:ascii="Times New Roman" w:hAnsi="Times New Roman" w:cs="Times New Roman"/>
          <w:color w:val="000000" w:themeColor="text1"/>
          <w:vertAlign w:val="superscript"/>
          <w:lang w:val="uk-UA"/>
        </w:rPr>
        <w:t xml:space="preserve">83 </w:t>
      </w:r>
      <w:r w:rsidRPr="007C3608">
        <w:rPr>
          <w:rFonts w:ascii="Times New Roman" w:hAnsi="Times New Roman" w:cs="Times New Roman"/>
          <w:color w:val="000000" w:themeColor="text1"/>
          <w:lang w:val="uk-UA"/>
        </w:rPr>
        <w:t>У відкритому до</w:t>
      </w:r>
      <w:r w:rsidR="00B05E55">
        <w:rPr>
          <w:rFonts w:ascii="Times New Roman" w:hAnsi="Times New Roman" w:cs="Times New Roman"/>
          <w:color w:val="000000" w:themeColor="text1"/>
          <w:lang w:val="uk-UA"/>
        </w:rPr>
        <w:t>слідженні C</w:t>
      </w:r>
      <w:r w:rsidR="00FC6D8A">
        <w:rPr>
          <w:rFonts w:ascii="Times New Roman" w:hAnsi="Times New Roman" w:cs="Times New Roman"/>
          <w:color w:val="000000" w:themeColor="text1"/>
          <w:lang w:val="uk-UA"/>
        </w:rPr>
        <w:t>–</w:t>
      </w:r>
      <w:r w:rsidR="00B05E55">
        <w:rPr>
          <w:rFonts w:ascii="Times New Roman" w:hAnsi="Times New Roman" w:cs="Times New Roman"/>
          <w:color w:val="000000" w:themeColor="text1"/>
          <w:lang w:val="uk-UA"/>
        </w:rPr>
        <w:t>EDGE</w:t>
      </w:r>
      <w:r w:rsidR="00FC6D8A">
        <w:rPr>
          <w:rFonts w:ascii="Times New Roman" w:hAnsi="Times New Roman" w:cs="Times New Roman"/>
          <w:color w:val="000000" w:themeColor="text1"/>
          <w:lang w:val="uk-UA"/>
        </w:rPr>
        <w:t>–</w:t>
      </w:r>
      <w:r w:rsidR="00B05E55">
        <w:rPr>
          <w:rFonts w:ascii="Times New Roman" w:hAnsi="Times New Roman" w:cs="Times New Roman"/>
          <w:color w:val="000000" w:themeColor="text1"/>
          <w:lang w:val="uk-UA"/>
        </w:rPr>
        <w:t>COINFECTION,</w:t>
      </w:r>
      <w:r w:rsidRPr="007C3608">
        <w:rPr>
          <w:rFonts w:ascii="Times New Roman" w:hAnsi="Times New Roman" w:cs="Times New Roman"/>
          <w:color w:val="000000" w:themeColor="text1"/>
          <w:lang w:val="uk-UA"/>
        </w:rPr>
        <w:t xml:space="preserve"> </w:t>
      </w:r>
      <w:r w:rsidR="00FC0A82">
        <w:rPr>
          <w:rFonts w:ascii="Times New Roman" w:hAnsi="Times New Roman" w:cs="Times New Roman"/>
          <w:color w:val="000000" w:themeColor="text1"/>
          <w:lang w:val="uk-UA"/>
        </w:rPr>
        <w:t>“наївні”</w:t>
      </w:r>
      <w:r w:rsidR="00B05E55">
        <w:rPr>
          <w:rFonts w:ascii="Times New Roman" w:hAnsi="Times New Roman" w:cs="Times New Roman"/>
          <w:color w:val="000000" w:themeColor="text1"/>
          <w:lang w:val="uk-UA"/>
        </w:rPr>
        <w:t xml:space="preserve"> пацієнти з ко</w:t>
      </w:r>
      <w:r w:rsidR="00FC6D8A">
        <w:rPr>
          <w:rFonts w:ascii="Times New Roman" w:hAnsi="Times New Roman" w:cs="Times New Roman"/>
          <w:color w:val="000000" w:themeColor="text1"/>
          <w:lang w:val="uk-UA"/>
        </w:rPr>
        <w:t>–</w:t>
      </w:r>
      <w:r w:rsidR="00B05E55">
        <w:rPr>
          <w:rFonts w:ascii="Times New Roman" w:hAnsi="Times New Roman" w:cs="Times New Roman"/>
          <w:color w:val="000000" w:themeColor="text1"/>
          <w:lang w:val="uk-UA"/>
        </w:rPr>
        <w:t>інфекцією</w:t>
      </w:r>
      <w:r w:rsidRPr="007C3608">
        <w:rPr>
          <w:rFonts w:ascii="Times New Roman" w:hAnsi="Times New Roman" w:cs="Times New Roman"/>
          <w:color w:val="000000" w:themeColor="text1"/>
          <w:lang w:val="uk-UA"/>
        </w:rPr>
        <w:t xml:space="preserve"> ВІЛ</w:t>
      </w:r>
      <w:r w:rsidR="00525692">
        <w:rPr>
          <w:rFonts w:ascii="Times New Roman" w:hAnsi="Times New Roman" w:cs="Times New Roman"/>
          <w:color w:val="000000" w:themeColor="text1"/>
          <w:lang w:val="uk-UA"/>
        </w:rPr>
        <w:t>/ВГС</w:t>
      </w:r>
      <w:r w:rsidR="006333DB">
        <w:rPr>
          <w:rFonts w:ascii="Times New Roman" w:hAnsi="Times New Roman" w:cs="Times New Roman"/>
          <w:color w:val="000000" w:themeColor="text1"/>
          <w:lang w:val="uk-UA"/>
        </w:rPr>
        <w:t>,</w:t>
      </w:r>
      <w:r w:rsidRPr="007C3608">
        <w:rPr>
          <w:rFonts w:ascii="Times New Roman" w:hAnsi="Times New Roman" w:cs="Times New Roman"/>
          <w:color w:val="000000" w:themeColor="text1"/>
          <w:lang w:val="uk-UA"/>
        </w:rPr>
        <w:t xml:space="preserve"> з компенсованим цирозо</w:t>
      </w:r>
      <w:r w:rsidR="00316F1C">
        <w:rPr>
          <w:rFonts w:ascii="Times New Roman" w:hAnsi="Times New Roman" w:cs="Times New Roman"/>
          <w:color w:val="000000" w:themeColor="text1"/>
          <w:lang w:val="uk-UA"/>
        </w:rPr>
        <w:t>м</w:t>
      </w:r>
      <w:r w:rsidRPr="007C3608">
        <w:rPr>
          <w:rFonts w:ascii="Times New Roman" w:hAnsi="Times New Roman" w:cs="Times New Roman"/>
          <w:color w:val="000000" w:themeColor="text1"/>
          <w:lang w:val="uk-UA"/>
        </w:rPr>
        <w:t xml:space="preserve"> або без нього, </w:t>
      </w:r>
      <w:r w:rsidR="00B05E55">
        <w:rPr>
          <w:rFonts w:ascii="Times New Roman" w:hAnsi="Times New Roman" w:cs="Times New Roman"/>
          <w:color w:val="000000" w:themeColor="text1"/>
          <w:lang w:val="uk-UA"/>
        </w:rPr>
        <w:t>отримували гразопревір та ельбасвір</w:t>
      </w:r>
      <w:r w:rsidRPr="007C3608">
        <w:rPr>
          <w:rFonts w:ascii="Times New Roman" w:hAnsi="Times New Roman" w:cs="Times New Roman"/>
          <w:color w:val="000000" w:themeColor="text1"/>
          <w:lang w:val="uk-UA"/>
        </w:rPr>
        <w:t xml:space="preserve"> протягом 12 тижнів, а </w:t>
      </w:r>
      <w:r w:rsidR="00B05E55">
        <w:rPr>
          <w:rFonts w:ascii="Times New Roman" w:hAnsi="Times New Roman" w:cs="Times New Roman"/>
          <w:color w:val="000000" w:themeColor="text1"/>
          <w:lang w:val="uk-UA"/>
        </w:rPr>
        <w:t>СВВ12 станови</w:t>
      </w:r>
      <w:r w:rsidR="002D6239">
        <w:rPr>
          <w:rFonts w:ascii="Times New Roman" w:hAnsi="Times New Roman" w:cs="Times New Roman"/>
          <w:color w:val="000000" w:themeColor="text1"/>
          <w:lang w:val="uk-UA"/>
        </w:rPr>
        <w:t>ла</w:t>
      </w:r>
      <w:r w:rsidRPr="007C3608">
        <w:rPr>
          <w:rFonts w:ascii="Times New Roman" w:hAnsi="Times New Roman" w:cs="Times New Roman"/>
          <w:color w:val="000000" w:themeColor="text1"/>
          <w:lang w:val="uk-UA"/>
        </w:rPr>
        <w:t xml:space="preserve"> 97% (139 / 144)</w:t>
      </w:r>
      <w:r w:rsidR="00B05E55">
        <w:rPr>
          <w:rFonts w:ascii="Times New Roman" w:hAnsi="Times New Roman" w:cs="Times New Roman"/>
          <w:color w:val="000000" w:themeColor="text1"/>
          <w:lang w:val="uk-UA"/>
        </w:rPr>
        <w:t>.</w:t>
      </w:r>
      <w:r w:rsidR="00B05E55" w:rsidRPr="007C3608">
        <w:rPr>
          <w:rFonts w:ascii="Times New Roman" w:hAnsi="Times New Roman" w:cs="Times New Roman"/>
          <w:color w:val="000000" w:themeColor="text1"/>
          <w:lang w:val="uk-UA"/>
        </w:rPr>
        <w:t xml:space="preserve"> </w:t>
      </w:r>
      <w:r w:rsidRPr="00B05E55">
        <w:rPr>
          <w:rFonts w:ascii="Times New Roman" w:hAnsi="Times New Roman" w:cs="Times New Roman"/>
          <w:color w:val="000000" w:themeColor="text1"/>
          <w:vertAlign w:val="superscript"/>
          <w:lang w:val="uk-UA"/>
        </w:rPr>
        <w:t>84</w:t>
      </w:r>
      <w:r w:rsidRPr="007C3608">
        <w:rPr>
          <w:rFonts w:ascii="Times New Roman" w:hAnsi="Times New Roman" w:cs="Times New Roman"/>
          <w:color w:val="000000" w:themeColor="text1"/>
          <w:lang w:val="uk-UA"/>
        </w:rPr>
        <w:t xml:space="preserve"> У сукупному аналізі </w:t>
      </w:r>
      <w:r w:rsidRPr="007C3608">
        <w:rPr>
          <w:rFonts w:ascii="Times New Roman" w:hAnsi="Times New Roman" w:cs="Times New Roman"/>
          <w:color w:val="000000" w:themeColor="text1"/>
          <w:lang w:val="uk-UA"/>
        </w:rPr>
        <w:lastRenderedPageBreak/>
        <w:t xml:space="preserve">ефективності лікування </w:t>
      </w:r>
      <w:r w:rsidR="00FC0A82">
        <w:rPr>
          <w:rFonts w:ascii="Times New Roman" w:hAnsi="Times New Roman" w:cs="Times New Roman"/>
          <w:color w:val="000000" w:themeColor="text1"/>
          <w:lang w:val="uk-UA"/>
        </w:rPr>
        <w:t>“наївних”</w:t>
      </w:r>
      <w:r w:rsidR="00B05E55">
        <w:rPr>
          <w:rFonts w:ascii="Times New Roman" w:hAnsi="Times New Roman" w:cs="Times New Roman"/>
          <w:color w:val="000000" w:themeColor="text1"/>
          <w:lang w:val="uk-UA"/>
        </w:rPr>
        <w:t xml:space="preserve"> пацієнтів</w:t>
      </w:r>
      <w:r w:rsidR="00B05E55" w:rsidRPr="007C3608">
        <w:rPr>
          <w:rFonts w:ascii="Times New Roman" w:hAnsi="Times New Roman" w:cs="Times New Roman"/>
          <w:color w:val="000000" w:themeColor="text1"/>
          <w:lang w:val="uk-UA"/>
        </w:rPr>
        <w:t xml:space="preserve"> </w:t>
      </w:r>
      <w:r w:rsidR="00B05E55">
        <w:rPr>
          <w:rFonts w:ascii="Times New Roman" w:hAnsi="Times New Roman" w:cs="Times New Roman"/>
          <w:color w:val="000000" w:themeColor="text1"/>
          <w:lang w:val="uk-UA"/>
        </w:rPr>
        <w:t>з генотипом 1а з</w:t>
      </w:r>
      <w:r w:rsidR="00D04FB3">
        <w:rPr>
          <w:rFonts w:ascii="Times New Roman" w:hAnsi="Times New Roman" w:cs="Times New Roman"/>
          <w:color w:val="000000" w:themeColor="text1"/>
          <w:lang w:val="uk-UA"/>
        </w:rPr>
        <w:t xml:space="preserve"> ІІ та ІІІ</w:t>
      </w:r>
      <w:r w:rsidR="00B05E55">
        <w:rPr>
          <w:rFonts w:ascii="Times New Roman" w:hAnsi="Times New Roman" w:cs="Times New Roman"/>
          <w:color w:val="000000" w:themeColor="text1"/>
          <w:lang w:val="uk-UA"/>
        </w:rPr>
        <w:t xml:space="preserve"> фаз </w:t>
      </w:r>
      <w:r w:rsidR="00D04FB3">
        <w:rPr>
          <w:rFonts w:ascii="Times New Roman" w:hAnsi="Times New Roman" w:cs="Times New Roman"/>
          <w:color w:val="000000" w:themeColor="text1"/>
          <w:lang w:val="uk-UA"/>
        </w:rPr>
        <w:t>дослідження</w:t>
      </w:r>
      <w:r w:rsidR="007366CA">
        <w:rPr>
          <w:rFonts w:ascii="Times New Roman" w:hAnsi="Times New Roman" w:cs="Times New Roman"/>
          <w:color w:val="000000" w:themeColor="text1"/>
          <w:lang w:val="uk-UA"/>
        </w:rPr>
        <w:t>, які отримували граз</w:t>
      </w:r>
      <w:r w:rsidR="006333DB">
        <w:rPr>
          <w:rFonts w:ascii="Times New Roman" w:hAnsi="Times New Roman" w:cs="Times New Roman"/>
          <w:color w:val="000000" w:themeColor="text1"/>
          <w:lang w:val="uk-UA"/>
        </w:rPr>
        <w:t>о</w:t>
      </w:r>
      <w:r w:rsidR="007366CA">
        <w:rPr>
          <w:rFonts w:ascii="Times New Roman" w:hAnsi="Times New Roman" w:cs="Times New Roman"/>
          <w:color w:val="000000" w:themeColor="text1"/>
          <w:lang w:val="uk-UA"/>
        </w:rPr>
        <w:t>превір</w:t>
      </w:r>
      <w:r w:rsidRPr="007C3608">
        <w:rPr>
          <w:rFonts w:ascii="Times New Roman" w:hAnsi="Times New Roman" w:cs="Times New Roman"/>
          <w:color w:val="000000" w:themeColor="text1"/>
          <w:lang w:val="uk-UA"/>
        </w:rPr>
        <w:t>/ельба</w:t>
      </w:r>
      <w:r w:rsidR="007366CA">
        <w:rPr>
          <w:rFonts w:ascii="Times New Roman" w:hAnsi="Times New Roman" w:cs="Times New Roman"/>
          <w:color w:val="000000" w:themeColor="text1"/>
          <w:lang w:val="uk-UA"/>
        </w:rPr>
        <w:t>с</w:t>
      </w:r>
      <w:r w:rsidRPr="007C3608">
        <w:rPr>
          <w:rFonts w:ascii="Times New Roman" w:hAnsi="Times New Roman" w:cs="Times New Roman"/>
          <w:color w:val="000000" w:themeColor="text1"/>
          <w:lang w:val="uk-UA"/>
        </w:rPr>
        <w:t xml:space="preserve">вір протягом 12 тижнів, частота </w:t>
      </w:r>
      <w:r w:rsidR="00B05E55">
        <w:rPr>
          <w:rFonts w:ascii="Times New Roman" w:hAnsi="Times New Roman" w:cs="Times New Roman"/>
          <w:color w:val="000000" w:themeColor="text1"/>
          <w:lang w:val="uk-UA"/>
        </w:rPr>
        <w:t>СВВ</w:t>
      </w:r>
      <w:r w:rsidRPr="007C3608">
        <w:rPr>
          <w:rFonts w:ascii="Times New Roman" w:hAnsi="Times New Roman" w:cs="Times New Roman"/>
          <w:color w:val="000000" w:themeColor="text1"/>
          <w:lang w:val="uk-UA"/>
        </w:rPr>
        <w:t>12 становила 99% (121 / 1</w:t>
      </w:r>
      <w:r w:rsidR="007366CA">
        <w:rPr>
          <w:rFonts w:ascii="Times New Roman" w:hAnsi="Times New Roman" w:cs="Times New Roman"/>
          <w:color w:val="000000" w:themeColor="text1"/>
          <w:lang w:val="uk-UA"/>
        </w:rPr>
        <w:t>22) у пацієнтів з рівнем РНК ВГС ≤ 80000 МО/</w:t>
      </w:r>
      <w:r w:rsidRPr="007C3608">
        <w:rPr>
          <w:rFonts w:ascii="Times New Roman" w:hAnsi="Times New Roman" w:cs="Times New Roman"/>
          <w:color w:val="000000" w:themeColor="text1"/>
          <w:lang w:val="uk-UA"/>
        </w:rPr>
        <w:t>мл</w:t>
      </w:r>
      <w:r w:rsidR="007366CA">
        <w:rPr>
          <w:rFonts w:ascii="Times New Roman" w:hAnsi="Times New Roman" w:cs="Times New Roman"/>
          <w:color w:val="000000" w:themeColor="text1"/>
          <w:lang w:val="uk-UA"/>
        </w:rPr>
        <w:t xml:space="preserve">, без впливу раніше існуючих </w:t>
      </w:r>
      <w:r w:rsidR="007366CA">
        <w:rPr>
          <w:rFonts w:ascii="Times New Roman" w:hAnsi="Times New Roman" w:cs="Times New Roman"/>
          <w:color w:val="000000" w:themeColor="text1"/>
          <w:lang w:val="en-US"/>
        </w:rPr>
        <w:t>RAS</w:t>
      </w:r>
      <w:r w:rsidR="007366CA">
        <w:rPr>
          <w:rFonts w:ascii="Times New Roman" w:hAnsi="Times New Roman" w:cs="Times New Roman"/>
          <w:color w:val="000000" w:themeColor="text1"/>
          <w:lang w:val="uk-UA"/>
        </w:rPr>
        <w:t xml:space="preserve"> NS5A </w:t>
      </w:r>
      <w:r w:rsidRPr="007C3608">
        <w:rPr>
          <w:rFonts w:ascii="Times New Roman" w:hAnsi="Times New Roman" w:cs="Times New Roman"/>
          <w:color w:val="000000" w:themeColor="text1"/>
          <w:lang w:val="uk-UA"/>
        </w:rPr>
        <w:t xml:space="preserve">на </w:t>
      </w:r>
      <w:r w:rsidR="00B05E55">
        <w:rPr>
          <w:rFonts w:ascii="Times New Roman" w:hAnsi="Times New Roman" w:cs="Times New Roman"/>
          <w:color w:val="000000" w:themeColor="text1"/>
          <w:lang w:val="uk-UA"/>
        </w:rPr>
        <w:t>СВВ</w:t>
      </w:r>
      <w:r w:rsidRPr="007C3608">
        <w:rPr>
          <w:rFonts w:ascii="Times New Roman" w:hAnsi="Times New Roman" w:cs="Times New Roman"/>
          <w:color w:val="000000" w:themeColor="text1"/>
          <w:lang w:val="uk-UA"/>
        </w:rPr>
        <w:t xml:space="preserve"> (неопубліковані дані, представлені Merck).</w:t>
      </w:r>
      <w:r w:rsidR="00D04FB3">
        <w:rPr>
          <w:rFonts w:ascii="Times New Roman" w:hAnsi="Times New Roman" w:cs="Times New Roman"/>
          <w:color w:val="000000" w:themeColor="text1"/>
          <w:lang w:val="uk-UA"/>
        </w:rPr>
        <w:t xml:space="preserve"> </w:t>
      </w:r>
    </w:p>
    <w:p w14:paraId="4DE905CE" w14:textId="77777777" w:rsidR="00A20DFA" w:rsidRDefault="00A20DFA" w:rsidP="00F53078">
      <w:pPr>
        <w:tabs>
          <w:tab w:val="left" w:pos="1480"/>
        </w:tabs>
        <w:ind w:left="-87"/>
        <w:jc w:val="both"/>
        <w:rPr>
          <w:rFonts w:ascii="Times New Roman" w:hAnsi="Times New Roman" w:cs="Times New Roman"/>
          <w:color w:val="000000" w:themeColor="text1"/>
          <w:lang w:val="uk-UA"/>
        </w:rPr>
      </w:pPr>
    </w:p>
    <w:p w14:paraId="491D8CC3" w14:textId="0C0E617D" w:rsidR="007C3608" w:rsidRPr="007C3608" w:rsidRDefault="007366CA" w:rsidP="00F53078">
      <w:pPr>
        <w:tabs>
          <w:tab w:val="left" w:pos="1480"/>
        </w:tabs>
        <w:ind w:left="-87"/>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У пацієнтів, які проходили </w:t>
      </w:r>
      <w:r w:rsidR="007C3608" w:rsidRPr="007C3608">
        <w:rPr>
          <w:rFonts w:ascii="Times New Roman" w:hAnsi="Times New Roman" w:cs="Times New Roman"/>
          <w:color w:val="000000" w:themeColor="text1"/>
          <w:lang w:val="uk-UA"/>
        </w:rPr>
        <w:t>лікування, включених до дослідження C</w:t>
      </w:r>
      <w:r w:rsidR="00FC6D8A">
        <w:rPr>
          <w:rFonts w:ascii="Times New Roman" w:hAnsi="Times New Roman" w:cs="Times New Roman"/>
          <w:color w:val="000000" w:themeColor="text1"/>
          <w:lang w:val="uk-UA"/>
        </w:rPr>
        <w:t>–</w:t>
      </w:r>
      <w:r w:rsidR="007C3608" w:rsidRPr="007C3608">
        <w:rPr>
          <w:rFonts w:ascii="Times New Roman" w:hAnsi="Times New Roman" w:cs="Times New Roman"/>
          <w:color w:val="000000" w:themeColor="text1"/>
          <w:lang w:val="uk-UA"/>
        </w:rPr>
        <w:t>EDGE</w:t>
      </w:r>
      <w:r w:rsidR="00FC6D8A">
        <w:rPr>
          <w:rFonts w:ascii="Times New Roman" w:hAnsi="Times New Roman" w:cs="Times New Roman"/>
          <w:color w:val="000000" w:themeColor="text1"/>
          <w:lang w:val="uk-UA"/>
        </w:rPr>
        <w:t>–</w:t>
      </w:r>
      <w:r w:rsidR="007C3608" w:rsidRPr="007C3608">
        <w:rPr>
          <w:rFonts w:ascii="Times New Roman" w:hAnsi="Times New Roman" w:cs="Times New Roman"/>
          <w:color w:val="000000" w:themeColor="text1"/>
          <w:lang w:val="uk-UA"/>
        </w:rPr>
        <w:t xml:space="preserve">TE у фазі III, у тому числі приблизно 30% пацієнтів з компенсованим цирозом, частота </w:t>
      </w:r>
      <w:r w:rsidR="00B05E55">
        <w:rPr>
          <w:rFonts w:ascii="Times New Roman" w:hAnsi="Times New Roman" w:cs="Times New Roman"/>
          <w:color w:val="000000" w:themeColor="text1"/>
          <w:lang w:val="uk-UA"/>
        </w:rPr>
        <w:t>СВВ</w:t>
      </w:r>
      <w:r w:rsidR="007C3608" w:rsidRPr="007C3608">
        <w:rPr>
          <w:rFonts w:ascii="Times New Roman" w:hAnsi="Times New Roman" w:cs="Times New Roman"/>
          <w:color w:val="000000" w:themeColor="text1"/>
          <w:lang w:val="uk-UA"/>
        </w:rPr>
        <w:t>12 становила 92% (55/60</w:t>
      </w:r>
      <w:r>
        <w:rPr>
          <w:rFonts w:ascii="Times New Roman" w:hAnsi="Times New Roman" w:cs="Times New Roman"/>
          <w:color w:val="000000" w:themeColor="text1"/>
          <w:lang w:val="uk-UA"/>
        </w:rPr>
        <w:t>) після 12 тижнів</w:t>
      </w:r>
      <w:r w:rsidR="006333DB">
        <w:rPr>
          <w:rFonts w:ascii="Times New Roman" w:hAnsi="Times New Roman" w:cs="Times New Roman"/>
          <w:color w:val="000000" w:themeColor="text1"/>
          <w:lang w:val="uk-UA"/>
        </w:rPr>
        <w:t xml:space="preserve"> прийому</w:t>
      </w:r>
      <w:r>
        <w:rPr>
          <w:rFonts w:ascii="Times New Roman" w:hAnsi="Times New Roman" w:cs="Times New Roman"/>
          <w:color w:val="000000" w:themeColor="text1"/>
          <w:lang w:val="uk-UA"/>
        </w:rPr>
        <w:t xml:space="preserve"> гразорпревіру/</w:t>
      </w:r>
      <w:r w:rsidR="007C3608" w:rsidRPr="007C3608">
        <w:rPr>
          <w:rFonts w:ascii="Times New Roman" w:hAnsi="Times New Roman" w:cs="Times New Roman"/>
          <w:color w:val="000000" w:themeColor="text1"/>
          <w:lang w:val="uk-UA"/>
        </w:rPr>
        <w:t>ельба</w:t>
      </w:r>
      <w:r>
        <w:rPr>
          <w:rFonts w:ascii="Times New Roman" w:hAnsi="Times New Roman" w:cs="Times New Roman"/>
          <w:color w:val="000000" w:themeColor="text1"/>
          <w:lang w:val="uk-UA"/>
        </w:rPr>
        <w:t>с</w:t>
      </w:r>
      <w:r w:rsidR="007C3608" w:rsidRPr="007C3608">
        <w:rPr>
          <w:rFonts w:ascii="Times New Roman" w:hAnsi="Times New Roman" w:cs="Times New Roman"/>
          <w:color w:val="000000" w:themeColor="text1"/>
          <w:lang w:val="uk-UA"/>
        </w:rPr>
        <w:t xml:space="preserve">віру. </w:t>
      </w:r>
      <w:r w:rsidR="007C3608" w:rsidRPr="007366CA">
        <w:rPr>
          <w:rFonts w:ascii="Times New Roman" w:hAnsi="Times New Roman" w:cs="Times New Roman"/>
          <w:color w:val="000000" w:themeColor="text1"/>
          <w:vertAlign w:val="superscript"/>
          <w:lang w:val="uk-UA"/>
        </w:rPr>
        <w:t>85</w:t>
      </w:r>
      <w:r w:rsidR="00C81DAC">
        <w:rPr>
          <w:rFonts w:ascii="Times New Roman" w:hAnsi="Times New Roman" w:cs="Times New Roman"/>
          <w:color w:val="000000" w:themeColor="text1"/>
          <w:lang w:val="uk-UA"/>
        </w:rPr>
        <w:t xml:space="preserve"> У дослідженнях</w:t>
      </w:r>
      <w:r>
        <w:rPr>
          <w:rFonts w:ascii="Times New Roman" w:hAnsi="Times New Roman" w:cs="Times New Roman"/>
          <w:color w:val="000000" w:themeColor="text1"/>
          <w:lang w:val="uk-UA"/>
        </w:rPr>
        <w:t xml:space="preserve"> ефективності</w:t>
      </w:r>
      <w:r w:rsidR="007C3608" w:rsidRPr="007C3608">
        <w:rPr>
          <w:rFonts w:ascii="Times New Roman" w:hAnsi="Times New Roman" w:cs="Times New Roman"/>
          <w:color w:val="000000" w:themeColor="text1"/>
          <w:lang w:val="uk-UA"/>
        </w:rPr>
        <w:t xml:space="preserve"> терапії </w:t>
      </w:r>
      <w:r>
        <w:rPr>
          <w:rFonts w:ascii="Times New Roman" w:hAnsi="Times New Roman" w:cs="Times New Roman"/>
          <w:color w:val="000000" w:themeColor="text1"/>
          <w:lang w:val="uk-UA"/>
        </w:rPr>
        <w:t xml:space="preserve">серед </w:t>
      </w:r>
      <w:r w:rsidR="007C3608" w:rsidRPr="007C3608">
        <w:rPr>
          <w:rFonts w:ascii="Times New Roman" w:hAnsi="Times New Roman" w:cs="Times New Roman"/>
          <w:color w:val="000000" w:themeColor="text1"/>
          <w:lang w:val="uk-UA"/>
        </w:rPr>
        <w:t xml:space="preserve">пацієнтів </w:t>
      </w:r>
      <w:r w:rsidR="00C81DAC">
        <w:rPr>
          <w:rFonts w:ascii="Times New Roman" w:hAnsi="Times New Roman" w:cs="Times New Roman"/>
          <w:color w:val="000000" w:themeColor="text1"/>
          <w:lang w:val="uk-UA"/>
        </w:rPr>
        <w:t xml:space="preserve">з ІІ та ІІІ фаз, які </w:t>
      </w:r>
      <w:r>
        <w:rPr>
          <w:rFonts w:ascii="Times New Roman" w:hAnsi="Times New Roman" w:cs="Times New Roman"/>
          <w:color w:val="000000" w:themeColor="text1"/>
          <w:lang w:val="uk-UA"/>
        </w:rPr>
        <w:t xml:space="preserve">отримували </w:t>
      </w:r>
      <w:r w:rsidRPr="007C3608">
        <w:rPr>
          <w:rFonts w:ascii="Times New Roman" w:hAnsi="Times New Roman" w:cs="Times New Roman"/>
          <w:color w:val="000000" w:themeColor="text1"/>
          <w:lang w:val="uk-UA"/>
        </w:rPr>
        <w:t>лікування</w:t>
      </w:r>
      <w:r w:rsidR="007C3608" w:rsidRPr="007C3608">
        <w:rPr>
          <w:rFonts w:ascii="Times New Roman" w:hAnsi="Times New Roman" w:cs="Times New Roman"/>
          <w:color w:val="000000" w:themeColor="text1"/>
          <w:lang w:val="uk-UA"/>
        </w:rPr>
        <w:t xml:space="preserve"> протягом 12 тижнів, частота </w:t>
      </w:r>
      <w:r w:rsidR="00B05E55">
        <w:rPr>
          <w:rFonts w:ascii="Times New Roman" w:hAnsi="Times New Roman" w:cs="Times New Roman"/>
          <w:color w:val="000000" w:themeColor="text1"/>
          <w:lang w:val="uk-UA"/>
        </w:rPr>
        <w:t>СВВ</w:t>
      </w:r>
      <w:r>
        <w:rPr>
          <w:rFonts w:ascii="Times New Roman" w:hAnsi="Times New Roman" w:cs="Times New Roman"/>
          <w:color w:val="000000" w:themeColor="text1"/>
          <w:lang w:val="uk-UA"/>
        </w:rPr>
        <w:t>12 склала</w:t>
      </w:r>
      <w:r w:rsidR="007C3608" w:rsidRPr="007C3608">
        <w:rPr>
          <w:rFonts w:ascii="Times New Roman" w:hAnsi="Times New Roman" w:cs="Times New Roman"/>
          <w:color w:val="000000" w:themeColor="text1"/>
          <w:lang w:val="uk-UA"/>
        </w:rPr>
        <w:t xml:space="preserve"> 100% (14/14) у пацієнтів з рівнем РНК ВГС ≤ 800 000 МО / мл (не</w:t>
      </w:r>
      <w:r>
        <w:rPr>
          <w:rFonts w:ascii="Times New Roman" w:hAnsi="Times New Roman" w:cs="Times New Roman"/>
          <w:color w:val="000000" w:themeColor="text1"/>
          <w:lang w:val="uk-UA"/>
        </w:rPr>
        <w:t xml:space="preserve">опубліковані дані, надані </w:t>
      </w:r>
      <w:r w:rsidR="007C3608" w:rsidRPr="007C3608">
        <w:rPr>
          <w:rFonts w:ascii="Times New Roman" w:hAnsi="Times New Roman" w:cs="Times New Roman"/>
          <w:color w:val="000000" w:themeColor="text1"/>
          <w:lang w:val="uk-UA"/>
        </w:rPr>
        <w:t>Merck).</w:t>
      </w:r>
    </w:p>
    <w:p w14:paraId="6BBD63B4" w14:textId="77777777" w:rsidR="007366CA" w:rsidRDefault="007366CA" w:rsidP="00F53078">
      <w:pPr>
        <w:tabs>
          <w:tab w:val="left" w:pos="1480"/>
        </w:tabs>
        <w:ind w:left="-87"/>
        <w:jc w:val="both"/>
        <w:rPr>
          <w:rFonts w:ascii="Times New Roman" w:hAnsi="Times New Roman" w:cs="Times New Roman"/>
          <w:color w:val="000000" w:themeColor="text1"/>
          <w:lang w:val="uk-UA"/>
        </w:rPr>
      </w:pPr>
    </w:p>
    <w:p w14:paraId="11637771" w14:textId="52D602A9" w:rsidR="007C3608" w:rsidRDefault="00C81DAC" w:rsidP="00F53078">
      <w:pPr>
        <w:tabs>
          <w:tab w:val="left" w:pos="1480"/>
        </w:tabs>
        <w:ind w:left="-87"/>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При цій терапії</w:t>
      </w:r>
      <w:r w:rsidR="007366CA">
        <w:rPr>
          <w:rFonts w:ascii="Times New Roman" w:hAnsi="Times New Roman" w:cs="Times New Roman"/>
          <w:color w:val="000000" w:themeColor="text1"/>
          <w:lang w:val="uk-UA"/>
        </w:rPr>
        <w:t xml:space="preserve"> на </w:t>
      </w:r>
      <w:r>
        <w:rPr>
          <w:rFonts w:ascii="Times New Roman" w:hAnsi="Times New Roman" w:cs="Times New Roman"/>
          <w:color w:val="000000" w:themeColor="text1"/>
          <w:lang w:val="uk-UA"/>
        </w:rPr>
        <w:t xml:space="preserve">досягнення </w:t>
      </w:r>
      <w:r w:rsidR="00B05E55">
        <w:rPr>
          <w:rFonts w:ascii="Times New Roman" w:hAnsi="Times New Roman" w:cs="Times New Roman"/>
          <w:color w:val="000000" w:themeColor="text1"/>
          <w:lang w:val="uk-UA"/>
        </w:rPr>
        <w:t>СВВ</w:t>
      </w:r>
      <w:r w:rsidR="007366CA">
        <w:rPr>
          <w:rFonts w:ascii="Times New Roman" w:hAnsi="Times New Roman" w:cs="Times New Roman"/>
          <w:color w:val="000000" w:themeColor="text1"/>
          <w:lang w:val="uk-UA"/>
        </w:rPr>
        <w:t>12 впливала наявність</w:t>
      </w:r>
      <w:r w:rsidR="007C3608" w:rsidRPr="007C3608">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en-US"/>
        </w:rPr>
        <w:t>RAS</w:t>
      </w:r>
      <w:r w:rsidRPr="007C3608">
        <w:rPr>
          <w:rFonts w:ascii="Times New Roman" w:hAnsi="Times New Roman" w:cs="Times New Roman"/>
          <w:color w:val="000000" w:themeColor="text1"/>
          <w:lang w:val="uk-UA"/>
        </w:rPr>
        <w:t xml:space="preserve"> </w:t>
      </w:r>
      <w:r w:rsidR="007C3608" w:rsidRPr="007C3608">
        <w:rPr>
          <w:rFonts w:ascii="Times New Roman" w:hAnsi="Times New Roman" w:cs="Times New Roman"/>
          <w:color w:val="000000" w:themeColor="text1"/>
          <w:lang w:val="uk-UA"/>
        </w:rPr>
        <w:t xml:space="preserve">NS5A у </w:t>
      </w:r>
      <w:r w:rsidR="00FC0A82">
        <w:rPr>
          <w:rFonts w:ascii="Times New Roman" w:hAnsi="Times New Roman" w:cs="Times New Roman"/>
          <w:color w:val="000000" w:themeColor="text1"/>
          <w:lang w:val="uk-UA"/>
        </w:rPr>
        <w:t>“наївних”</w:t>
      </w:r>
      <w:r w:rsidR="007366CA">
        <w:rPr>
          <w:rFonts w:ascii="Times New Roman" w:hAnsi="Times New Roman" w:cs="Times New Roman"/>
          <w:color w:val="000000" w:themeColor="text1"/>
          <w:lang w:val="uk-UA"/>
        </w:rPr>
        <w:t xml:space="preserve"> </w:t>
      </w:r>
      <w:r w:rsidR="007C3608" w:rsidRPr="007C3608">
        <w:rPr>
          <w:rFonts w:ascii="Times New Roman" w:hAnsi="Times New Roman" w:cs="Times New Roman"/>
          <w:color w:val="000000" w:themeColor="text1"/>
          <w:lang w:val="uk-UA"/>
        </w:rPr>
        <w:t xml:space="preserve">та </w:t>
      </w:r>
      <w:r w:rsidR="007366CA">
        <w:rPr>
          <w:rFonts w:ascii="Times New Roman" w:hAnsi="Times New Roman" w:cs="Times New Roman"/>
          <w:color w:val="000000" w:themeColor="text1"/>
          <w:lang w:val="uk-UA"/>
        </w:rPr>
        <w:t>пацієнтів</w:t>
      </w:r>
      <w:r w:rsidR="006333DB">
        <w:rPr>
          <w:rFonts w:ascii="Times New Roman" w:hAnsi="Times New Roman" w:cs="Times New Roman"/>
          <w:color w:val="000000" w:themeColor="text1"/>
          <w:lang w:val="uk-UA"/>
        </w:rPr>
        <w:t xml:space="preserve"> з досвідом лікування</w:t>
      </w:r>
      <w:r>
        <w:rPr>
          <w:rFonts w:ascii="Times New Roman" w:hAnsi="Times New Roman" w:cs="Times New Roman"/>
          <w:color w:val="000000" w:themeColor="text1"/>
          <w:lang w:val="uk-UA"/>
        </w:rPr>
        <w:t>, в яких</w:t>
      </w:r>
      <w:r w:rsidR="007366CA">
        <w:rPr>
          <w:rFonts w:ascii="Times New Roman" w:hAnsi="Times New Roman" w:cs="Times New Roman"/>
          <w:color w:val="000000" w:themeColor="text1"/>
          <w:lang w:val="uk-UA"/>
        </w:rPr>
        <w:t xml:space="preserve"> з рівнем РНК ВГС &gt; 800 000 МО/</w:t>
      </w:r>
      <w:r w:rsidR="007C3608" w:rsidRPr="007C3608">
        <w:rPr>
          <w:rFonts w:ascii="Times New Roman" w:hAnsi="Times New Roman" w:cs="Times New Roman"/>
          <w:color w:val="000000" w:themeColor="text1"/>
          <w:lang w:val="uk-UA"/>
        </w:rPr>
        <w:t>мл (не</w:t>
      </w:r>
      <w:r w:rsidR="007366CA">
        <w:rPr>
          <w:rFonts w:ascii="Times New Roman" w:hAnsi="Times New Roman" w:cs="Times New Roman"/>
          <w:color w:val="000000" w:themeColor="text1"/>
          <w:lang w:val="uk-UA"/>
        </w:rPr>
        <w:t>опубліковані дані, надані Merck)</w:t>
      </w:r>
      <w:r>
        <w:rPr>
          <w:rFonts w:ascii="Times New Roman" w:hAnsi="Times New Roman" w:cs="Times New Roman"/>
          <w:color w:val="000000" w:themeColor="text1"/>
          <w:lang w:val="uk-UA"/>
        </w:rPr>
        <w:t>. Тому, оскільки тест на резистентність</w:t>
      </w:r>
      <w:r w:rsidR="007C3608" w:rsidRPr="007C3608">
        <w:rPr>
          <w:rFonts w:ascii="Times New Roman" w:hAnsi="Times New Roman" w:cs="Times New Roman"/>
          <w:color w:val="000000" w:themeColor="text1"/>
          <w:lang w:val="uk-UA"/>
        </w:rPr>
        <w:t xml:space="preserve"> не рекомендується перед початком терапії, цей режим не рекомендується пацієнтам</w:t>
      </w:r>
      <w:r w:rsidR="007366CA">
        <w:rPr>
          <w:rFonts w:ascii="Times New Roman" w:hAnsi="Times New Roman" w:cs="Times New Roman"/>
          <w:color w:val="000000" w:themeColor="text1"/>
          <w:lang w:val="uk-UA"/>
        </w:rPr>
        <w:t xml:space="preserve"> з рівнем РНК ВГС&gt; 800 000 МО/</w:t>
      </w:r>
      <w:r w:rsidR="007C3608" w:rsidRPr="007C3608">
        <w:rPr>
          <w:rFonts w:ascii="Times New Roman" w:hAnsi="Times New Roman" w:cs="Times New Roman"/>
          <w:color w:val="000000" w:themeColor="text1"/>
          <w:lang w:val="uk-UA"/>
        </w:rPr>
        <w:t>мл.</w:t>
      </w:r>
    </w:p>
    <w:p w14:paraId="1474776D" w14:textId="77777777" w:rsidR="00140E16" w:rsidRDefault="00140E16" w:rsidP="007C3608">
      <w:pPr>
        <w:tabs>
          <w:tab w:val="left" w:pos="1480"/>
        </w:tabs>
        <w:ind w:left="-87"/>
        <w:rPr>
          <w:rFonts w:ascii="Times New Roman" w:hAnsi="Times New Roman" w:cs="Times New Roman"/>
          <w:color w:val="000000" w:themeColor="text1"/>
          <w:lang w:val="uk-UA"/>
        </w:rPr>
      </w:pPr>
    </w:p>
    <w:p w14:paraId="2F6FFC44" w14:textId="5F0DC6C9" w:rsidR="003C7A27" w:rsidRPr="003C7A27" w:rsidRDefault="003C7A27" w:rsidP="003C7A27">
      <w:pPr>
        <w:tabs>
          <w:tab w:val="left" w:pos="1480"/>
        </w:tabs>
        <w:ind w:left="-87"/>
        <w:rPr>
          <w:rFonts w:ascii="Times New Roman" w:hAnsi="Times New Roman" w:cs="Times New Roman"/>
          <w:b/>
          <w:color w:val="4472C4" w:themeColor="accent5"/>
          <w:lang w:val="uk-UA"/>
        </w:rPr>
      </w:pPr>
      <w:r w:rsidRPr="003C7A27">
        <w:rPr>
          <w:rFonts w:ascii="Times New Roman" w:hAnsi="Times New Roman" w:cs="Times New Roman"/>
          <w:b/>
          <w:color w:val="4472C4" w:themeColor="accent5"/>
          <w:lang w:val="uk-UA"/>
        </w:rPr>
        <w:t xml:space="preserve">Лікування інфекції </w:t>
      </w:r>
      <w:r>
        <w:rPr>
          <w:rFonts w:ascii="Times New Roman" w:hAnsi="Times New Roman" w:cs="Times New Roman"/>
          <w:b/>
          <w:color w:val="4472C4" w:themeColor="accent5"/>
          <w:lang w:val="uk-UA"/>
        </w:rPr>
        <w:t xml:space="preserve">ВГС </w:t>
      </w:r>
      <w:r w:rsidRPr="003C7A27">
        <w:rPr>
          <w:rFonts w:ascii="Times New Roman" w:hAnsi="Times New Roman" w:cs="Times New Roman"/>
          <w:b/>
          <w:color w:val="4472C4" w:themeColor="accent5"/>
          <w:lang w:val="uk-UA"/>
        </w:rPr>
        <w:t xml:space="preserve">генотипу 1b </w:t>
      </w:r>
    </w:p>
    <w:p w14:paraId="7EEDBAF8" w14:textId="77777777" w:rsidR="003C7A27" w:rsidRDefault="003C7A27" w:rsidP="003C7A27">
      <w:pPr>
        <w:tabs>
          <w:tab w:val="left" w:pos="1480"/>
        </w:tabs>
        <w:ind w:left="-87"/>
        <w:rPr>
          <w:rFonts w:ascii="Times New Roman" w:hAnsi="Times New Roman" w:cs="Times New Roman"/>
          <w:color w:val="000000" w:themeColor="text1"/>
          <w:lang w:val="uk-UA"/>
        </w:rPr>
      </w:pPr>
    </w:p>
    <w:p w14:paraId="762D91AB" w14:textId="16709716" w:rsidR="003C7A27" w:rsidRPr="003C7A27" w:rsidRDefault="003C7A27" w:rsidP="00F53078">
      <w:pPr>
        <w:tabs>
          <w:tab w:val="left" w:pos="1480"/>
        </w:tabs>
        <w:ind w:left="-87"/>
        <w:jc w:val="both"/>
        <w:rPr>
          <w:rFonts w:ascii="Times New Roman" w:hAnsi="Times New Roman" w:cs="Times New Roman"/>
          <w:color w:val="000000" w:themeColor="text1"/>
          <w:lang w:val="uk-UA"/>
        </w:rPr>
      </w:pPr>
      <w:r w:rsidRPr="003C7A27">
        <w:rPr>
          <w:rFonts w:ascii="Times New Roman" w:hAnsi="Times New Roman" w:cs="Times New Roman"/>
          <w:color w:val="000000" w:themeColor="text1"/>
          <w:lang w:val="uk-UA"/>
        </w:rPr>
        <w:t xml:space="preserve">П'ять варіантів лікування доступні в 2018 році для пацієнтів, інфікованих генотипом 1b (Таблиці 6, 7 і 8). Ці </w:t>
      </w:r>
      <w:r w:rsidR="00316F1C">
        <w:rPr>
          <w:rFonts w:ascii="Times New Roman" w:hAnsi="Times New Roman" w:cs="Times New Roman"/>
          <w:color w:val="000000" w:themeColor="text1"/>
          <w:lang w:val="uk-UA"/>
        </w:rPr>
        <w:t xml:space="preserve">схеми </w:t>
      </w:r>
      <w:r>
        <w:rPr>
          <w:rFonts w:ascii="Times New Roman" w:hAnsi="Times New Roman" w:cs="Times New Roman"/>
          <w:color w:val="000000" w:themeColor="text1"/>
          <w:lang w:val="uk-UA"/>
        </w:rPr>
        <w:t>вважаються еквівалентними, і</w:t>
      </w:r>
      <w:r w:rsidRPr="003C7A27">
        <w:rPr>
          <w:rFonts w:ascii="Times New Roman" w:hAnsi="Times New Roman" w:cs="Times New Roman"/>
          <w:color w:val="000000" w:themeColor="text1"/>
          <w:lang w:val="uk-UA"/>
        </w:rPr>
        <w:t xml:space="preserve"> порядок</w:t>
      </w:r>
      <w:r>
        <w:rPr>
          <w:rFonts w:ascii="Times New Roman" w:hAnsi="Times New Roman" w:cs="Times New Roman"/>
          <w:color w:val="000000" w:themeColor="text1"/>
          <w:lang w:val="uk-UA"/>
        </w:rPr>
        <w:t>, в якому вони зазначаються</w:t>
      </w:r>
      <w:r w:rsidRPr="003C7A27">
        <w:rPr>
          <w:rFonts w:ascii="Times New Roman" w:hAnsi="Times New Roman" w:cs="Times New Roman"/>
          <w:color w:val="000000" w:themeColor="text1"/>
          <w:lang w:val="uk-UA"/>
        </w:rPr>
        <w:t xml:space="preserve"> не</w:t>
      </w:r>
      <w:r>
        <w:rPr>
          <w:rFonts w:ascii="Times New Roman" w:hAnsi="Times New Roman" w:cs="Times New Roman"/>
          <w:color w:val="000000" w:themeColor="text1"/>
          <w:lang w:val="uk-UA"/>
        </w:rPr>
        <w:t xml:space="preserve"> вказує на переваги будь</w:t>
      </w:r>
      <w:r w:rsidR="00FC6D8A">
        <w:rPr>
          <w:rFonts w:ascii="Times New Roman" w:hAnsi="Times New Roman" w:cs="Times New Roman"/>
          <w:color w:val="000000" w:themeColor="text1"/>
          <w:lang w:val="uk-UA"/>
        </w:rPr>
        <w:t>–</w:t>
      </w:r>
      <w:r>
        <w:rPr>
          <w:rFonts w:ascii="Times New Roman" w:hAnsi="Times New Roman" w:cs="Times New Roman"/>
          <w:color w:val="000000" w:themeColor="text1"/>
          <w:lang w:val="uk-UA"/>
        </w:rPr>
        <w:t>якого з них</w:t>
      </w:r>
      <w:r w:rsidRPr="003C7A27">
        <w:rPr>
          <w:rFonts w:ascii="Times New Roman" w:hAnsi="Times New Roman" w:cs="Times New Roman"/>
          <w:color w:val="000000" w:themeColor="text1"/>
          <w:lang w:val="uk-UA"/>
        </w:rPr>
        <w:t>:</w:t>
      </w:r>
    </w:p>
    <w:p w14:paraId="1AD4359D" w14:textId="77777777" w:rsidR="003C7A27" w:rsidRDefault="003C7A27" w:rsidP="003C7A27">
      <w:pPr>
        <w:tabs>
          <w:tab w:val="left" w:pos="1480"/>
        </w:tabs>
        <w:ind w:left="-87"/>
        <w:rPr>
          <w:rFonts w:ascii="Times New Roman" w:hAnsi="Times New Roman" w:cs="Times New Roman"/>
          <w:color w:val="000000" w:themeColor="text1"/>
          <w:lang w:val="uk-UA"/>
        </w:rPr>
      </w:pPr>
    </w:p>
    <w:p w14:paraId="4D3A4C93" w14:textId="07B6098B" w:rsidR="003C7A27" w:rsidRPr="001F665B" w:rsidRDefault="001F665B" w:rsidP="00015E3B">
      <w:pPr>
        <w:pStyle w:val="a9"/>
        <w:numPr>
          <w:ilvl w:val="0"/>
          <w:numId w:val="9"/>
        </w:numPr>
        <w:tabs>
          <w:tab w:val="left" w:pos="1480"/>
        </w:tabs>
        <w:rPr>
          <w:rFonts w:ascii="Times New Roman" w:hAnsi="Times New Roman" w:cs="Times New Roman"/>
          <w:color w:val="000000" w:themeColor="text1"/>
          <w:lang w:val="uk-UA"/>
        </w:rPr>
      </w:pPr>
      <w:r w:rsidRPr="001F665B">
        <w:rPr>
          <w:rFonts w:ascii="Times New Roman" w:hAnsi="Times New Roman" w:cs="Times New Roman"/>
          <w:color w:val="000000" w:themeColor="text1"/>
          <w:lang w:val="uk-UA"/>
        </w:rPr>
        <w:t>Софосбувір/в</w:t>
      </w:r>
      <w:r w:rsidR="003C7A27" w:rsidRPr="001F665B">
        <w:rPr>
          <w:rFonts w:ascii="Times New Roman" w:hAnsi="Times New Roman" w:cs="Times New Roman"/>
          <w:color w:val="000000" w:themeColor="text1"/>
          <w:lang w:val="uk-UA"/>
        </w:rPr>
        <w:t>елпатас</w:t>
      </w:r>
      <w:r w:rsidRPr="001F665B">
        <w:rPr>
          <w:rFonts w:ascii="Times New Roman" w:hAnsi="Times New Roman" w:cs="Times New Roman"/>
          <w:color w:val="000000" w:themeColor="text1"/>
          <w:lang w:val="uk-UA"/>
        </w:rPr>
        <w:t>вір</w:t>
      </w:r>
    </w:p>
    <w:p w14:paraId="50987C31" w14:textId="1924A7D5" w:rsidR="003C7A27" w:rsidRPr="001F665B" w:rsidRDefault="003C7A27" w:rsidP="00015E3B">
      <w:pPr>
        <w:pStyle w:val="a9"/>
        <w:numPr>
          <w:ilvl w:val="0"/>
          <w:numId w:val="9"/>
        </w:numPr>
        <w:tabs>
          <w:tab w:val="left" w:pos="1480"/>
        </w:tabs>
        <w:rPr>
          <w:rFonts w:ascii="Times New Roman" w:hAnsi="Times New Roman" w:cs="Times New Roman"/>
          <w:color w:val="000000" w:themeColor="text1"/>
          <w:lang w:val="uk-UA"/>
        </w:rPr>
      </w:pPr>
      <w:r w:rsidRPr="001F665B">
        <w:rPr>
          <w:rFonts w:ascii="Times New Roman" w:hAnsi="Times New Roman" w:cs="Times New Roman"/>
          <w:color w:val="000000" w:themeColor="text1"/>
          <w:lang w:val="uk-UA"/>
        </w:rPr>
        <w:t>Глекапре</w:t>
      </w:r>
      <w:r w:rsidR="001F665B" w:rsidRPr="001F665B">
        <w:rPr>
          <w:rFonts w:ascii="Times New Roman" w:hAnsi="Times New Roman" w:cs="Times New Roman"/>
          <w:color w:val="000000" w:themeColor="text1"/>
          <w:lang w:val="uk-UA"/>
        </w:rPr>
        <w:t>вір/пібрентасвір</w:t>
      </w:r>
    </w:p>
    <w:p w14:paraId="04E14703" w14:textId="002E2521" w:rsidR="003C7A27" w:rsidRPr="001F665B" w:rsidRDefault="001F665B" w:rsidP="00015E3B">
      <w:pPr>
        <w:pStyle w:val="a9"/>
        <w:numPr>
          <w:ilvl w:val="0"/>
          <w:numId w:val="9"/>
        </w:numPr>
        <w:tabs>
          <w:tab w:val="left" w:pos="1480"/>
        </w:tabs>
        <w:rPr>
          <w:rFonts w:ascii="Times New Roman" w:hAnsi="Times New Roman" w:cs="Times New Roman"/>
          <w:color w:val="000000" w:themeColor="text1"/>
          <w:lang w:val="uk-UA"/>
        </w:rPr>
      </w:pPr>
      <w:r w:rsidRPr="001F665B">
        <w:rPr>
          <w:rFonts w:ascii="Times New Roman" w:hAnsi="Times New Roman" w:cs="Times New Roman"/>
          <w:color w:val="000000" w:themeColor="text1"/>
          <w:lang w:val="uk-UA"/>
        </w:rPr>
        <w:t>Софосбувір/ледіпасвір</w:t>
      </w:r>
    </w:p>
    <w:p w14:paraId="074B9515" w14:textId="64BABE78" w:rsidR="001F665B" w:rsidRPr="001F665B" w:rsidRDefault="001F665B" w:rsidP="00015E3B">
      <w:pPr>
        <w:pStyle w:val="a9"/>
        <w:numPr>
          <w:ilvl w:val="0"/>
          <w:numId w:val="9"/>
        </w:numPr>
        <w:tabs>
          <w:tab w:val="left" w:pos="1480"/>
        </w:tabs>
        <w:rPr>
          <w:rFonts w:ascii="Times New Roman" w:hAnsi="Times New Roman" w:cs="Times New Roman"/>
          <w:color w:val="000000" w:themeColor="text1"/>
          <w:lang w:val="uk-UA"/>
        </w:rPr>
      </w:pPr>
      <w:r w:rsidRPr="001F665B">
        <w:rPr>
          <w:rFonts w:ascii="Times New Roman" w:hAnsi="Times New Roman" w:cs="Times New Roman"/>
          <w:color w:val="000000" w:themeColor="text1"/>
          <w:lang w:val="uk-UA"/>
        </w:rPr>
        <w:t>Гразопревір/</w:t>
      </w:r>
      <w:r w:rsidR="003C7A27" w:rsidRPr="001F665B">
        <w:rPr>
          <w:rFonts w:ascii="Times New Roman" w:hAnsi="Times New Roman" w:cs="Times New Roman"/>
          <w:color w:val="000000" w:themeColor="text1"/>
          <w:lang w:val="uk-UA"/>
        </w:rPr>
        <w:t>ельба</w:t>
      </w:r>
      <w:r w:rsidRPr="001F665B">
        <w:rPr>
          <w:rFonts w:ascii="Times New Roman" w:hAnsi="Times New Roman" w:cs="Times New Roman"/>
          <w:color w:val="000000" w:themeColor="text1"/>
          <w:lang w:val="uk-UA"/>
        </w:rPr>
        <w:t>свір</w:t>
      </w:r>
      <w:r w:rsidR="003C7A27" w:rsidRPr="001F665B">
        <w:rPr>
          <w:rFonts w:ascii="Times New Roman" w:hAnsi="Times New Roman" w:cs="Times New Roman"/>
          <w:color w:val="000000" w:themeColor="text1"/>
          <w:lang w:val="uk-UA"/>
        </w:rPr>
        <w:t xml:space="preserve"> </w:t>
      </w:r>
    </w:p>
    <w:p w14:paraId="53164AF7" w14:textId="6CAC95D3" w:rsidR="00140E16" w:rsidRDefault="001F665B" w:rsidP="00015E3B">
      <w:pPr>
        <w:pStyle w:val="a9"/>
        <w:numPr>
          <w:ilvl w:val="0"/>
          <w:numId w:val="9"/>
        </w:numPr>
        <w:tabs>
          <w:tab w:val="left" w:pos="1480"/>
        </w:tabs>
        <w:rPr>
          <w:rFonts w:ascii="Times New Roman" w:hAnsi="Times New Roman" w:cs="Times New Roman"/>
          <w:color w:val="000000" w:themeColor="text1"/>
          <w:lang w:val="uk-UA"/>
        </w:rPr>
      </w:pPr>
      <w:r w:rsidRPr="001F665B">
        <w:rPr>
          <w:rFonts w:ascii="Times New Roman" w:hAnsi="Times New Roman" w:cs="Times New Roman"/>
          <w:color w:val="000000" w:themeColor="text1"/>
          <w:lang w:val="uk-UA"/>
        </w:rPr>
        <w:t>Омбітасвір/</w:t>
      </w:r>
      <w:r w:rsidR="00E76D74">
        <w:rPr>
          <w:rFonts w:ascii="Times New Roman" w:hAnsi="Times New Roman" w:cs="Times New Roman"/>
          <w:color w:val="000000" w:themeColor="text1"/>
          <w:lang w:val="uk-UA"/>
        </w:rPr>
        <w:t>паритапревір</w:t>
      </w:r>
      <w:r w:rsidRPr="001F665B">
        <w:rPr>
          <w:rFonts w:ascii="Times New Roman" w:hAnsi="Times New Roman" w:cs="Times New Roman"/>
          <w:color w:val="000000" w:themeColor="text1"/>
          <w:lang w:val="uk-UA"/>
        </w:rPr>
        <w:t>/</w:t>
      </w:r>
      <w:r w:rsidR="003C7A27" w:rsidRPr="001F665B">
        <w:rPr>
          <w:rFonts w:ascii="Times New Roman" w:hAnsi="Times New Roman" w:cs="Times New Roman"/>
          <w:color w:val="000000" w:themeColor="text1"/>
          <w:lang w:val="uk-UA"/>
        </w:rPr>
        <w:t>ритонавір і да</w:t>
      </w:r>
      <w:r w:rsidR="00316F1C">
        <w:rPr>
          <w:rFonts w:ascii="Times New Roman" w:hAnsi="Times New Roman" w:cs="Times New Roman"/>
          <w:color w:val="000000" w:themeColor="text1"/>
          <w:lang w:val="uk-UA"/>
        </w:rPr>
        <w:t>с</w:t>
      </w:r>
      <w:r w:rsidR="003C7A27" w:rsidRPr="001F665B">
        <w:rPr>
          <w:rFonts w:ascii="Times New Roman" w:hAnsi="Times New Roman" w:cs="Times New Roman"/>
          <w:color w:val="000000" w:themeColor="text1"/>
          <w:lang w:val="uk-UA"/>
        </w:rPr>
        <w:t>абуві</w:t>
      </w:r>
      <w:r w:rsidRPr="001F665B">
        <w:rPr>
          <w:rFonts w:ascii="Times New Roman" w:hAnsi="Times New Roman" w:cs="Times New Roman"/>
          <w:color w:val="000000" w:themeColor="text1"/>
          <w:lang w:val="uk-UA"/>
        </w:rPr>
        <w:t>р</w:t>
      </w:r>
    </w:p>
    <w:p w14:paraId="50ABF6A7" w14:textId="77777777" w:rsidR="001F665B" w:rsidRDefault="001F665B" w:rsidP="001F665B">
      <w:pPr>
        <w:tabs>
          <w:tab w:val="left" w:pos="1480"/>
        </w:tabs>
        <w:rPr>
          <w:rFonts w:ascii="Times New Roman" w:hAnsi="Times New Roman" w:cs="Times New Roman"/>
          <w:color w:val="000000" w:themeColor="text1"/>
          <w:lang w:val="uk-UA"/>
        </w:rPr>
      </w:pPr>
    </w:p>
    <w:p w14:paraId="2C753DB4" w14:textId="77777777" w:rsidR="001F665B" w:rsidRDefault="001F665B" w:rsidP="001F665B">
      <w:pPr>
        <w:tabs>
          <w:tab w:val="left" w:pos="1480"/>
        </w:tabs>
        <w:rPr>
          <w:rFonts w:ascii="Times New Roman" w:hAnsi="Times New Roman" w:cs="Times New Roman"/>
          <w:color w:val="000000" w:themeColor="text1"/>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F665B" w:rsidRPr="0080595E" w14:paraId="1656CE53" w14:textId="77777777" w:rsidTr="00316F1C">
        <w:trPr>
          <w:trHeight w:val="4525"/>
        </w:trPr>
        <w:tc>
          <w:tcPr>
            <w:tcW w:w="9639" w:type="dxa"/>
            <w:shd w:val="clear" w:color="auto" w:fill="BDD6EE" w:themeFill="accent1" w:themeFillTint="66"/>
          </w:tcPr>
          <w:p w14:paraId="1DCCA9B5" w14:textId="77777777" w:rsidR="001F665B" w:rsidRDefault="001F665B" w:rsidP="001F665B">
            <w:pPr>
              <w:tabs>
                <w:tab w:val="left" w:pos="1480"/>
              </w:tabs>
              <w:rPr>
                <w:rFonts w:ascii="Times New Roman" w:hAnsi="Times New Roman" w:cs="Times New Roman"/>
                <w:b/>
                <w:color w:val="4472C4" w:themeColor="accent5"/>
                <w:lang w:val="uk-UA"/>
              </w:rPr>
            </w:pPr>
            <w:r w:rsidRPr="001F665B">
              <w:rPr>
                <w:rFonts w:ascii="Times New Roman" w:hAnsi="Times New Roman" w:cs="Times New Roman"/>
                <w:b/>
                <w:color w:val="4472C4" w:themeColor="accent5"/>
                <w:lang w:val="uk-UA"/>
              </w:rPr>
              <w:t>Рекомендації</w:t>
            </w:r>
          </w:p>
          <w:p w14:paraId="2131169F" w14:textId="77777777" w:rsidR="001F665B" w:rsidRPr="001F665B" w:rsidRDefault="001F665B" w:rsidP="001F665B">
            <w:pPr>
              <w:tabs>
                <w:tab w:val="left" w:pos="1480"/>
              </w:tabs>
              <w:rPr>
                <w:rFonts w:ascii="Times New Roman" w:hAnsi="Times New Roman" w:cs="Times New Roman"/>
                <w:b/>
                <w:color w:val="4472C4" w:themeColor="accent5"/>
                <w:lang w:val="uk-UA"/>
              </w:rPr>
            </w:pPr>
          </w:p>
          <w:p w14:paraId="4F974006" w14:textId="2CCA7480" w:rsidR="001F665B" w:rsidRPr="001F665B" w:rsidRDefault="001F665B" w:rsidP="001F665B">
            <w:pPr>
              <w:tabs>
                <w:tab w:val="left" w:pos="1480"/>
              </w:tabs>
              <w:rPr>
                <w:rFonts w:ascii="Times New Roman" w:hAnsi="Times New Roman" w:cs="Times New Roman"/>
                <w:color w:val="000000" w:themeColor="text1"/>
                <w:lang w:val="uk-UA"/>
              </w:rPr>
            </w:pPr>
            <w:r w:rsidRPr="001F665B">
              <w:rPr>
                <w:rFonts w:ascii="Times New Roman" w:hAnsi="Times New Roman" w:cs="Times New Roman"/>
                <w:color w:val="000000" w:themeColor="text1"/>
                <w:lang w:val="uk-UA"/>
              </w:rPr>
              <w:t>Наступні схеми рекомендовані для лікування пацієнтів, інфікованих генотипом 1b відповідно до рекомендацій нижче (A1):</w:t>
            </w:r>
          </w:p>
          <w:p w14:paraId="5FB346D3" w14:textId="3184CDF2" w:rsidR="001F665B" w:rsidRPr="001F665B" w:rsidRDefault="001F665B" w:rsidP="00015E3B">
            <w:pPr>
              <w:pStyle w:val="a9"/>
              <w:numPr>
                <w:ilvl w:val="0"/>
                <w:numId w:val="10"/>
              </w:numPr>
              <w:tabs>
                <w:tab w:val="left" w:pos="1480"/>
              </w:tabs>
              <w:rPr>
                <w:rFonts w:ascii="Times New Roman" w:hAnsi="Times New Roman" w:cs="Times New Roman"/>
                <w:color w:val="000000" w:themeColor="text1"/>
                <w:lang w:val="uk-UA"/>
              </w:rPr>
            </w:pPr>
            <w:r w:rsidRPr="001F665B">
              <w:rPr>
                <w:rFonts w:ascii="Times New Roman" w:hAnsi="Times New Roman" w:cs="Times New Roman"/>
                <w:color w:val="000000" w:themeColor="text1"/>
                <w:lang w:val="uk-UA"/>
              </w:rPr>
              <w:t>фіксована доза комбінації софосбувіру (400 мг)</w:t>
            </w:r>
            <w:r>
              <w:rPr>
                <w:rFonts w:ascii="Times New Roman" w:hAnsi="Times New Roman" w:cs="Times New Roman"/>
                <w:color w:val="000000" w:themeColor="text1"/>
                <w:lang w:val="uk-UA"/>
              </w:rPr>
              <w:t xml:space="preserve"> </w:t>
            </w:r>
            <w:r w:rsidRPr="001F665B">
              <w:rPr>
                <w:rFonts w:ascii="Times New Roman" w:hAnsi="Times New Roman" w:cs="Times New Roman"/>
                <w:color w:val="000000" w:themeColor="text1"/>
                <w:lang w:val="uk-UA"/>
              </w:rPr>
              <w:t>і в</w:t>
            </w:r>
            <w:r w:rsidR="00316F1C">
              <w:rPr>
                <w:rFonts w:ascii="Times New Roman" w:hAnsi="Times New Roman" w:cs="Times New Roman"/>
                <w:color w:val="000000" w:themeColor="text1"/>
                <w:lang w:val="uk-UA"/>
              </w:rPr>
              <w:t>е</w:t>
            </w:r>
            <w:r w:rsidRPr="001F665B">
              <w:rPr>
                <w:rFonts w:ascii="Times New Roman" w:hAnsi="Times New Roman" w:cs="Times New Roman"/>
                <w:color w:val="000000" w:themeColor="text1"/>
                <w:lang w:val="uk-UA"/>
              </w:rPr>
              <w:t>лпатасвір</w:t>
            </w:r>
            <w:r>
              <w:rPr>
                <w:rFonts w:ascii="Times New Roman" w:hAnsi="Times New Roman" w:cs="Times New Roman"/>
                <w:color w:val="000000" w:themeColor="text1"/>
                <w:lang w:val="uk-UA"/>
              </w:rPr>
              <w:t>у</w:t>
            </w:r>
            <w:r w:rsidRPr="001F665B">
              <w:rPr>
                <w:rFonts w:ascii="Times New Roman" w:hAnsi="Times New Roman" w:cs="Times New Roman"/>
                <w:color w:val="000000" w:themeColor="text1"/>
                <w:lang w:val="uk-UA"/>
              </w:rPr>
              <w:t xml:space="preserve"> (100 мг) в одній таблетці, </w:t>
            </w:r>
            <w:r w:rsidR="00316F1C">
              <w:rPr>
                <w:rFonts w:ascii="Times New Roman" w:hAnsi="Times New Roman" w:cs="Times New Roman"/>
                <w:color w:val="000000" w:themeColor="text1"/>
                <w:lang w:val="uk-UA"/>
              </w:rPr>
              <w:t>що приймається</w:t>
            </w:r>
            <w:r w:rsidRPr="001F665B">
              <w:rPr>
                <w:rFonts w:ascii="Times New Roman" w:hAnsi="Times New Roman" w:cs="Times New Roman"/>
                <w:color w:val="000000" w:themeColor="text1"/>
                <w:lang w:val="uk-UA"/>
              </w:rPr>
              <w:t xml:space="preserve"> один раз на добу;</w:t>
            </w:r>
          </w:p>
          <w:p w14:paraId="7BB101E9" w14:textId="786C6511" w:rsidR="001F665B" w:rsidRPr="001F665B" w:rsidRDefault="001F665B" w:rsidP="00015E3B">
            <w:pPr>
              <w:pStyle w:val="a9"/>
              <w:numPr>
                <w:ilvl w:val="0"/>
                <w:numId w:val="10"/>
              </w:numPr>
              <w:tabs>
                <w:tab w:val="left" w:pos="1480"/>
              </w:tabs>
              <w:rPr>
                <w:rFonts w:ascii="Times New Roman" w:hAnsi="Times New Roman" w:cs="Times New Roman"/>
                <w:color w:val="000000" w:themeColor="text1"/>
                <w:lang w:val="uk-UA"/>
              </w:rPr>
            </w:pPr>
            <w:r w:rsidRPr="001F665B">
              <w:rPr>
                <w:rFonts w:ascii="Times New Roman" w:hAnsi="Times New Roman" w:cs="Times New Roman"/>
                <w:color w:val="000000" w:themeColor="text1"/>
                <w:lang w:val="uk-UA"/>
              </w:rPr>
              <w:t>комбінація з фіксованою дозою глікапревіру (300 мг) та пібраставіру (120 мг) у трьох таблетках, що містять 100 мг глікапревіру та 40 мг пі</w:t>
            </w:r>
            <w:r>
              <w:rPr>
                <w:rFonts w:ascii="Times New Roman" w:hAnsi="Times New Roman" w:cs="Times New Roman"/>
                <w:color w:val="000000" w:themeColor="text1"/>
                <w:lang w:val="uk-UA"/>
              </w:rPr>
              <w:t>б</w:t>
            </w:r>
            <w:r w:rsidRPr="001F665B">
              <w:rPr>
                <w:rFonts w:ascii="Times New Roman" w:hAnsi="Times New Roman" w:cs="Times New Roman"/>
                <w:color w:val="000000" w:themeColor="text1"/>
                <w:lang w:val="uk-UA"/>
              </w:rPr>
              <w:t xml:space="preserve">ренставіру, що </w:t>
            </w:r>
            <w:r w:rsidR="00316F1C">
              <w:rPr>
                <w:rFonts w:ascii="Times New Roman" w:hAnsi="Times New Roman" w:cs="Times New Roman"/>
                <w:color w:val="000000" w:themeColor="text1"/>
                <w:lang w:val="uk-UA"/>
              </w:rPr>
              <w:t>приймається</w:t>
            </w:r>
            <w:r w:rsidRPr="001F665B">
              <w:rPr>
                <w:rFonts w:ascii="Times New Roman" w:hAnsi="Times New Roman" w:cs="Times New Roman"/>
                <w:color w:val="000000" w:themeColor="text1"/>
                <w:lang w:val="uk-UA"/>
              </w:rPr>
              <w:t xml:space="preserve"> один раз на добу з їжею;</w:t>
            </w:r>
          </w:p>
          <w:p w14:paraId="50A3521C" w14:textId="4590700A" w:rsidR="001F665B" w:rsidRPr="001F665B" w:rsidRDefault="001F665B" w:rsidP="00015E3B">
            <w:pPr>
              <w:pStyle w:val="a9"/>
              <w:numPr>
                <w:ilvl w:val="0"/>
                <w:numId w:val="10"/>
              </w:numPr>
              <w:tabs>
                <w:tab w:val="left" w:pos="1480"/>
              </w:tabs>
              <w:rPr>
                <w:rFonts w:ascii="Times New Roman" w:hAnsi="Times New Roman" w:cs="Times New Roman"/>
                <w:color w:val="000000" w:themeColor="text1"/>
                <w:lang w:val="uk-UA"/>
              </w:rPr>
            </w:pPr>
            <w:r w:rsidRPr="001F665B">
              <w:rPr>
                <w:rFonts w:ascii="Times New Roman" w:hAnsi="Times New Roman" w:cs="Times New Roman"/>
                <w:color w:val="000000" w:themeColor="text1"/>
                <w:lang w:val="uk-UA"/>
              </w:rPr>
              <w:t>фіксована доза комб</w:t>
            </w:r>
            <w:r>
              <w:rPr>
                <w:rFonts w:ascii="Times New Roman" w:hAnsi="Times New Roman" w:cs="Times New Roman"/>
                <w:color w:val="000000" w:themeColor="text1"/>
                <w:lang w:val="uk-UA"/>
              </w:rPr>
              <w:t>інації софосбувіру (400 мг) і ле</w:t>
            </w:r>
            <w:r w:rsidRPr="001F665B">
              <w:rPr>
                <w:rFonts w:ascii="Times New Roman" w:hAnsi="Times New Roman" w:cs="Times New Roman"/>
                <w:color w:val="000000" w:themeColor="text1"/>
                <w:lang w:val="uk-UA"/>
              </w:rPr>
              <w:t xml:space="preserve">діпасвіру (90 мг) в одній таблетці, що </w:t>
            </w:r>
            <w:r w:rsidR="00316F1C">
              <w:rPr>
                <w:rFonts w:ascii="Times New Roman" w:hAnsi="Times New Roman" w:cs="Times New Roman"/>
                <w:color w:val="000000" w:themeColor="text1"/>
                <w:lang w:val="uk-UA"/>
              </w:rPr>
              <w:t>приймається</w:t>
            </w:r>
            <w:r w:rsidRPr="001F665B">
              <w:rPr>
                <w:rFonts w:ascii="Times New Roman" w:hAnsi="Times New Roman" w:cs="Times New Roman"/>
                <w:color w:val="000000" w:themeColor="text1"/>
                <w:lang w:val="uk-UA"/>
              </w:rPr>
              <w:t xml:space="preserve"> один раз на день;</w:t>
            </w:r>
          </w:p>
          <w:p w14:paraId="2491EFCA" w14:textId="0F6A8961" w:rsidR="001F665B" w:rsidRPr="001F665B" w:rsidRDefault="001F665B" w:rsidP="00015E3B">
            <w:pPr>
              <w:pStyle w:val="a9"/>
              <w:numPr>
                <w:ilvl w:val="0"/>
                <w:numId w:val="10"/>
              </w:numPr>
              <w:tabs>
                <w:tab w:val="left" w:pos="1480"/>
              </w:tabs>
              <w:rPr>
                <w:rFonts w:ascii="Times New Roman" w:hAnsi="Times New Roman" w:cs="Times New Roman"/>
                <w:color w:val="000000" w:themeColor="text1"/>
                <w:lang w:val="uk-UA"/>
              </w:rPr>
            </w:pPr>
            <w:r w:rsidRPr="001F665B">
              <w:rPr>
                <w:rFonts w:ascii="Times New Roman" w:hAnsi="Times New Roman" w:cs="Times New Roman"/>
                <w:color w:val="000000" w:themeColor="text1"/>
                <w:lang w:val="uk-UA"/>
              </w:rPr>
              <w:t>фіксована доза комбінації гразопревіру (100 мг) та ельба</w:t>
            </w:r>
            <w:r>
              <w:rPr>
                <w:rFonts w:ascii="Times New Roman" w:hAnsi="Times New Roman" w:cs="Times New Roman"/>
                <w:color w:val="000000" w:themeColor="text1"/>
                <w:lang w:val="uk-UA"/>
              </w:rPr>
              <w:t>с</w:t>
            </w:r>
            <w:r w:rsidRPr="001F665B">
              <w:rPr>
                <w:rFonts w:ascii="Times New Roman" w:hAnsi="Times New Roman" w:cs="Times New Roman"/>
                <w:color w:val="000000" w:themeColor="text1"/>
                <w:lang w:val="uk-UA"/>
              </w:rPr>
              <w:t xml:space="preserve">віру (50 мг) в одній таблетці, що </w:t>
            </w:r>
            <w:r w:rsidR="00316F1C">
              <w:rPr>
                <w:rFonts w:ascii="Times New Roman" w:hAnsi="Times New Roman" w:cs="Times New Roman"/>
                <w:color w:val="000000" w:themeColor="text1"/>
                <w:lang w:val="uk-UA"/>
              </w:rPr>
              <w:t>приймається</w:t>
            </w:r>
            <w:r w:rsidRPr="001F665B">
              <w:rPr>
                <w:rFonts w:ascii="Times New Roman" w:hAnsi="Times New Roman" w:cs="Times New Roman"/>
                <w:color w:val="000000" w:themeColor="text1"/>
                <w:lang w:val="uk-UA"/>
              </w:rPr>
              <w:t xml:space="preserve"> один раз на добу;</w:t>
            </w:r>
          </w:p>
          <w:p w14:paraId="340A9DDC" w14:textId="7B7F69E4" w:rsidR="001F665B" w:rsidRPr="00316F1C" w:rsidRDefault="001F665B" w:rsidP="00015E3B">
            <w:pPr>
              <w:pStyle w:val="a9"/>
              <w:numPr>
                <w:ilvl w:val="0"/>
                <w:numId w:val="10"/>
              </w:numPr>
              <w:tabs>
                <w:tab w:val="left" w:pos="1480"/>
              </w:tabs>
              <w:rPr>
                <w:rFonts w:ascii="Times New Roman" w:hAnsi="Times New Roman" w:cs="Times New Roman"/>
                <w:color w:val="000000" w:themeColor="text1"/>
                <w:lang w:val="uk-UA"/>
              </w:rPr>
            </w:pPr>
            <w:r w:rsidRPr="001F665B">
              <w:rPr>
                <w:rFonts w:ascii="Times New Roman" w:hAnsi="Times New Roman" w:cs="Times New Roman"/>
                <w:color w:val="000000" w:themeColor="text1"/>
                <w:lang w:val="uk-UA"/>
              </w:rPr>
              <w:t>фіксована доза омбіта</w:t>
            </w:r>
            <w:r>
              <w:rPr>
                <w:rFonts w:ascii="Times New Roman" w:hAnsi="Times New Roman" w:cs="Times New Roman"/>
                <w:color w:val="000000" w:themeColor="text1"/>
                <w:lang w:val="uk-UA"/>
              </w:rPr>
              <w:t xml:space="preserve">свіру (12,5 мг), </w:t>
            </w:r>
            <w:r w:rsidR="00E76D74">
              <w:rPr>
                <w:rFonts w:ascii="Times New Roman" w:hAnsi="Times New Roman" w:cs="Times New Roman"/>
                <w:color w:val="000000" w:themeColor="text1"/>
                <w:lang w:val="uk-UA"/>
              </w:rPr>
              <w:t>паритапревір</w:t>
            </w:r>
            <w:r w:rsidRPr="001F665B">
              <w:rPr>
                <w:rFonts w:ascii="Times New Roman" w:hAnsi="Times New Roman" w:cs="Times New Roman"/>
                <w:color w:val="000000" w:themeColor="text1"/>
                <w:lang w:val="uk-UA"/>
              </w:rPr>
              <w:t xml:space="preserve">у (75 мг) та </w:t>
            </w:r>
            <w:r>
              <w:rPr>
                <w:rFonts w:ascii="Times New Roman" w:hAnsi="Times New Roman" w:cs="Times New Roman"/>
                <w:color w:val="000000" w:themeColor="text1"/>
                <w:lang w:val="uk-UA"/>
              </w:rPr>
              <w:t xml:space="preserve">ритонавіру (50 мг) у одній </w:t>
            </w:r>
            <w:r w:rsidRPr="001F665B">
              <w:rPr>
                <w:rFonts w:ascii="Times New Roman" w:hAnsi="Times New Roman" w:cs="Times New Roman"/>
                <w:color w:val="000000" w:themeColor="text1"/>
                <w:lang w:val="uk-UA"/>
              </w:rPr>
              <w:t xml:space="preserve">таблетці (дві таблетки один раз на добу з їжею) та </w:t>
            </w:r>
            <w:r w:rsidR="00E76D74">
              <w:rPr>
                <w:rFonts w:ascii="Times New Roman" w:hAnsi="Times New Roman" w:cs="Times New Roman"/>
                <w:color w:val="000000" w:themeColor="text1"/>
                <w:lang w:val="uk-UA"/>
              </w:rPr>
              <w:t>дасабувір</w:t>
            </w:r>
            <w:r w:rsidRPr="001F665B">
              <w:rPr>
                <w:rFonts w:ascii="Times New Roman" w:hAnsi="Times New Roman" w:cs="Times New Roman"/>
                <w:color w:val="000000" w:themeColor="text1"/>
                <w:lang w:val="uk-UA"/>
              </w:rPr>
              <w:t>у (250 мг) (по одній таблетці двічі на день )</w:t>
            </w:r>
          </w:p>
        </w:tc>
      </w:tr>
    </w:tbl>
    <w:p w14:paraId="5823B591" w14:textId="77777777" w:rsidR="001F665B" w:rsidRPr="001F665B" w:rsidRDefault="001F665B" w:rsidP="001F665B">
      <w:pPr>
        <w:tabs>
          <w:tab w:val="left" w:pos="1480"/>
        </w:tabs>
        <w:rPr>
          <w:rFonts w:ascii="Times New Roman" w:hAnsi="Times New Roman" w:cs="Times New Roman"/>
          <w:color w:val="000000" w:themeColor="text1"/>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62E5C" w:rsidRPr="0080595E" w14:paraId="108F10E3" w14:textId="77777777" w:rsidTr="00316F1C">
        <w:trPr>
          <w:trHeight w:val="1435"/>
        </w:trPr>
        <w:tc>
          <w:tcPr>
            <w:tcW w:w="9639" w:type="dxa"/>
            <w:shd w:val="clear" w:color="auto" w:fill="BDD6EE" w:themeFill="accent1" w:themeFillTint="66"/>
          </w:tcPr>
          <w:p w14:paraId="15A221A1" w14:textId="4D5ABD0E" w:rsidR="00603D04" w:rsidRPr="008A3473" w:rsidRDefault="00603D04" w:rsidP="00603D04">
            <w:pPr>
              <w:tabs>
                <w:tab w:val="left" w:pos="1089"/>
              </w:tabs>
              <w:rPr>
                <w:rFonts w:ascii="Times New Roman" w:hAnsi="Times New Roman" w:cs="Times New Roman"/>
                <w:b/>
                <w:i/>
                <w:lang w:val="uk-UA"/>
              </w:rPr>
            </w:pPr>
            <w:r w:rsidRPr="008A3473">
              <w:rPr>
                <w:rFonts w:ascii="Times New Roman" w:hAnsi="Times New Roman" w:cs="Times New Roman"/>
                <w:b/>
                <w:i/>
                <w:lang w:val="uk-UA"/>
              </w:rPr>
              <w:lastRenderedPageBreak/>
              <w:t>Генотип 1b, Пангенотип</w:t>
            </w:r>
            <w:r w:rsidR="008A3473" w:rsidRPr="008A3473">
              <w:rPr>
                <w:rFonts w:ascii="Times New Roman" w:hAnsi="Times New Roman" w:cs="Times New Roman"/>
                <w:b/>
                <w:i/>
                <w:lang w:val="uk-UA"/>
              </w:rPr>
              <w:t>на схема</w:t>
            </w:r>
            <w:r w:rsidRPr="008A3473">
              <w:rPr>
                <w:rFonts w:ascii="Times New Roman" w:hAnsi="Times New Roman" w:cs="Times New Roman"/>
                <w:b/>
                <w:i/>
                <w:lang w:val="uk-UA"/>
              </w:rPr>
              <w:t xml:space="preserve">: </w:t>
            </w:r>
            <w:r w:rsidR="008A50B6" w:rsidRPr="008A3473">
              <w:rPr>
                <w:rFonts w:ascii="Times New Roman" w:hAnsi="Times New Roman" w:cs="Times New Roman"/>
                <w:b/>
                <w:i/>
                <w:lang w:val="uk-UA"/>
              </w:rPr>
              <w:t>с</w:t>
            </w:r>
            <w:r w:rsidRPr="008A3473">
              <w:rPr>
                <w:rFonts w:ascii="Times New Roman" w:hAnsi="Times New Roman" w:cs="Times New Roman"/>
                <w:b/>
                <w:i/>
                <w:lang w:val="uk-UA"/>
              </w:rPr>
              <w:t>офосбувір/</w:t>
            </w:r>
            <w:r w:rsidR="008A50B6" w:rsidRPr="008A3473">
              <w:rPr>
                <w:rFonts w:ascii="Times New Roman" w:hAnsi="Times New Roman" w:cs="Times New Roman"/>
                <w:b/>
                <w:i/>
                <w:lang w:val="uk-UA"/>
              </w:rPr>
              <w:t>велпатасвір</w:t>
            </w:r>
          </w:p>
          <w:p w14:paraId="0163CFA8" w14:textId="77777777" w:rsidR="00603D04" w:rsidRPr="00603D04" w:rsidRDefault="00603D04" w:rsidP="00603D04">
            <w:pPr>
              <w:tabs>
                <w:tab w:val="left" w:pos="1089"/>
              </w:tabs>
              <w:rPr>
                <w:rFonts w:ascii="Times New Roman" w:hAnsi="Times New Roman" w:cs="Times New Roman"/>
                <w:color w:val="000000" w:themeColor="text1"/>
                <w:lang w:val="uk-UA"/>
              </w:rPr>
            </w:pPr>
          </w:p>
          <w:p w14:paraId="74F5B0DD" w14:textId="32E3E531" w:rsidR="00362E5C" w:rsidRPr="00603D04" w:rsidRDefault="00603D04" w:rsidP="00015E3B">
            <w:pPr>
              <w:pStyle w:val="a9"/>
              <w:numPr>
                <w:ilvl w:val="0"/>
                <w:numId w:val="11"/>
              </w:numPr>
              <w:tabs>
                <w:tab w:val="left" w:pos="1089"/>
              </w:tabs>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“Наївні” та </w:t>
            </w:r>
            <w:r w:rsidRPr="00E109B8">
              <w:rPr>
                <w:rFonts w:ascii="Times New Roman" w:hAnsi="Times New Roman" w:cs="Times New Roman"/>
                <w:color w:val="000000" w:themeColor="text1"/>
                <w:lang w:val="uk-UA"/>
              </w:rPr>
              <w:t>пацієнти</w:t>
            </w:r>
            <w:r w:rsidR="00652F9A">
              <w:rPr>
                <w:rFonts w:ascii="Times New Roman" w:hAnsi="Times New Roman" w:cs="Times New Roman"/>
                <w:color w:val="000000" w:themeColor="text1"/>
                <w:lang w:val="uk-UA"/>
              </w:rPr>
              <w:t xml:space="preserve"> з досвідом лікування</w:t>
            </w:r>
            <w:r w:rsidRPr="00603D04">
              <w:rPr>
                <w:rFonts w:ascii="Times New Roman" w:hAnsi="Times New Roman" w:cs="Times New Roman"/>
                <w:color w:val="000000" w:themeColor="text1"/>
                <w:lang w:val="uk-UA"/>
              </w:rPr>
              <w:t>, інфіковані генотипом 1b, без цирозу або з комп</w:t>
            </w:r>
            <w:r>
              <w:rPr>
                <w:rFonts w:ascii="Times New Roman" w:hAnsi="Times New Roman" w:cs="Times New Roman"/>
                <w:color w:val="000000" w:themeColor="text1"/>
                <w:lang w:val="uk-UA"/>
              </w:rPr>
              <w:t>енсованим (Child</w:t>
            </w:r>
            <w:r w:rsidR="00FC6D8A">
              <w:rPr>
                <w:rFonts w:ascii="Times New Roman" w:hAnsi="Times New Roman" w:cs="Times New Roman"/>
                <w:color w:val="000000" w:themeColor="text1"/>
                <w:lang w:val="uk-UA"/>
              </w:rPr>
              <w:t>–</w:t>
            </w:r>
            <w:r>
              <w:rPr>
                <w:rFonts w:ascii="Times New Roman" w:hAnsi="Times New Roman" w:cs="Times New Roman"/>
                <w:color w:val="000000" w:themeColor="text1"/>
                <w:lang w:val="uk-UA"/>
              </w:rPr>
              <w:t>Pugh A) цирозом, повинні приймати фіксовану дозу</w:t>
            </w:r>
            <w:r w:rsidRPr="00603D04">
              <w:rPr>
                <w:rFonts w:ascii="Times New Roman" w:hAnsi="Times New Roman" w:cs="Times New Roman"/>
                <w:color w:val="000000" w:themeColor="text1"/>
                <w:lang w:val="uk-UA"/>
              </w:rPr>
              <w:t xml:space="preserve"> комбінації софосбувіру та велатасвіру протягом 12 тижнів (A1).</w:t>
            </w:r>
          </w:p>
        </w:tc>
      </w:tr>
    </w:tbl>
    <w:p w14:paraId="4CF4ADEB" w14:textId="75596983" w:rsidR="00F72A65" w:rsidRDefault="00F72A65" w:rsidP="00603D04">
      <w:pPr>
        <w:tabs>
          <w:tab w:val="left" w:pos="1089"/>
        </w:tabs>
        <w:ind w:firstLine="708"/>
        <w:rPr>
          <w:rFonts w:ascii="Times New Roman" w:hAnsi="Times New Roman" w:cs="Times New Roman"/>
          <w:color w:val="000000" w:themeColor="text1"/>
          <w:lang w:val="uk-UA"/>
        </w:rPr>
      </w:pPr>
    </w:p>
    <w:p w14:paraId="62E292DF" w14:textId="29C5DE89" w:rsidR="00603D04" w:rsidRDefault="00603D04" w:rsidP="00F53078">
      <w:pPr>
        <w:tabs>
          <w:tab w:val="left" w:pos="1089"/>
        </w:tabs>
        <w:jc w:val="both"/>
        <w:rPr>
          <w:rFonts w:ascii="Times New Roman" w:hAnsi="Times New Roman" w:cs="Times New Roman"/>
          <w:color w:val="000000" w:themeColor="text1"/>
          <w:vertAlign w:val="superscript"/>
          <w:lang w:val="uk-UA"/>
        </w:rPr>
      </w:pPr>
      <w:r w:rsidRPr="00603D04">
        <w:rPr>
          <w:rFonts w:ascii="Times New Roman" w:hAnsi="Times New Roman" w:cs="Times New Roman"/>
          <w:color w:val="000000" w:themeColor="text1"/>
          <w:lang w:val="uk-UA"/>
        </w:rPr>
        <w:t>Коментарі: Ця рекомендація базу</w:t>
      </w:r>
      <w:r w:rsidR="00C81DAC">
        <w:rPr>
          <w:rFonts w:ascii="Times New Roman" w:hAnsi="Times New Roman" w:cs="Times New Roman"/>
          <w:color w:val="000000" w:themeColor="text1"/>
          <w:lang w:val="uk-UA"/>
        </w:rPr>
        <w:t xml:space="preserve">ється на результатах </w:t>
      </w:r>
      <w:r w:rsidR="0013605C">
        <w:rPr>
          <w:rFonts w:ascii="Times New Roman" w:hAnsi="Times New Roman" w:cs="Times New Roman"/>
          <w:color w:val="000000" w:themeColor="text1"/>
          <w:lang w:val="uk-UA"/>
        </w:rPr>
        <w:t>ІІІ фази дослідження</w:t>
      </w:r>
      <w:r w:rsidRPr="00603D04">
        <w:rPr>
          <w:rFonts w:ascii="Times New Roman" w:hAnsi="Times New Roman" w:cs="Times New Roman"/>
          <w:color w:val="000000" w:themeColor="text1"/>
          <w:lang w:val="uk-UA"/>
        </w:rPr>
        <w:t xml:space="preserve"> ASTRAL</w:t>
      </w:r>
      <w:r>
        <w:rPr>
          <w:rFonts w:ascii="Times New Roman" w:hAnsi="Times New Roman" w:cs="Times New Roman"/>
          <w:color w:val="000000" w:themeColor="text1"/>
          <w:lang w:val="uk-UA"/>
        </w:rPr>
        <w:t xml:space="preserve"> </w:t>
      </w:r>
      <w:r w:rsidR="00FC6D8A">
        <w:rPr>
          <w:rFonts w:ascii="Times New Roman" w:hAnsi="Times New Roman" w:cs="Times New Roman"/>
          <w:color w:val="000000" w:themeColor="text1"/>
          <w:lang w:val="uk-UA"/>
        </w:rPr>
        <w:t>–</w:t>
      </w:r>
      <w:r>
        <w:rPr>
          <w:rFonts w:ascii="Times New Roman" w:hAnsi="Times New Roman" w:cs="Times New Roman"/>
          <w:color w:val="000000" w:themeColor="text1"/>
          <w:lang w:val="uk-UA"/>
        </w:rPr>
        <w:t>1 серед</w:t>
      </w:r>
      <w:r w:rsidRPr="00603D04">
        <w:rPr>
          <w:rFonts w:ascii="Times New Roman" w:hAnsi="Times New Roman" w:cs="Times New Roman"/>
          <w:color w:val="000000" w:themeColor="text1"/>
          <w:lang w:val="uk-UA"/>
        </w:rPr>
        <w:t xml:space="preserve"> пацієнт</w:t>
      </w:r>
      <w:r>
        <w:rPr>
          <w:rFonts w:ascii="Times New Roman" w:hAnsi="Times New Roman" w:cs="Times New Roman"/>
          <w:color w:val="000000" w:themeColor="text1"/>
          <w:lang w:val="uk-UA"/>
        </w:rPr>
        <w:t>ів з  генотип</w:t>
      </w:r>
      <w:r w:rsidR="00316F1C">
        <w:rPr>
          <w:rFonts w:ascii="Times New Roman" w:hAnsi="Times New Roman" w:cs="Times New Roman"/>
          <w:color w:val="000000" w:themeColor="text1"/>
          <w:lang w:val="uk-UA"/>
        </w:rPr>
        <w:t>ом</w:t>
      </w:r>
      <w:r>
        <w:rPr>
          <w:rFonts w:ascii="Times New Roman" w:hAnsi="Times New Roman" w:cs="Times New Roman"/>
          <w:color w:val="000000" w:themeColor="text1"/>
          <w:lang w:val="uk-UA"/>
        </w:rPr>
        <w:t xml:space="preserve"> 1 </w:t>
      </w:r>
      <w:r w:rsidRPr="00603D04">
        <w:rPr>
          <w:rFonts w:ascii="Times New Roman" w:hAnsi="Times New Roman" w:cs="Times New Roman"/>
          <w:color w:val="000000" w:themeColor="text1"/>
          <w:lang w:val="uk-UA"/>
        </w:rPr>
        <w:t xml:space="preserve">(22% </w:t>
      </w:r>
      <w:r w:rsidR="00FC6D8A">
        <w:rPr>
          <w:rFonts w:ascii="Times New Roman" w:hAnsi="Times New Roman" w:cs="Times New Roman"/>
          <w:color w:val="000000" w:themeColor="text1"/>
          <w:lang w:val="uk-UA"/>
        </w:rPr>
        <w:t>–</w:t>
      </w:r>
      <w:r w:rsidRPr="00603D04">
        <w:rPr>
          <w:rFonts w:ascii="Times New Roman" w:hAnsi="Times New Roman" w:cs="Times New Roman"/>
          <w:color w:val="000000" w:themeColor="text1"/>
          <w:lang w:val="uk-UA"/>
        </w:rPr>
        <w:t xml:space="preserve"> з цирозом печінки, 66% </w:t>
      </w:r>
      <w:r w:rsidR="00FC6D8A">
        <w:rPr>
          <w:rFonts w:ascii="Times New Roman" w:hAnsi="Times New Roman" w:cs="Times New Roman"/>
          <w:color w:val="000000" w:themeColor="text1"/>
          <w:lang w:val="uk-UA"/>
        </w:rPr>
        <w:t>–</w:t>
      </w:r>
      <w:r w:rsidRPr="00603D04">
        <w:rPr>
          <w:rFonts w:ascii="Times New Roman" w:hAnsi="Times New Roman" w:cs="Times New Roman"/>
          <w:color w:val="000000" w:themeColor="text1"/>
          <w:lang w:val="uk-UA"/>
        </w:rPr>
        <w:t xml:space="preserve"> </w:t>
      </w:r>
      <w:r w:rsidR="00632C89" w:rsidRPr="00632C89">
        <w:rPr>
          <w:rFonts w:ascii="Times New Roman" w:hAnsi="Times New Roman" w:cs="Times New Roman"/>
          <w:color w:val="000000" w:themeColor="text1"/>
          <w:lang w:val="uk-UA"/>
        </w:rPr>
        <w:t>“</w:t>
      </w:r>
      <w:r w:rsidR="00632C89">
        <w:rPr>
          <w:rFonts w:ascii="Times New Roman" w:hAnsi="Times New Roman" w:cs="Times New Roman"/>
          <w:color w:val="000000" w:themeColor="text1"/>
          <w:lang w:val="uk-UA"/>
        </w:rPr>
        <w:t>наївні</w:t>
      </w:r>
      <w:r w:rsidR="00632C89" w:rsidRPr="00632C89">
        <w:rPr>
          <w:rFonts w:ascii="Times New Roman" w:hAnsi="Times New Roman" w:cs="Times New Roman"/>
          <w:color w:val="000000" w:themeColor="text1"/>
          <w:lang w:val="uk-UA"/>
        </w:rPr>
        <w:t>”</w:t>
      </w:r>
      <w:r w:rsidRPr="00603D04">
        <w:rPr>
          <w:rFonts w:ascii="Times New Roman" w:hAnsi="Times New Roman" w:cs="Times New Roman"/>
          <w:color w:val="000000" w:themeColor="text1"/>
          <w:lang w:val="uk-UA"/>
        </w:rPr>
        <w:t xml:space="preserve">, 34% </w:t>
      </w:r>
      <w:r w:rsidR="00FC6D8A">
        <w:rPr>
          <w:rFonts w:ascii="Times New Roman" w:hAnsi="Times New Roman" w:cs="Times New Roman"/>
          <w:color w:val="000000" w:themeColor="text1"/>
          <w:lang w:val="uk-UA"/>
        </w:rPr>
        <w:t>–</w:t>
      </w:r>
      <w:r w:rsidRPr="00603D04">
        <w:rPr>
          <w:rFonts w:ascii="Times New Roman" w:hAnsi="Times New Roman" w:cs="Times New Roman"/>
          <w:color w:val="000000" w:themeColor="text1"/>
          <w:lang w:val="uk-UA"/>
        </w:rPr>
        <w:t xml:space="preserve"> з досвідом лікування, </w:t>
      </w:r>
      <w:r>
        <w:rPr>
          <w:rFonts w:ascii="Times New Roman" w:hAnsi="Times New Roman" w:cs="Times New Roman"/>
          <w:color w:val="000000" w:themeColor="text1"/>
          <w:lang w:val="uk-UA"/>
        </w:rPr>
        <w:t xml:space="preserve">44% </w:t>
      </w:r>
      <w:r w:rsidR="00FC6D8A">
        <w:rPr>
          <w:rFonts w:ascii="Times New Roman" w:hAnsi="Times New Roman" w:cs="Times New Roman"/>
          <w:color w:val="000000" w:themeColor="text1"/>
          <w:lang w:val="uk-UA"/>
        </w:rPr>
        <w:t>–</w:t>
      </w:r>
      <w:r>
        <w:rPr>
          <w:rFonts w:ascii="Times New Roman" w:hAnsi="Times New Roman" w:cs="Times New Roman"/>
          <w:color w:val="000000" w:themeColor="text1"/>
          <w:lang w:val="uk-UA"/>
        </w:rPr>
        <w:t xml:space="preserve"> </w:t>
      </w:r>
      <w:r w:rsidR="00316F1C">
        <w:rPr>
          <w:rFonts w:ascii="Times New Roman" w:hAnsi="Times New Roman" w:cs="Times New Roman"/>
          <w:color w:val="000000" w:themeColor="text1"/>
          <w:lang w:val="uk-UA"/>
        </w:rPr>
        <w:t xml:space="preserve">з досвідом </w:t>
      </w:r>
      <w:r>
        <w:rPr>
          <w:rFonts w:ascii="Times New Roman" w:hAnsi="Times New Roman" w:cs="Times New Roman"/>
          <w:color w:val="000000" w:themeColor="text1"/>
          <w:lang w:val="uk-UA"/>
        </w:rPr>
        <w:t>попередн</w:t>
      </w:r>
      <w:r w:rsidR="00316F1C">
        <w:rPr>
          <w:rFonts w:ascii="Times New Roman" w:hAnsi="Times New Roman" w:cs="Times New Roman"/>
          <w:color w:val="000000" w:themeColor="text1"/>
          <w:lang w:val="uk-UA"/>
        </w:rPr>
        <w:t>ього лікування</w:t>
      </w:r>
      <w:r>
        <w:rPr>
          <w:rFonts w:ascii="Times New Roman" w:hAnsi="Times New Roman" w:cs="Times New Roman"/>
          <w:color w:val="000000" w:themeColor="text1"/>
          <w:lang w:val="uk-UA"/>
        </w:rPr>
        <w:t xml:space="preserve"> ПППД</w:t>
      </w:r>
      <w:r w:rsidRPr="00603D04">
        <w:rPr>
          <w:rFonts w:ascii="Times New Roman" w:hAnsi="Times New Roman" w:cs="Times New Roman"/>
          <w:color w:val="000000" w:themeColor="text1"/>
          <w:lang w:val="uk-UA"/>
        </w:rPr>
        <w:t>)</w:t>
      </w:r>
      <w:r>
        <w:rPr>
          <w:rFonts w:ascii="Times New Roman" w:hAnsi="Times New Roman" w:cs="Times New Roman"/>
          <w:color w:val="000000" w:themeColor="text1"/>
          <w:lang w:val="uk-UA"/>
        </w:rPr>
        <w:t>, які приймали комбінаці</w:t>
      </w:r>
      <w:r w:rsidRPr="00603D04">
        <w:rPr>
          <w:rFonts w:ascii="Times New Roman" w:hAnsi="Times New Roman" w:cs="Times New Roman"/>
          <w:color w:val="000000" w:themeColor="text1"/>
          <w:lang w:val="uk-UA"/>
        </w:rPr>
        <w:t>ю з фіксованою дозою софосбувіру та вел</w:t>
      </w:r>
      <w:r>
        <w:rPr>
          <w:rFonts w:ascii="Times New Roman" w:hAnsi="Times New Roman" w:cs="Times New Roman"/>
          <w:color w:val="000000" w:themeColor="text1"/>
          <w:lang w:val="uk-UA"/>
        </w:rPr>
        <w:t>патасвіру протягом 12 тижнів. СВВ12 спостерігалася</w:t>
      </w:r>
      <w:r w:rsidRPr="00603D04">
        <w:rPr>
          <w:rFonts w:ascii="Times New Roman" w:hAnsi="Times New Roman" w:cs="Times New Roman"/>
          <w:color w:val="000000" w:themeColor="text1"/>
          <w:lang w:val="uk-UA"/>
        </w:rPr>
        <w:t xml:space="preserve"> </w:t>
      </w:r>
      <w:r w:rsidR="006333DB">
        <w:rPr>
          <w:rFonts w:ascii="Times New Roman" w:hAnsi="Times New Roman" w:cs="Times New Roman"/>
          <w:color w:val="000000" w:themeColor="text1"/>
          <w:lang w:val="uk-UA"/>
        </w:rPr>
        <w:t>у</w:t>
      </w:r>
      <w:r w:rsidRPr="00603D04">
        <w:rPr>
          <w:rFonts w:ascii="Times New Roman" w:hAnsi="Times New Roman" w:cs="Times New Roman"/>
          <w:color w:val="000000" w:themeColor="text1"/>
          <w:lang w:val="uk-UA"/>
        </w:rPr>
        <w:t xml:space="preserve"> 99% пацієнтів</w:t>
      </w:r>
      <w:r>
        <w:rPr>
          <w:rFonts w:ascii="Times New Roman" w:hAnsi="Times New Roman" w:cs="Times New Roman"/>
          <w:color w:val="000000" w:themeColor="text1"/>
          <w:lang w:val="uk-UA"/>
        </w:rPr>
        <w:t xml:space="preserve"> (117/118; один рецидив)</w:t>
      </w:r>
      <w:r w:rsidRPr="00603D04">
        <w:rPr>
          <w:rFonts w:ascii="Times New Roman" w:hAnsi="Times New Roman" w:cs="Times New Roman"/>
          <w:color w:val="000000" w:themeColor="text1"/>
          <w:lang w:val="uk-UA"/>
        </w:rPr>
        <w:t>, інфікованих генотипом 1b.</w:t>
      </w:r>
      <w:r w:rsidRPr="00603D04">
        <w:rPr>
          <w:rFonts w:ascii="Times New Roman" w:hAnsi="Times New Roman" w:cs="Times New Roman"/>
          <w:color w:val="000000" w:themeColor="text1"/>
          <w:vertAlign w:val="superscript"/>
          <w:lang w:val="uk-UA"/>
        </w:rPr>
        <w:t>67</w:t>
      </w:r>
      <w:r>
        <w:rPr>
          <w:rFonts w:ascii="Times New Roman" w:hAnsi="Times New Roman" w:cs="Times New Roman"/>
          <w:color w:val="000000" w:themeColor="text1"/>
          <w:lang w:val="uk-UA"/>
        </w:rPr>
        <w:t>. У дослідженні ASTRAL</w:t>
      </w:r>
      <w:r w:rsidR="00FC6D8A">
        <w:rPr>
          <w:rFonts w:ascii="Times New Roman" w:hAnsi="Times New Roman" w:cs="Times New Roman"/>
          <w:color w:val="000000" w:themeColor="text1"/>
          <w:lang w:val="uk-UA"/>
        </w:rPr>
        <w:t>–</w:t>
      </w:r>
      <w:r>
        <w:rPr>
          <w:rFonts w:ascii="Times New Roman" w:hAnsi="Times New Roman" w:cs="Times New Roman"/>
          <w:color w:val="000000" w:themeColor="text1"/>
          <w:lang w:val="uk-UA"/>
        </w:rPr>
        <w:t>5 у</w:t>
      </w:r>
      <w:r w:rsidR="00525692">
        <w:rPr>
          <w:rFonts w:ascii="Times New Roman" w:hAnsi="Times New Roman" w:cs="Times New Roman"/>
          <w:color w:val="000000" w:themeColor="text1"/>
          <w:lang w:val="uk-UA"/>
        </w:rPr>
        <w:t xml:space="preserve"> пацієнтів із коінфекцією ВІЛ/ВГС</w:t>
      </w:r>
      <w:r>
        <w:rPr>
          <w:rFonts w:ascii="Times New Roman" w:hAnsi="Times New Roman" w:cs="Times New Roman"/>
          <w:color w:val="000000" w:themeColor="text1"/>
          <w:lang w:val="uk-UA"/>
        </w:rPr>
        <w:t xml:space="preserve"> частота СВВ</w:t>
      </w:r>
      <w:r w:rsidRPr="00603D04">
        <w:rPr>
          <w:rFonts w:ascii="Times New Roman" w:hAnsi="Times New Roman" w:cs="Times New Roman"/>
          <w:color w:val="000000" w:themeColor="text1"/>
          <w:lang w:val="uk-UA"/>
        </w:rPr>
        <w:t xml:space="preserve">12 становила 92% (11/12; відсутність вірусологічної невдачі) у </w:t>
      </w:r>
      <w:r>
        <w:rPr>
          <w:rFonts w:ascii="Times New Roman" w:hAnsi="Times New Roman" w:cs="Times New Roman"/>
          <w:color w:val="000000" w:themeColor="text1"/>
          <w:lang w:val="uk-UA"/>
        </w:rPr>
        <w:t xml:space="preserve">“наївних” та </w:t>
      </w:r>
      <w:r w:rsidRPr="00603D04">
        <w:rPr>
          <w:rFonts w:ascii="Times New Roman" w:hAnsi="Times New Roman" w:cs="Times New Roman"/>
          <w:color w:val="000000" w:themeColor="text1"/>
          <w:lang w:val="uk-UA"/>
        </w:rPr>
        <w:t>пацієнтів</w:t>
      </w:r>
      <w:r w:rsidR="00652F9A">
        <w:rPr>
          <w:rFonts w:ascii="Times New Roman" w:hAnsi="Times New Roman" w:cs="Times New Roman"/>
          <w:color w:val="000000" w:themeColor="text1"/>
          <w:lang w:val="uk-UA"/>
        </w:rPr>
        <w:t xml:space="preserve"> з досвідом лікування</w:t>
      </w:r>
      <w:r w:rsidRPr="00603D04">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 xml:space="preserve">без </w:t>
      </w:r>
      <w:r w:rsidRPr="00603D04">
        <w:rPr>
          <w:rFonts w:ascii="Times New Roman" w:hAnsi="Times New Roman" w:cs="Times New Roman"/>
          <w:color w:val="000000" w:themeColor="text1"/>
          <w:lang w:val="uk-UA"/>
        </w:rPr>
        <w:t xml:space="preserve">цирозу або </w:t>
      </w:r>
      <w:r>
        <w:rPr>
          <w:rFonts w:ascii="Times New Roman" w:hAnsi="Times New Roman" w:cs="Times New Roman"/>
          <w:color w:val="000000" w:themeColor="text1"/>
          <w:lang w:val="uk-UA"/>
        </w:rPr>
        <w:t>з компенсованим цирозом</w:t>
      </w:r>
      <w:r w:rsidRPr="00603D04">
        <w:rPr>
          <w:rFonts w:ascii="Times New Roman" w:hAnsi="Times New Roman" w:cs="Times New Roman"/>
          <w:color w:val="000000" w:themeColor="text1"/>
          <w:lang w:val="uk-UA"/>
        </w:rPr>
        <w:t>.</w:t>
      </w:r>
      <w:r w:rsidRPr="00603D04">
        <w:rPr>
          <w:rFonts w:ascii="Times New Roman" w:hAnsi="Times New Roman" w:cs="Times New Roman"/>
          <w:color w:val="000000" w:themeColor="text1"/>
          <w:vertAlign w:val="superscript"/>
          <w:lang w:val="uk-UA"/>
        </w:rPr>
        <w:t xml:space="preserve">70 </w:t>
      </w:r>
      <w:r w:rsidRPr="00603D04">
        <w:rPr>
          <w:rFonts w:ascii="Times New Roman" w:hAnsi="Times New Roman" w:cs="Times New Roman"/>
          <w:color w:val="000000" w:themeColor="text1"/>
          <w:lang w:val="uk-UA"/>
        </w:rPr>
        <w:t>Ці результати були підтверджені в реальних дослідженнях.</w:t>
      </w:r>
      <w:r w:rsidRPr="00603D04">
        <w:rPr>
          <w:rFonts w:ascii="Times New Roman" w:hAnsi="Times New Roman" w:cs="Times New Roman"/>
          <w:color w:val="000000" w:themeColor="text1"/>
          <w:vertAlign w:val="superscript"/>
          <w:lang w:val="uk-UA"/>
        </w:rPr>
        <w:t>68,69</w:t>
      </w:r>
    </w:p>
    <w:p w14:paraId="280D0E32" w14:textId="77777777" w:rsidR="006A02EB" w:rsidRDefault="006A02EB" w:rsidP="00603D04">
      <w:pPr>
        <w:tabs>
          <w:tab w:val="left" w:pos="1089"/>
        </w:tabs>
        <w:rPr>
          <w:rFonts w:ascii="Times New Roman" w:hAnsi="Times New Roman" w:cs="Times New Roman"/>
          <w:color w:val="000000" w:themeColor="text1"/>
          <w:vertAlign w:val="superscript"/>
          <w:lang w:val="uk-U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8"/>
      </w:tblGrid>
      <w:tr w:rsidR="006A02EB" w:rsidRPr="0080595E" w14:paraId="2E7FA46F" w14:textId="77777777" w:rsidTr="006A02EB">
        <w:trPr>
          <w:trHeight w:val="1077"/>
        </w:trPr>
        <w:tc>
          <w:tcPr>
            <w:tcW w:w="9728" w:type="dxa"/>
            <w:shd w:val="clear" w:color="auto" w:fill="BDD6EE" w:themeFill="accent1" w:themeFillTint="66"/>
          </w:tcPr>
          <w:p w14:paraId="6F4E45D2" w14:textId="023A0992" w:rsidR="006A02EB" w:rsidRPr="008A3473" w:rsidRDefault="006C070D" w:rsidP="006A02EB">
            <w:pPr>
              <w:tabs>
                <w:tab w:val="left" w:pos="1089"/>
              </w:tabs>
              <w:rPr>
                <w:rFonts w:ascii="Times New Roman" w:hAnsi="Times New Roman" w:cs="Times New Roman"/>
                <w:b/>
                <w:i/>
                <w:lang w:val="uk-UA"/>
              </w:rPr>
            </w:pPr>
            <w:r w:rsidRPr="008A3473">
              <w:rPr>
                <w:rFonts w:ascii="Times New Roman" w:hAnsi="Times New Roman" w:cs="Times New Roman"/>
                <w:b/>
                <w:i/>
                <w:lang w:val="uk-UA"/>
              </w:rPr>
              <w:t>Генотип 1b, пангеноти</w:t>
            </w:r>
            <w:r w:rsidR="008A3473">
              <w:rPr>
                <w:rFonts w:ascii="Times New Roman" w:hAnsi="Times New Roman" w:cs="Times New Roman"/>
                <w:b/>
                <w:i/>
                <w:lang w:val="uk-UA"/>
              </w:rPr>
              <w:t>п</w:t>
            </w:r>
            <w:r w:rsidRPr="008A3473">
              <w:rPr>
                <w:rFonts w:ascii="Times New Roman" w:hAnsi="Times New Roman" w:cs="Times New Roman"/>
                <w:b/>
                <w:i/>
                <w:lang w:val="uk-UA"/>
              </w:rPr>
              <w:t xml:space="preserve">на схема : </w:t>
            </w:r>
            <w:r w:rsidR="008A50B6" w:rsidRPr="008A3473">
              <w:rPr>
                <w:rFonts w:ascii="Times New Roman" w:hAnsi="Times New Roman" w:cs="Times New Roman"/>
                <w:b/>
                <w:i/>
                <w:lang w:val="uk-UA"/>
              </w:rPr>
              <w:t>г</w:t>
            </w:r>
            <w:r w:rsidRPr="008A3473">
              <w:rPr>
                <w:rFonts w:ascii="Times New Roman" w:hAnsi="Times New Roman" w:cs="Times New Roman"/>
                <w:b/>
                <w:i/>
                <w:lang w:val="uk-UA"/>
              </w:rPr>
              <w:t>лекапревір</w:t>
            </w:r>
            <w:r w:rsidR="006A02EB" w:rsidRPr="008A3473">
              <w:rPr>
                <w:rFonts w:ascii="Times New Roman" w:hAnsi="Times New Roman" w:cs="Times New Roman"/>
                <w:b/>
                <w:i/>
                <w:lang w:val="uk-UA"/>
              </w:rPr>
              <w:t>/</w:t>
            </w:r>
            <w:r w:rsidRPr="008A3473">
              <w:rPr>
                <w:rFonts w:ascii="Times New Roman" w:hAnsi="Times New Roman" w:cs="Times New Roman"/>
                <w:b/>
                <w:i/>
                <w:lang w:val="uk-UA"/>
              </w:rPr>
              <w:t>пібрентасвір</w:t>
            </w:r>
          </w:p>
          <w:p w14:paraId="28D98D64" w14:textId="15F0654E" w:rsidR="006A02EB" w:rsidRPr="006A02EB" w:rsidRDefault="006C070D" w:rsidP="00015E3B">
            <w:pPr>
              <w:pStyle w:val="a9"/>
              <w:numPr>
                <w:ilvl w:val="0"/>
                <w:numId w:val="12"/>
              </w:numPr>
              <w:tabs>
                <w:tab w:val="left" w:pos="1089"/>
              </w:tabs>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“Наївні” та </w:t>
            </w:r>
            <w:r w:rsidRPr="00E109B8">
              <w:rPr>
                <w:rFonts w:ascii="Times New Roman" w:hAnsi="Times New Roman" w:cs="Times New Roman"/>
                <w:color w:val="000000" w:themeColor="text1"/>
                <w:lang w:val="uk-UA"/>
              </w:rPr>
              <w:t>пацієнти</w:t>
            </w:r>
            <w:r w:rsidR="00652F9A">
              <w:rPr>
                <w:rFonts w:ascii="Times New Roman" w:hAnsi="Times New Roman" w:cs="Times New Roman"/>
                <w:color w:val="000000" w:themeColor="text1"/>
                <w:lang w:val="uk-UA"/>
              </w:rPr>
              <w:t xml:space="preserve"> з досвідом лікування</w:t>
            </w:r>
            <w:r w:rsidR="006A02EB" w:rsidRPr="006A02EB">
              <w:rPr>
                <w:rFonts w:ascii="Times New Roman" w:hAnsi="Times New Roman" w:cs="Times New Roman"/>
                <w:color w:val="000000" w:themeColor="text1"/>
                <w:lang w:val="uk-UA"/>
              </w:rPr>
              <w:t>, інфіковані геноти</w:t>
            </w:r>
            <w:r>
              <w:rPr>
                <w:rFonts w:ascii="Times New Roman" w:hAnsi="Times New Roman" w:cs="Times New Roman"/>
                <w:color w:val="000000" w:themeColor="text1"/>
                <w:lang w:val="uk-UA"/>
              </w:rPr>
              <w:t>пом 1b без цирозу, повинні отримувати фіксовану дозу</w:t>
            </w:r>
            <w:r w:rsidR="006A02EB" w:rsidRPr="006A02EB">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комбінації глікапревіру та пібрен</w:t>
            </w:r>
            <w:r w:rsidR="006A02EB" w:rsidRPr="006A02EB">
              <w:rPr>
                <w:rFonts w:ascii="Times New Roman" w:hAnsi="Times New Roman" w:cs="Times New Roman"/>
                <w:color w:val="000000" w:themeColor="text1"/>
                <w:lang w:val="uk-UA"/>
              </w:rPr>
              <w:t>та</w:t>
            </w:r>
            <w:r>
              <w:rPr>
                <w:rFonts w:ascii="Times New Roman" w:hAnsi="Times New Roman" w:cs="Times New Roman"/>
                <w:color w:val="000000" w:themeColor="text1"/>
                <w:lang w:val="uk-UA"/>
              </w:rPr>
              <w:t>с</w:t>
            </w:r>
            <w:r w:rsidR="006A02EB" w:rsidRPr="006A02EB">
              <w:rPr>
                <w:rFonts w:ascii="Times New Roman" w:hAnsi="Times New Roman" w:cs="Times New Roman"/>
                <w:color w:val="000000" w:themeColor="text1"/>
                <w:lang w:val="uk-UA"/>
              </w:rPr>
              <w:t>віру протягом 8 тижнів (А1).</w:t>
            </w:r>
          </w:p>
          <w:p w14:paraId="61F5D1D4" w14:textId="2DA925B6" w:rsidR="006A02EB" w:rsidRPr="00316F1C" w:rsidRDefault="006C070D" w:rsidP="00015E3B">
            <w:pPr>
              <w:pStyle w:val="a9"/>
              <w:numPr>
                <w:ilvl w:val="0"/>
                <w:numId w:val="12"/>
              </w:numPr>
              <w:tabs>
                <w:tab w:val="left" w:pos="1089"/>
              </w:tabs>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“Наївні” та </w:t>
            </w:r>
            <w:r w:rsidRPr="00E109B8">
              <w:rPr>
                <w:rFonts w:ascii="Times New Roman" w:hAnsi="Times New Roman" w:cs="Times New Roman"/>
                <w:color w:val="000000" w:themeColor="text1"/>
                <w:lang w:val="uk-UA"/>
              </w:rPr>
              <w:t>пацієнти</w:t>
            </w:r>
            <w:r w:rsidR="00652F9A">
              <w:rPr>
                <w:rFonts w:ascii="Times New Roman" w:hAnsi="Times New Roman" w:cs="Times New Roman"/>
                <w:color w:val="000000" w:themeColor="text1"/>
                <w:lang w:val="uk-UA"/>
              </w:rPr>
              <w:t xml:space="preserve"> з досвідом лікування</w:t>
            </w:r>
            <w:r w:rsidR="006A02EB" w:rsidRPr="006A02EB">
              <w:rPr>
                <w:rFonts w:ascii="Times New Roman" w:hAnsi="Times New Roman" w:cs="Times New Roman"/>
                <w:color w:val="000000" w:themeColor="text1"/>
                <w:lang w:val="uk-UA"/>
              </w:rPr>
              <w:t>, інфіковані генотипом 1</w:t>
            </w:r>
            <w:r>
              <w:rPr>
                <w:rFonts w:ascii="Times New Roman" w:hAnsi="Times New Roman" w:cs="Times New Roman"/>
                <w:color w:val="000000" w:themeColor="text1"/>
                <w:lang w:val="uk-UA"/>
              </w:rPr>
              <w:t xml:space="preserve">b </w:t>
            </w:r>
            <w:r w:rsidR="006A02EB" w:rsidRPr="006A02EB">
              <w:rPr>
                <w:rFonts w:ascii="Times New Roman" w:hAnsi="Times New Roman" w:cs="Times New Roman"/>
                <w:color w:val="000000" w:themeColor="text1"/>
                <w:lang w:val="uk-UA"/>
              </w:rPr>
              <w:t xml:space="preserve">з компенсованим </w:t>
            </w:r>
            <w:r>
              <w:rPr>
                <w:rFonts w:ascii="Times New Roman" w:hAnsi="Times New Roman" w:cs="Times New Roman"/>
                <w:color w:val="000000" w:themeColor="text1"/>
                <w:lang w:val="uk-UA"/>
              </w:rPr>
              <w:t xml:space="preserve">цирозом </w:t>
            </w:r>
            <w:r w:rsidR="006A02EB" w:rsidRPr="006A02EB">
              <w:rPr>
                <w:rFonts w:ascii="Times New Roman" w:hAnsi="Times New Roman" w:cs="Times New Roman"/>
                <w:color w:val="000000" w:themeColor="text1"/>
                <w:lang w:val="uk-UA"/>
              </w:rPr>
              <w:t>(Child</w:t>
            </w:r>
            <w:r w:rsidR="00FC6D8A">
              <w:rPr>
                <w:rFonts w:ascii="Times New Roman" w:hAnsi="Times New Roman" w:cs="Times New Roman"/>
                <w:color w:val="000000" w:themeColor="text1"/>
                <w:lang w:val="uk-UA"/>
              </w:rPr>
              <w:t>–</w:t>
            </w:r>
            <w:r w:rsidR="006A02EB" w:rsidRPr="006A02EB">
              <w:rPr>
                <w:rFonts w:ascii="Times New Roman" w:hAnsi="Times New Roman" w:cs="Times New Roman"/>
                <w:color w:val="000000" w:themeColor="text1"/>
                <w:lang w:val="uk-UA"/>
              </w:rPr>
              <w:t xml:space="preserve">Pugh A), </w:t>
            </w:r>
            <w:r>
              <w:rPr>
                <w:rFonts w:ascii="Times New Roman" w:hAnsi="Times New Roman" w:cs="Times New Roman"/>
                <w:color w:val="000000" w:themeColor="text1"/>
                <w:lang w:val="uk-UA"/>
              </w:rPr>
              <w:t>повинні отримувати</w:t>
            </w:r>
            <w:r w:rsidRPr="006A02EB">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фіксовану дозу</w:t>
            </w:r>
            <w:r w:rsidR="006A02EB" w:rsidRPr="006A02EB">
              <w:rPr>
                <w:rFonts w:ascii="Times New Roman" w:hAnsi="Times New Roman" w:cs="Times New Roman"/>
                <w:color w:val="000000" w:themeColor="text1"/>
                <w:lang w:val="uk-UA"/>
              </w:rPr>
              <w:t xml:space="preserve"> комбінації </w:t>
            </w:r>
            <w:r>
              <w:rPr>
                <w:rFonts w:ascii="Times New Roman" w:hAnsi="Times New Roman" w:cs="Times New Roman"/>
                <w:color w:val="000000" w:themeColor="text1"/>
                <w:lang w:val="uk-UA"/>
              </w:rPr>
              <w:t>г</w:t>
            </w:r>
            <w:r w:rsidRPr="006C070D">
              <w:rPr>
                <w:rFonts w:ascii="Times New Roman" w:hAnsi="Times New Roman" w:cs="Times New Roman"/>
                <w:color w:val="000000" w:themeColor="text1"/>
                <w:lang w:val="uk-UA"/>
              </w:rPr>
              <w:t>лекапревір/пібрентасвір</w:t>
            </w:r>
            <w:r w:rsidR="006A02EB" w:rsidRPr="006C070D">
              <w:rPr>
                <w:rFonts w:ascii="Times New Roman" w:hAnsi="Times New Roman" w:cs="Times New Roman"/>
                <w:color w:val="000000" w:themeColor="text1"/>
                <w:lang w:val="uk-UA"/>
              </w:rPr>
              <w:t xml:space="preserve"> протягом 12 тижнів (A1).</w:t>
            </w:r>
          </w:p>
        </w:tc>
      </w:tr>
    </w:tbl>
    <w:p w14:paraId="17E66D69" w14:textId="77777777" w:rsidR="006A02EB" w:rsidRDefault="006A02EB" w:rsidP="00603D04">
      <w:pPr>
        <w:tabs>
          <w:tab w:val="left" w:pos="1089"/>
        </w:tabs>
        <w:rPr>
          <w:rFonts w:ascii="Times New Roman" w:hAnsi="Times New Roman" w:cs="Times New Roman"/>
          <w:color w:val="000000" w:themeColor="text1"/>
          <w:lang w:val="uk-UA"/>
        </w:rPr>
      </w:pPr>
    </w:p>
    <w:p w14:paraId="6D5F7711" w14:textId="31D35576" w:rsidR="006C070D" w:rsidRDefault="006C070D" w:rsidP="00F53078">
      <w:pPr>
        <w:tabs>
          <w:tab w:val="left" w:pos="1089"/>
        </w:tabs>
        <w:jc w:val="both"/>
        <w:rPr>
          <w:rFonts w:ascii="Times New Roman" w:hAnsi="Times New Roman" w:cs="Times New Roman"/>
          <w:color w:val="000000" w:themeColor="text1"/>
          <w:vertAlign w:val="superscript"/>
          <w:lang w:val="uk-UA"/>
        </w:rPr>
      </w:pPr>
      <w:r w:rsidRPr="006C070D">
        <w:rPr>
          <w:rFonts w:ascii="Times New Roman" w:hAnsi="Times New Roman" w:cs="Times New Roman"/>
          <w:color w:val="000000" w:themeColor="text1"/>
          <w:lang w:val="uk-UA"/>
        </w:rPr>
        <w:t xml:space="preserve">Коментарі: Ця рекомендація базується на результатах </w:t>
      </w:r>
      <w:r w:rsidR="00C81DAC">
        <w:rPr>
          <w:rFonts w:ascii="Times New Roman" w:hAnsi="Times New Roman" w:cs="Times New Roman"/>
          <w:color w:val="000000" w:themeColor="text1"/>
          <w:lang w:val="uk-UA"/>
        </w:rPr>
        <w:t>двофазному дослідженні</w:t>
      </w:r>
      <w:r w:rsidRPr="006C070D">
        <w:rPr>
          <w:rFonts w:ascii="Times New Roman" w:hAnsi="Times New Roman" w:cs="Times New Roman"/>
          <w:color w:val="000000" w:themeColor="text1"/>
          <w:lang w:val="uk-UA"/>
        </w:rPr>
        <w:t xml:space="preserve"> III у пацієнті</w:t>
      </w:r>
      <w:r>
        <w:rPr>
          <w:rFonts w:ascii="Times New Roman" w:hAnsi="Times New Roman" w:cs="Times New Roman"/>
          <w:color w:val="000000" w:themeColor="text1"/>
          <w:lang w:val="uk-UA"/>
        </w:rPr>
        <w:t>в з генотип</w:t>
      </w:r>
      <w:r w:rsidR="006333DB">
        <w:rPr>
          <w:rFonts w:ascii="Times New Roman" w:hAnsi="Times New Roman" w:cs="Times New Roman"/>
          <w:color w:val="000000" w:themeColor="text1"/>
          <w:lang w:val="uk-UA"/>
        </w:rPr>
        <w:t>ом</w:t>
      </w:r>
      <w:r>
        <w:rPr>
          <w:rFonts w:ascii="Times New Roman" w:hAnsi="Times New Roman" w:cs="Times New Roman"/>
          <w:color w:val="000000" w:themeColor="text1"/>
          <w:lang w:val="uk-UA"/>
        </w:rPr>
        <w:t xml:space="preserve"> 1b. В ENDURANCE</w:t>
      </w:r>
      <w:r w:rsidR="00FC6D8A">
        <w:rPr>
          <w:rFonts w:ascii="Times New Roman" w:hAnsi="Times New Roman" w:cs="Times New Roman"/>
          <w:color w:val="000000" w:themeColor="text1"/>
          <w:lang w:val="uk-UA"/>
        </w:rPr>
        <w:t>–</w:t>
      </w:r>
      <w:r>
        <w:rPr>
          <w:rFonts w:ascii="Times New Roman" w:hAnsi="Times New Roman" w:cs="Times New Roman"/>
          <w:color w:val="000000" w:themeColor="text1"/>
          <w:lang w:val="uk-UA"/>
        </w:rPr>
        <w:t>1 частота СВВ12 склала 100% (198/198) серед “наївних” та пацієнтів</w:t>
      </w:r>
      <w:r w:rsidR="00652F9A">
        <w:rPr>
          <w:rFonts w:ascii="Times New Roman" w:hAnsi="Times New Roman" w:cs="Times New Roman"/>
          <w:color w:val="000000" w:themeColor="text1"/>
          <w:lang w:val="uk-UA"/>
        </w:rPr>
        <w:t xml:space="preserve"> з досвідом лікування</w:t>
      </w:r>
      <w:r w:rsidRPr="006C070D">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 xml:space="preserve">які </w:t>
      </w:r>
      <w:r w:rsidRPr="006C070D">
        <w:rPr>
          <w:rFonts w:ascii="Times New Roman" w:hAnsi="Times New Roman" w:cs="Times New Roman"/>
          <w:color w:val="000000" w:themeColor="text1"/>
          <w:lang w:val="uk-UA"/>
        </w:rPr>
        <w:t xml:space="preserve">отримували 8 тижнів </w:t>
      </w:r>
      <w:r>
        <w:rPr>
          <w:rFonts w:ascii="Times New Roman" w:hAnsi="Times New Roman" w:cs="Times New Roman"/>
          <w:color w:val="000000" w:themeColor="text1"/>
          <w:lang w:val="uk-UA"/>
        </w:rPr>
        <w:t>глікапревіру та пібрен</w:t>
      </w:r>
      <w:r w:rsidRPr="006A02EB">
        <w:rPr>
          <w:rFonts w:ascii="Times New Roman" w:hAnsi="Times New Roman" w:cs="Times New Roman"/>
          <w:color w:val="000000" w:themeColor="text1"/>
          <w:lang w:val="uk-UA"/>
        </w:rPr>
        <w:t>та</w:t>
      </w:r>
      <w:r>
        <w:rPr>
          <w:rFonts w:ascii="Times New Roman" w:hAnsi="Times New Roman" w:cs="Times New Roman"/>
          <w:color w:val="000000" w:themeColor="text1"/>
          <w:lang w:val="uk-UA"/>
        </w:rPr>
        <w:t>с</w:t>
      </w:r>
      <w:r w:rsidRPr="006A02EB">
        <w:rPr>
          <w:rFonts w:ascii="Times New Roman" w:hAnsi="Times New Roman" w:cs="Times New Roman"/>
          <w:color w:val="000000" w:themeColor="text1"/>
          <w:lang w:val="uk-UA"/>
        </w:rPr>
        <w:t>віру</w:t>
      </w:r>
      <w:r>
        <w:rPr>
          <w:rFonts w:ascii="Times New Roman" w:hAnsi="Times New Roman" w:cs="Times New Roman"/>
          <w:color w:val="000000" w:themeColor="text1"/>
          <w:lang w:val="uk-UA"/>
        </w:rPr>
        <w:t>, у тому числі дв</w:t>
      </w:r>
      <w:r w:rsidR="006333DB">
        <w:rPr>
          <w:rFonts w:ascii="Times New Roman" w:hAnsi="Times New Roman" w:cs="Times New Roman"/>
          <w:color w:val="000000" w:themeColor="text1"/>
          <w:lang w:val="uk-UA"/>
        </w:rPr>
        <w:t xml:space="preserve">ох </w:t>
      </w:r>
      <w:r>
        <w:rPr>
          <w:rFonts w:ascii="Times New Roman" w:hAnsi="Times New Roman" w:cs="Times New Roman"/>
          <w:color w:val="000000" w:themeColor="text1"/>
          <w:lang w:val="uk-UA"/>
        </w:rPr>
        <w:t>пацієнт</w:t>
      </w:r>
      <w:r w:rsidR="006333DB">
        <w:rPr>
          <w:rFonts w:ascii="Times New Roman" w:hAnsi="Times New Roman" w:cs="Times New Roman"/>
          <w:color w:val="000000" w:themeColor="text1"/>
          <w:lang w:val="uk-UA"/>
        </w:rPr>
        <w:t>ів</w:t>
      </w:r>
      <w:r w:rsidRPr="006C070D">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у яких була ко</w:t>
      </w:r>
      <w:r w:rsidR="00525692">
        <w:rPr>
          <w:rFonts w:ascii="Times New Roman" w:hAnsi="Times New Roman" w:cs="Times New Roman"/>
          <w:color w:val="000000" w:themeColor="text1"/>
          <w:lang w:val="uk-UA"/>
        </w:rPr>
        <w:t>-</w:t>
      </w:r>
      <w:r>
        <w:rPr>
          <w:rFonts w:ascii="Times New Roman" w:hAnsi="Times New Roman" w:cs="Times New Roman"/>
          <w:color w:val="000000" w:themeColor="text1"/>
          <w:lang w:val="uk-UA"/>
        </w:rPr>
        <w:t xml:space="preserve">інфекція </w:t>
      </w:r>
      <w:r w:rsidRPr="006C070D">
        <w:rPr>
          <w:rFonts w:ascii="Times New Roman" w:hAnsi="Times New Roman" w:cs="Times New Roman"/>
          <w:color w:val="000000" w:themeColor="text1"/>
          <w:lang w:val="uk-UA"/>
        </w:rPr>
        <w:t>ВІЛ</w:t>
      </w:r>
      <w:r w:rsidR="00525692">
        <w:rPr>
          <w:rFonts w:ascii="Times New Roman" w:hAnsi="Times New Roman" w:cs="Times New Roman"/>
          <w:color w:val="000000" w:themeColor="text1"/>
          <w:lang w:val="uk-UA"/>
        </w:rPr>
        <w:t>/ВГС</w:t>
      </w:r>
      <w:r w:rsidRPr="006C070D">
        <w:rPr>
          <w:rFonts w:ascii="Times New Roman" w:hAnsi="Times New Roman" w:cs="Times New Roman"/>
          <w:color w:val="000000" w:themeColor="text1"/>
          <w:lang w:val="uk-UA"/>
        </w:rPr>
        <w:t>.</w:t>
      </w:r>
      <w:r w:rsidRPr="006C070D">
        <w:rPr>
          <w:rFonts w:ascii="Times New Roman" w:hAnsi="Times New Roman" w:cs="Times New Roman"/>
          <w:color w:val="000000" w:themeColor="text1"/>
          <w:vertAlign w:val="superscript"/>
          <w:lang w:val="uk-UA"/>
        </w:rPr>
        <w:t>72</w:t>
      </w:r>
      <w:r w:rsidRPr="006C070D">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“Наївні” та пацієнти</w:t>
      </w:r>
      <w:r w:rsidRPr="006C070D">
        <w:rPr>
          <w:rFonts w:ascii="Times New Roman" w:hAnsi="Times New Roman" w:cs="Times New Roman"/>
          <w:color w:val="000000" w:themeColor="text1"/>
          <w:lang w:val="uk-UA"/>
        </w:rPr>
        <w:t xml:space="preserve"> </w:t>
      </w:r>
      <w:r w:rsidR="00652F9A">
        <w:rPr>
          <w:rFonts w:ascii="Times New Roman" w:hAnsi="Times New Roman" w:cs="Times New Roman"/>
          <w:color w:val="000000" w:themeColor="text1"/>
          <w:lang w:val="uk-UA"/>
        </w:rPr>
        <w:t>з досвідом лікування</w:t>
      </w:r>
      <w:r w:rsidR="00652F9A" w:rsidRPr="00F326C6">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 xml:space="preserve">з </w:t>
      </w:r>
      <w:r w:rsidRPr="006C070D">
        <w:rPr>
          <w:rFonts w:ascii="Times New Roman" w:hAnsi="Times New Roman" w:cs="Times New Roman"/>
          <w:color w:val="000000" w:themeColor="text1"/>
          <w:lang w:val="uk-UA"/>
        </w:rPr>
        <w:t>генотип</w:t>
      </w:r>
      <w:r>
        <w:rPr>
          <w:rFonts w:ascii="Times New Roman" w:hAnsi="Times New Roman" w:cs="Times New Roman"/>
          <w:color w:val="000000" w:themeColor="text1"/>
          <w:lang w:val="uk-UA"/>
        </w:rPr>
        <w:t>ом 1b та</w:t>
      </w:r>
      <w:r w:rsidRPr="006C070D">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компенсованим цирозом вивчали</w:t>
      </w:r>
      <w:r w:rsidRPr="006C070D">
        <w:rPr>
          <w:rFonts w:ascii="Times New Roman" w:hAnsi="Times New Roman" w:cs="Times New Roman"/>
          <w:color w:val="000000" w:themeColor="text1"/>
          <w:lang w:val="uk-UA"/>
        </w:rPr>
        <w:t>ся в дослі</w:t>
      </w:r>
      <w:r>
        <w:rPr>
          <w:rFonts w:ascii="Times New Roman" w:hAnsi="Times New Roman" w:cs="Times New Roman"/>
          <w:color w:val="000000" w:themeColor="text1"/>
          <w:lang w:val="uk-UA"/>
        </w:rPr>
        <w:t>дженні EXPEDITION</w:t>
      </w:r>
      <w:r w:rsidR="00FC6D8A">
        <w:rPr>
          <w:rFonts w:ascii="Times New Roman" w:hAnsi="Times New Roman" w:cs="Times New Roman"/>
          <w:color w:val="000000" w:themeColor="text1"/>
          <w:lang w:val="uk-UA"/>
        </w:rPr>
        <w:t>–</w:t>
      </w:r>
      <w:r>
        <w:rPr>
          <w:rFonts w:ascii="Times New Roman" w:hAnsi="Times New Roman" w:cs="Times New Roman"/>
          <w:color w:val="000000" w:themeColor="text1"/>
          <w:lang w:val="uk-UA"/>
        </w:rPr>
        <w:t>1. Частота СВВ12 склала</w:t>
      </w:r>
      <w:r w:rsidRPr="006C070D">
        <w:rPr>
          <w:rFonts w:ascii="Times New Roman" w:hAnsi="Times New Roman" w:cs="Times New Roman"/>
          <w:color w:val="000000" w:themeColor="text1"/>
          <w:lang w:val="uk-UA"/>
        </w:rPr>
        <w:t xml:space="preserve"> 100% (39/39) після 12 тижнів </w:t>
      </w:r>
      <w:r w:rsidR="006333DB">
        <w:rPr>
          <w:rFonts w:ascii="Times New Roman" w:hAnsi="Times New Roman" w:cs="Times New Roman"/>
          <w:color w:val="000000" w:themeColor="text1"/>
          <w:lang w:val="uk-UA"/>
        </w:rPr>
        <w:t xml:space="preserve">прийому </w:t>
      </w:r>
      <w:r w:rsidR="00096C86">
        <w:rPr>
          <w:rFonts w:ascii="Times New Roman" w:hAnsi="Times New Roman" w:cs="Times New Roman"/>
          <w:color w:val="000000" w:themeColor="text1"/>
          <w:lang w:val="uk-UA"/>
        </w:rPr>
        <w:t>глікапревіру та пібрен</w:t>
      </w:r>
      <w:r w:rsidR="00096C86" w:rsidRPr="006A02EB">
        <w:rPr>
          <w:rFonts w:ascii="Times New Roman" w:hAnsi="Times New Roman" w:cs="Times New Roman"/>
          <w:color w:val="000000" w:themeColor="text1"/>
          <w:lang w:val="uk-UA"/>
        </w:rPr>
        <w:t>та</w:t>
      </w:r>
      <w:r w:rsidR="00096C86">
        <w:rPr>
          <w:rFonts w:ascii="Times New Roman" w:hAnsi="Times New Roman" w:cs="Times New Roman"/>
          <w:color w:val="000000" w:themeColor="text1"/>
          <w:lang w:val="uk-UA"/>
        </w:rPr>
        <w:t>с</w:t>
      </w:r>
      <w:r w:rsidR="00096C86" w:rsidRPr="006A02EB">
        <w:rPr>
          <w:rFonts w:ascii="Times New Roman" w:hAnsi="Times New Roman" w:cs="Times New Roman"/>
          <w:color w:val="000000" w:themeColor="text1"/>
          <w:lang w:val="uk-UA"/>
        </w:rPr>
        <w:t>віру</w:t>
      </w:r>
      <w:r w:rsidRPr="006C070D">
        <w:rPr>
          <w:rFonts w:ascii="Times New Roman" w:hAnsi="Times New Roman" w:cs="Times New Roman"/>
          <w:color w:val="000000" w:themeColor="text1"/>
          <w:lang w:val="uk-UA"/>
        </w:rPr>
        <w:t>.</w:t>
      </w:r>
      <w:r w:rsidRPr="00096C86">
        <w:rPr>
          <w:rFonts w:ascii="Times New Roman" w:hAnsi="Times New Roman" w:cs="Times New Roman"/>
          <w:color w:val="000000" w:themeColor="text1"/>
          <w:vertAlign w:val="superscript"/>
          <w:lang w:val="uk-UA"/>
        </w:rPr>
        <w:t>73</w:t>
      </w:r>
    </w:p>
    <w:p w14:paraId="32480E17" w14:textId="11514AD2" w:rsidR="00316F1C" w:rsidRDefault="00316F1C" w:rsidP="00F53078">
      <w:pPr>
        <w:tabs>
          <w:tab w:val="left" w:pos="1089"/>
        </w:tabs>
        <w:jc w:val="both"/>
        <w:rPr>
          <w:rFonts w:ascii="Times New Roman" w:hAnsi="Times New Roman" w:cs="Times New Roman"/>
          <w:color w:val="000000" w:themeColor="text1"/>
          <w:vertAlign w:val="superscript"/>
          <w:lang w:val="uk-UA"/>
        </w:rPr>
      </w:pPr>
    </w:p>
    <w:tbl>
      <w:tblPr>
        <w:tblStyle w:val="a6"/>
        <w:tblW w:w="0" w:type="auto"/>
        <w:tblLook w:val="04A0" w:firstRow="1" w:lastRow="0" w:firstColumn="1" w:lastColumn="0" w:noHBand="0" w:noVBand="1"/>
      </w:tblPr>
      <w:tblGrid>
        <w:gridCol w:w="9906"/>
      </w:tblGrid>
      <w:tr w:rsidR="00316F1C" w:rsidRPr="0080595E" w14:paraId="33EA51BF" w14:textId="77777777" w:rsidTr="00316F1C">
        <w:tc>
          <w:tcPr>
            <w:tcW w:w="9906" w:type="dxa"/>
            <w:shd w:val="clear" w:color="auto" w:fill="BDD6EE" w:themeFill="accent1" w:themeFillTint="66"/>
          </w:tcPr>
          <w:p w14:paraId="06D7B6C7" w14:textId="77777777" w:rsidR="00316F1C" w:rsidRPr="00F31D9F" w:rsidRDefault="00316F1C" w:rsidP="00316F1C">
            <w:pPr>
              <w:tabs>
                <w:tab w:val="left" w:pos="1089"/>
              </w:tabs>
              <w:rPr>
                <w:rFonts w:ascii="Times New Roman" w:hAnsi="Times New Roman" w:cs="Times New Roman"/>
                <w:b/>
                <w:i/>
                <w:color w:val="4472C4" w:themeColor="accent5"/>
                <w:lang w:val="uk-UA"/>
              </w:rPr>
            </w:pPr>
            <w:r w:rsidRPr="008A3473">
              <w:rPr>
                <w:rFonts w:ascii="Times New Roman" w:hAnsi="Times New Roman" w:cs="Times New Roman"/>
                <w:b/>
                <w:i/>
                <w:lang w:val="uk-UA"/>
              </w:rPr>
              <w:t>Генотип 1b, специфічна до генотипу схема: софосбувір/ледіпасвір</w:t>
            </w:r>
          </w:p>
          <w:p w14:paraId="1C8BAF76" w14:textId="2DA70885" w:rsidR="00316F1C" w:rsidRDefault="00316F1C" w:rsidP="00015E3B">
            <w:pPr>
              <w:pStyle w:val="a9"/>
              <w:numPr>
                <w:ilvl w:val="0"/>
                <w:numId w:val="13"/>
              </w:numPr>
              <w:tabs>
                <w:tab w:val="left" w:pos="1089"/>
              </w:tabs>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“Наївні” та </w:t>
            </w:r>
            <w:r w:rsidRPr="00E109B8">
              <w:rPr>
                <w:rFonts w:ascii="Times New Roman" w:hAnsi="Times New Roman" w:cs="Times New Roman"/>
                <w:color w:val="000000" w:themeColor="text1"/>
                <w:lang w:val="uk-UA"/>
              </w:rPr>
              <w:t>пацієнти</w:t>
            </w:r>
            <w:r w:rsidR="00652F9A">
              <w:rPr>
                <w:rFonts w:ascii="Times New Roman" w:hAnsi="Times New Roman" w:cs="Times New Roman"/>
                <w:color w:val="000000" w:themeColor="text1"/>
                <w:lang w:val="uk-UA"/>
              </w:rPr>
              <w:t xml:space="preserve"> з досвідом лікування</w:t>
            </w:r>
            <w:r w:rsidRPr="00F31D9F">
              <w:rPr>
                <w:rFonts w:ascii="Times New Roman" w:hAnsi="Times New Roman" w:cs="Times New Roman"/>
                <w:color w:val="000000" w:themeColor="text1"/>
                <w:lang w:val="uk-UA"/>
              </w:rPr>
              <w:t>, інфіковані генотипом 1b, без цирозу або з компенсованим (Child</w:t>
            </w:r>
            <w:r w:rsidR="00FC6D8A">
              <w:rPr>
                <w:rFonts w:ascii="Times New Roman" w:hAnsi="Times New Roman" w:cs="Times New Roman"/>
                <w:color w:val="000000" w:themeColor="text1"/>
                <w:lang w:val="uk-UA"/>
              </w:rPr>
              <w:t>–</w:t>
            </w:r>
            <w:r w:rsidRPr="00F31D9F">
              <w:rPr>
                <w:rFonts w:ascii="Times New Roman" w:hAnsi="Times New Roman" w:cs="Times New Roman"/>
                <w:color w:val="000000" w:themeColor="text1"/>
                <w:lang w:val="uk-UA"/>
              </w:rPr>
              <w:t xml:space="preserve">Pugh A) цирозом, </w:t>
            </w:r>
            <w:r>
              <w:rPr>
                <w:rFonts w:ascii="Times New Roman" w:hAnsi="Times New Roman" w:cs="Times New Roman"/>
                <w:color w:val="000000" w:themeColor="text1"/>
                <w:lang w:val="uk-UA"/>
              </w:rPr>
              <w:t>повинні отримувати фіксовану дозу</w:t>
            </w:r>
            <w:r w:rsidRPr="00F31D9F">
              <w:rPr>
                <w:rFonts w:ascii="Times New Roman" w:hAnsi="Times New Roman" w:cs="Times New Roman"/>
                <w:color w:val="000000" w:themeColor="text1"/>
                <w:lang w:val="uk-UA"/>
              </w:rPr>
              <w:t xml:space="preserve"> комбінації софосбувіру та </w:t>
            </w:r>
            <w:r>
              <w:rPr>
                <w:rFonts w:ascii="Times New Roman" w:hAnsi="Times New Roman" w:cs="Times New Roman"/>
                <w:color w:val="000000" w:themeColor="text1"/>
                <w:lang w:val="uk-UA"/>
              </w:rPr>
              <w:t>ле</w:t>
            </w:r>
            <w:r w:rsidRPr="00F31D9F">
              <w:rPr>
                <w:rFonts w:ascii="Times New Roman" w:hAnsi="Times New Roman" w:cs="Times New Roman"/>
                <w:color w:val="000000" w:themeColor="text1"/>
                <w:lang w:val="uk-UA"/>
              </w:rPr>
              <w:t>діпа</w:t>
            </w:r>
            <w:r>
              <w:rPr>
                <w:rFonts w:ascii="Times New Roman" w:hAnsi="Times New Roman" w:cs="Times New Roman"/>
                <w:color w:val="000000" w:themeColor="text1"/>
                <w:lang w:val="uk-UA"/>
              </w:rPr>
              <w:t>с</w:t>
            </w:r>
            <w:r w:rsidRPr="00F31D9F">
              <w:rPr>
                <w:rFonts w:ascii="Times New Roman" w:hAnsi="Times New Roman" w:cs="Times New Roman"/>
                <w:color w:val="000000" w:themeColor="text1"/>
                <w:lang w:val="uk-UA"/>
              </w:rPr>
              <w:t>віру протягом 12 тижнів (A1).</w:t>
            </w:r>
          </w:p>
          <w:p w14:paraId="0973A0BE" w14:textId="133792B2" w:rsidR="00316F1C" w:rsidRPr="00386DBB" w:rsidRDefault="00316F1C" w:rsidP="00015E3B">
            <w:pPr>
              <w:pStyle w:val="a9"/>
              <w:numPr>
                <w:ilvl w:val="0"/>
                <w:numId w:val="13"/>
              </w:numPr>
              <w:tabs>
                <w:tab w:val="left" w:pos="1089"/>
              </w:tabs>
              <w:rPr>
                <w:rFonts w:ascii="Times New Roman" w:hAnsi="Times New Roman" w:cs="Times New Roman"/>
                <w:color w:val="000000" w:themeColor="text1"/>
                <w:lang w:val="uk-UA"/>
              </w:rPr>
            </w:pPr>
            <w:r w:rsidRPr="00386DBB">
              <w:rPr>
                <w:rFonts w:ascii="Times New Roman" w:hAnsi="Times New Roman" w:cs="Times New Roman"/>
                <w:color w:val="000000" w:themeColor="text1"/>
                <w:lang w:val="uk-UA"/>
              </w:rPr>
              <w:t>“Наївн</w:t>
            </w:r>
            <w:r w:rsidR="006333DB">
              <w:rPr>
                <w:rFonts w:ascii="Times New Roman" w:hAnsi="Times New Roman" w:cs="Times New Roman"/>
                <w:color w:val="000000" w:themeColor="text1"/>
                <w:lang w:val="uk-UA"/>
              </w:rPr>
              <w:t>их</w:t>
            </w:r>
            <w:r w:rsidRPr="00386DBB">
              <w:rPr>
                <w:rFonts w:ascii="Times New Roman" w:hAnsi="Times New Roman" w:cs="Times New Roman"/>
                <w:color w:val="000000" w:themeColor="text1"/>
                <w:lang w:val="uk-UA"/>
              </w:rPr>
              <w:t>” пацієнт</w:t>
            </w:r>
            <w:r w:rsidR="006333DB">
              <w:rPr>
                <w:rFonts w:ascii="Times New Roman" w:hAnsi="Times New Roman" w:cs="Times New Roman"/>
                <w:color w:val="000000" w:themeColor="text1"/>
                <w:lang w:val="uk-UA"/>
              </w:rPr>
              <w:t>ів</w:t>
            </w:r>
            <w:r w:rsidRPr="00386DBB">
              <w:rPr>
                <w:rFonts w:ascii="Times New Roman" w:hAnsi="Times New Roman" w:cs="Times New Roman"/>
                <w:color w:val="000000" w:themeColor="text1"/>
                <w:lang w:val="uk-UA"/>
              </w:rPr>
              <w:t>, інфікован</w:t>
            </w:r>
            <w:r w:rsidR="006333DB">
              <w:rPr>
                <w:rFonts w:ascii="Times New Roman" w:hAnsi="Times New Roman" w:cs="Times New Roman"/>
                <w:color w:val="000000" w:themeColor="text1"/>
                <w:lang w:val="uk-UA"/>
              </w:rPr>
              <w:t>их</w:t>
            </w:r>
            <w:r w:rsidRPr="00386DBB">
              <w:rPr>
                <w:rFonts w:ascii="Times New Roman" w:hAnsi="Times New Roman" w:cs="Times New Roman"/>
                <w:color w:val="000000" w:themeColor="text1"/>
                <w:lang w:val="uk-UA"/>
              </w:rPr>
              <w:t xml:space="preserve"> генотипом 1b без цирозу, можна лікувати фіксованою дозою комбінації софосбувіру та ледіпасвіру протягом 8 тижнів (В1).</w:t>
            </w:r>
          </w:p>
        </w:tc>
      </w:tr>
    </w:tbl>
    <w:p w14:paraId="76B0122F" w14:textId="77777777" w:rsidR="00316F1C" w:rsidRDefault="00316F1C" w:rsidP="00F53078">
      <w:pPr>
        <w:tabs>
          <w:tab w:val="left" w:pos="1089"/>
        </w:tabs>
        <w:jc w:val="both"/>
        <w:rPr>
          <w:rFonts w:ascii="Times New Roman" w:hAnsi="Times New Roman" w:cs="Times New Roman"/>
          <w:color w:val="000000" w:themeColor="text1"/>
          <w:lang w:val="uk-UA"/>
        </w:rPr>
      </w:pPr>
    </w:p>
    <w:p w14:paraId="5C3C09B4" w14:textId="74EEB68D" w:rsidR="007B3E95" w:rsidRPr="007B3E95" w:rsidRDefault="007B3E95" w:rsidP="00F53078">
      <w:pPr>
        <w:tabs>
          <w:tab w:val="left" w:pos="1089"/>
        </w:tabs>
        <w:jc w:val="both"/>
        <w:rPr>
          <w:rFonts w:ascii="Times New Roman" w:hAnsi="Times New Roman" w:cs="Times New Roman"/>
          <w:color w:val="000000" w:themeColor="text1"/>
          <w:lang w:val="uk-UA"/>
        </w:rPr>
      </w:pPr>
      <w:r w:rsidRPr="007B3E95">
        <w:rPr>
          <w:rFonts w:ascii="Times New Roman" w:hAnsi="Times New Roman" w:cs="Times New Roman"/>
          <w:color w:val="000000" w:themeColor="text1"/>
          <w:lang w:val="uk-UA"/>
        </w:rPr>
        <w:t>Коментарі: Ця рекомендація базується на результа</w:t>
      </w:r>
      <w:r w:rsidR="00C81DAC">
        <w:rPr>
          <w:rFonts w:ascii="Times New Roman" w:hAnsi="Times New Roman" w:cs="Times New Roman"/>
          <w:color w:val="000000" w:themeColor="text1"/>
          <w:lang w:val="uk-UA"/>
        </w:rPr>
        <w:t>тах чотирьофазному дослідженні</w:t>
      </w:r>
      <w:r>
        <w:rPr>
          <w:rFonts w:ascii="Times New Roman" w:hAnsi="Times New Roman" w:cs="Times New Roman"/>
          <w:color w:val="000000" w:themeColor="text1"/>
          <w:lang w:val="uk-UA"/>
        </w:rPr>
        <w:t xml:space="preserve"> ІІІ </w:t>
      </w:r>
      <w:r w:rsidR="00FC6D8A">
        <w:rPr>
          <w:rFonts w:ascii="Times New Roman" w:hAnsi="Times New Roman" w:cs="Times New Roman"/>
          <w:color w:val="000000" w:themeColor="text1"/>
          <w:lang w:val="uk-UA"/>
        </w:rPr>
        <w:t>–</w:t>
      </w:r>
      <w:r>
        <w:rPr>
          <w:rFonts w:ascii="Times New Roman" w:hAnsi="Times New Roman" w:cs="Times New Roman"/>
          <w:color w:val="000000" w:themeColor="text1"/>
          <w:lang w:val="uk-UA"/>
        </w:rPr>
        <w:t xml:space="preserve"> </w:t>
      </w:r>
      <w:r w:rsidRPr="007B3E95">
        <w:rPr>
          <w:rFonts w:ascii="Times New Roman" w:hAnsi="Times New Roman" w:cs="Times New Roman"/>
          <w:color w:val="000000" w:themeColor="text1"/>
          <w:lang w:val="uk-UA"/>
        </w:rPr>
        <w:t>ІОН</w:t>
      </w:r>
      <w:r w:rsidR="00FC6D8A">
        <w:rPr>
          <w:rFonts w:ascii="Times New Roman" w:hAnsi="Times New Roman" w:cs="Times New Roman"/>
          <w:color w:val="000000" w:themeColor="text1"/>
          <w:lang w:val="uk-UA"/>
        </w:rPr>
        <w:t>–</w:t>
      </w:r>
      <w:r w:rsidRPr="007B3E95">
        <w:rPr>
          <w:rFonts w:ascii="Times New Roman" w:hAnsi="Times New Roman" w:cs="Times New Roman"/>
          <w:color w:val="000000" w:themeColor="text1"/>
          <w:lang w:val="uk-UA"/>
        </w:rPr>
        <w:t>1, ІОН</w:t>
      </w:r>
      <w:r w:rsidR="00FC6D8A">
        <w:rPr>
          <w:rFonts w:ascii="Times New Roman" w:hAnsi="Times New Roman" w:cs="Times New Roman"/>
          <w:color w:val="000000" w:themeColor="text1"/>
          <w:lang w:val="uk-UA"/>
        </w:rPr>
        <w:t>–</w:t>
      </w:r>
      <w:r w:rsidRPr="007B3E95">
        <w:rPr>
          <w:rFonts w:ascii="Times New Roman" w:hAnsi="Times New Roman" w:cs="Times New Roman"/>
          <w:color w:val="000000" w:themeColor="text1"/>
          <w:lang w:val="uk-UA"/>
        </w:rPr>
        <w:t>2, ІОН</w:t>
      </w:r>
      <w:r w:rsidR="00FC6D8A">
        <w:rPr>
          <w:rFonts w:ascii="Times New Roman" w:hAnsi="Times New Roman" w:cs="Times New Roman"/>
          <w:color w:val="000000" w:themeColor="text1"/>
          <w:lang w:val="uk-UA"/>
        </w:rPr>
        <w:t>–</w:t>
      </w:r>
      <w:r w:rsidRPr="007B3E95">
        <w:rPr>
          <w:rFonts w:ascii="Times New Roman" w:hAnsi="Times New Roman" w:cs="Times New Roman"/>
          <w:color w:val="000000" w:themeColor="text1"/>
          <w:lang w:val="uk-UA"/>
        </w:rPr>
        <w:t>3 та ІОН</w:t>
      </w:r>
      <w:r w:rsidR="00FC6D8A">
        <w:rPr>
          <w:rFonts w:ascii="Times New Roman" w:hAnsi="Times New Roman" w:cs="Times New Roman"/>
          <w:color w:val="000000" w:themeColor="text1"/>
          <w:lang w:val="uk-UA"/>
        </w:rPr>
        <w:t>–</w:t>
      </w:r>
      <w:r w:rsidRPr="007B3E95">
        <w:rPr>
          <w:rFonts w:ascii="Times New Roman" w:hAnsi="Times New Roman" w:cs="Times New Roman"/>
          <w:color w:val="000000" w:themeColor="text1"/>
          <w:lang w:val="uk-UA"/>
        </w:rPr>
        <w:t>474</w:t>
      </w:r>
      <w:r w:rsidR="00FC6D8A">
        <w:rPr>
          <w:rFonts w:ascii="Times New Roman" w:hAnsi="Times New Roman" w:cs="Times New Roman"/>
          <w:color w:val="000000" w:themeColor="text1"/>
          <w:lang w:val="uk-UA"/>
        </w:rPr>
        <w:t>–</w:t>
      </w:r>
      <w:r w:rsidRPr="007B3E95">
        <w:rPr>
          <w:rFonts w:ascii="Times New Roman" w:hAnsi="Times New Roman" w:cs="Times New Roman"/>
          <w:color w:val="000000" w:themeColor="text1"/>
          <w:lang w:val="uk-UA"/>
        </w:rPr>
        <w:t xml:space="preserve">77 та на кількох </w:t>
      </w:r>
      <w:r>
        <w:rPr>
          <w:rFonts w:ascii="Times New Roman" w:hAnsi="Times New Roman" w:cs="Times New Roman"/>
          <w:color w:val="000000" w:themeColor="text1"/>
          <w:lang w:val="uk-UA"/>
        </w:rPr>
        <w:t>ретроспективних</w:t>
      </w:r>
      <w:r w:rsidRPr="007B3E95">
        <w:rPr>
          <w:rFonts w:ascii="Times New Roman" w:hAnsi="Times New Roman" w:cs="Times New Roman"/>
          <w:color w:val="000000" w:themeColor="text1"/>
          <w:lang w:val="uk-UA"/>
        </w:rPr>
        <w:t xml:space="preserve"> аналізах </w:t>
      </w:r>
      <w:r>
        <w:rPr>
          <w:rFonts w:ascii="Times New Roman" w:hAnsi="Times New Roman" w:cs="Times New Roman"/>
          <w:color w:val="000000" w:themeColor="text1"/>
          <w:lang w:val="uk-UA"/>
        </w:rPr>
        <w:t xml:space="preserve">сукупних </w:t>
      </w:r>
      <w:r w:rsidRPr="007B3E95">
        <w:rPr>
          <w:rFonts w:ascii="Times New Roman" w:hAnsi="Times New Roman" w:cs="Times New Roman"/>
          <w:color w:val="000000" w:themeColor="text1"/>
          <w:lang w:val="uk-UA"/>
        </w:rPr>
        <w:t>даних з клінічних досліджень II та III фази.</w:t>
      </w:r>
    </w:p>
    <w:p w14:paraId="5D68C0B2" w14:textId="77777777" w:rsidR="007B3E95" w:rsidRDefault="007B3E95" w:rsidP="00F53078">
      <w:pPr>
        <w:tabs>
          <w:tab w:val="left" w:pos="1089"/>
        </w:tabs>
        <w:jc w:val="both"/>
        <w:rPr>
          <w:rFonts w:ascii="Times New Roman" w:hAnsi="Times New Roman" w:cs="Times New Roman"/>
          <w:color w:val="000000" w:themeColor="text1"/>
          <w:lang w:val="uk-UA"/>
        </w:rPr>
      </w:pPr>
    </w:p>
    <w:p w14:paraId="064D1AA2" w14:textId="4E623814" w:rsidR="007B3E95" w:rsidRPr="007B3E95" w:rsidRDefault="007B3E95" w:rsidP="00F53078">
      <w:pPr>
        <w:tabs>
          <w:tab w:val="left" w:pos="1089"/>
        </w:tabs>
        <w:jc w:val="both"/>
        <w:rPr>
          <w:rFonts w:ascii="Times New Roman" w:hAnsi="Times New Roman" w:cs="Times New Roman"/>
          <w:color w:val="000000" w:themeColor="text1"/>
          <w:lang w:val="uk-UA"/>
        </w:rPr>
      </w:pPr>
      <w:r w:rsidRPr="007B3E95">
        <w:rPr>
          <w:rFonts w:ascii="Times New Roman" w:hAnsi="Times New Roman" w:cs="Times New Roman"/>
          <w:color w:val="000000" w:themeColor="text1"/>
          <w:lang w:val="uk-UA"/>
        </w:rPr>
        <w:t>У ІОН</w:t>
      </w:r>
      <w:r w:rsidR="00FC6D8A">
        <w:rPr>
          <w:rFonts w:ascii="Times New Roman" w:hAnsi="Times New Roman" w:cs="Times New Roman"/>
          <w:color w:val="000000" w:themeColor="text1"/>
          <w:lang w:val="uk-UA"/>
        </w:rPr>
        <w:t>–</w:t>
      </w:r>
      <w:r w:rsidRPr="007B3E95">
        <w:rPr>
          <w:rFonts w:ascii="Times New Roman" w:hAnsi="Times New Roman" w:cs="Times New Roman"/>
          <w:color w:val="000000" w:themeColor="text1"/>
          <w:lang w:val="uk-UA"/>
        </w:rPr>
        <w:t>1</w:t>
      </w:r>
      <w:r>
        <w:rPr>
          <w:rFonts w:ascii="Times New Roman" w:hAnsi="Times New Roman" w:cs="Times New Roman"/>
          <w:color w:val="000000" w:themeColor="text1"/>
          <w:lang w:val="uk-UA"/>
        </w:rPr>
        <w:t xml:space="preserve">, </w:t>
      </w:r>
      <w:r w:rsidR="00FC0A82">
        <w:rPr>
          <w:rFonts w:ascii="Times New Roman" w:hAnsi="Times New Roman" w:cs="Times New Roman"/>
          <w:color w:val="000000" w:themeColor="text1"/>
          <w:lang w:val="uk-UA"/>
        </w:rPr>
        <w:t>“наївні”</w:t>
      </w:r>
      <w:r w:rsidRPr="007B3E95">
        <w:rPr>
          <w:rFonts w:ascii="Times New Roman" w:hAnsi="Times New Roman" w:cs="Times New Roman"/>
          <w:color w:val="000000" w:themeColor="text1"/>
          <w:lang w:val="uk-UA"/>
        </w:rPr>
        <w:t xml:space="preserve"> пацієнти, </w:t>
      </w:r>
      <w:r>
        <w:rPr>
          <w:rFonts w:ascii="Times New Roman" w:hAnsi="Times New Roman" w:cs="Times New Roman"/>
          <w:color w:val="000000" w:themeColor="text1"/>
          <w:lang w:val="uk-UA"/>
        </w:rPr>
        <w:t>інфіковані генотипом 1b, включаючи</w:t>
      </w:r>
      <w:r w:rsidRPr="007B3E95">
        <w:rPr>
          <w:rFonts w:ascii="Times New Roman" w:hAnsi="Times New Roman" w:cs="Times New Roman"/>
          <w:color w:val="000000" w:themeColor="text1"/>
          <w:lang w:val="uk-UA"/>
        </w:rPr>
        <w:t xml:space="preserve"> прибл</w:t>
      </w:r>
      <w:r>
        <w:rPr>
          <w:rFonts w:ascii="Times New Roman" w:hAnsi="Times New Roman" w:cs="Times New Roman"/>
          <w:color w:val="000000" w:themeColor="text1"/>
          <w:lang w:val="uk-UA"/>
        </w:rPr>
        <w:t>изно 15% з компенсованим цирозом, досягли СВВ</w:t>
      </w:r>
      <w:r w:rsidRPr="007B3E95">
        <w:rPr>
          <w:rFonts w:ascii="Times New Roman" w:hAnsi="Times New Roman" w:cs="Times New Roman"/>
          <w:color w:val="000000" w:themeColor="text1"/>
          <w:lang w:val="uk-UA"/>
        </w:rPr>
        <w:t>12 у 100% (66/66) випадків після 12 тижнів</w:t>
      </w:r>
      <w:r w:rsidR="00386DBB">
        <w:rPr>
          <w:rFonts w:ascii="Times New Roman" w:hAnsi="Times New Roman" w:cs="Times New Roman"/>
          <w:color w:val="000000" w:themeColor="text1"/>
          <w:lang w:val="uk-UA"/>
        </w:rPr>
        <w:t xml:space="preserve"> лікування</w:t>
      </w:r>
      <w:r w:rsidRPr="007B3E95">
        <w:rPr>
          <w:rFonts w:ascii="Times New Roman" w:hAnsi="Times New Roman" w:cs="Times New Roman"/>
          <w:color w:val="000000" w:themeColor="text1"/>
          <w:lang w:val="uk-UA"/>
        </w:rPr>
        <w:t>.</w:t>
      </w:r>
      <w:r w:rsidRPr="00345326">
        <w:rPr>
          <w:rFonts w:ascii="Times New Roman" w:hAnsi="Times New Roman" w:cs="Times New Roman"/>
          <w:color w:val="000000" w:themeColor="text1"/>
          <w:vertAlign w:val="superscript"/>
          <w:lang w:val="uk-UA"/>
        </w:rPr>
        <w:t>74</w:t>
      </w:r>
      <w:r w:rsidRPr="007B3E95">
        <w:rPr>
          <w:rFonts w:ascii="Times New Roman" w:hAnsi="Times New Roman" w:cs="Times New Roman"/>
          <w:color w:val="000000" w:themeColor="text1"/>
          <w:lang w:val="uk-UA"/>
        </w:rPr>
        <w:t xml:space="preserve"> Інтегрований аналіз пацієнтів з компенсованим</w:t>
      </w:r>
      <w:r w:rsidR="00345326">
        <w:rPr>
          <w:rFonts w:ascii="Times New Roman" w:hAnsi="Times New Roman" w:cs="Times New Roman"/>
          <w:color w:val="000000" w:themeColor="text1"/>
          <w:lang w:val="uk-UA"/>
        </w:rPr>
        <w:t xml:space="preserve"> цирозом, що лікувалися софосбувіром</w:t>
      </w:r>
      <w:r w:rsidRPr="007B3E95">
        <w:rPr>
          <w:rFonts w:ascii="Times New Roman" w:hAnsi="Times New Roman" w:cs="Times New Roman"/>
          <w:color w:val="000000" w:themeColor="text1"/>
          <w:lang w:val="uk-UA"/>
        </w:rPr>
        <w:t>/</w:t>
      </w:r>
      <w:r w:rsidR="00345326">
        <w:rPr>
          <w:rFonts w:ascii="Times New Roman" w:hAnsi="Times New Roman" w:cs="Times New Roman"/>
          <w:color w:val="000000" w:themeColor="text1"/>
          <w:lang w:val="uk-UA"/>
        </w:rPr>
        <w:t>ле</w:t>
      </w:r>
      <w:r w:rsidR="00345326" w:rsidRPr="00F31D9F">
        <w:rPr>
          <w:rFonts w:ascii="Times New Roman" w:hAnsi="Times New Roman" w:cs="Times New Roman"/>
          <w:color w:val="000000" w:themeColor="text1"/>
          <w:lang w:val="uk-UA"/>
        </w:rPr>
        <w:t>діпа</w:t>
      </w:r>
      <w:r w:rsidR="00345326">
        <w:rPr>
          <w:rFonts w:ascii="Times New Roman" w:hAnsi="Times New Roman" w:cs="Times New Roman"/>
          <w:color w:val="000000" w:themeColor="text1"/>
          <w:lang w:val="uk-UA"/>
        </w:rPr>
        <w:t>свіром</w:t>
      </w:r>
      <w:r w:rsidR="00345326" w:rsidRPr="007B3E95">
        <w:rPr>
          <w:rFonts w:ascii="Times New Roman" w:hAnsi="Times New Roman" w:cs="Times New Roman"/>
          <w:color w:val="000000" w:themeColor="text1"/>
          <w:lang w:val="uk-UA"/>
        </w:rPr>
        <w:t xml:space="preserve"> </w:t>
      </w:r>
      <w:r w:rsidRPr="007B3E95">
        <w:rPr>
          <w:rFonts w:ascii="Times New Roman" w:hAnsi="Times New Roman" w:cs="Times New Roman"/>
          <w:color w:val="000000" w:themeColor="text1"/>
          <w:lang w:val="uk-UA"/>
        </w:rPr>
        <w:t xml:space="preserve">протягом 12 тижнів у різних </w:t>
      </w:r>
      <w:r w:rsidR="00345326">
        <w:rPr>
          <w:rFonts w:ascii="Times New Roman" w:hAnsi="Times New Roman" w:cs="Times New Roman"/>
          <w:color w:val="000000" w:themeColor="text1"/>
          <w:lang w:val="uk-UA"/>
        </w:rPr>
        <w:t>фазах досліджень, показали загальну частоту СВВ</w:t>
      </w:r>
      <w:r w:rsidRPr="007B3E95">
        <w:rPr>
          <w:rFonts w:ascii="Times New Roman" w:hAnsi="Times New Roman" w:cs="Times New Roman"/>
          <w:color w:val="000000" w:themeColor="text1"/>
          <w:lang w:val="uk-UA"/>
        </w:rPr>
        <w:t xml:space="preserve">12 у 97% (72/74) у </w:t>
      </w:r>
      <w:r w:rsidR="00FC0A82">
        <w:rPr>
          <w:rFonts w:ascii="Times New Roman" w:hAnsi="Times New Roman" w:cs="Times New Roman"/>
          <w:color w:val="000000" w:themeColor="text1"/>
          <w:lang w:val="uk-UA"/>
        </w:rPr>
        <w:t>“наївних”</w:t>
      </w:r>
      <w:r w:rsidR="00345326">
        <w:rPr>
          <w:rFonts w:ascii="Times New Roman" w:hAnsi="Times New Roman" w:cs="Times New Roman"/>
          <w:color w:val="000000" w:themeColor="text1"/>
          <w:lang w:val="uk-UA"/>
        </w:rPr>
        <w:t xml:space="preserve"> пацієнтів</w:t>
      </w:r>
      <w:r w:rsidRPr="007B3E95">
        <w:rPr>
          <w:rFonts w:ascii="Times New Roman" w:hAnsi="Times New Roman" w:cs="Times New Roman"/>
          <w:color w:val="000000" w:themeColor="text1"/>
          <w:lang w:val="uk-UA"/>
        </w:rPr>
        <w:t xml:space="preserve"> та 96 % (12</w:t>
      </w:r>
      <w:r w:rsidR="00345326">
        <w:rPr>
          <w:rFonts w:ascii="Times New Roman" w:hAnsi="Times New Roman" w:cs="Times New Roman"/>
          <w:color w:val="000000" w:themeColor="text1"/>
          <w:lang w:val="uk-UA"/>
        </w:rPr>
        <w:t>4/129) у пацієнтів</w:t>
      </w:r>
      <w:r w:rsidR="00652F9A">
        <w:rPr>
          <w:rFonts w:ascii="Times New Roman" w:hAnsi="Times New Roman" w:cs="Times New Roman"/>
          <w:color w:val="000000" w:themeColor="text1"/>
          <w:lang w:val="uk-UA"/>
        </w:rPr>
        <w:t xml:space="preserve"> з досвідом лікування</w:t>
      </w:r>
      <w:r w:rsidRPr="007B3E95">
        <w:rPr>
          <w:rFonts w:ascii="Times New Roman" w:hAnsi="Times New Roman" w:cs="Times New Roman"/>
          <w:color w:val="000000" w:themeColor="text1"/>
          <w:lang w:val="uk-UA"/>
        </w:rPr>
        <w:t>.</w:t>
      </w:r>
      <w:r w:rsidRPr="00345326">
        <w:rPr>
          <w:rFonts w:ascii="Times New Roman" w:hAnsi="Times New Roman" w:cs="Times New Roman"/>
          <w:color w:val="000000" w:themeColor="text1"/>
          <w:vertAlign w:val="superscript"/>
          <w:lang w:val="uk-UA"/>
        </w:rPr>
        <w:t xml:space="preserve"> 78</w:t>
      </w:r>
    </w:p>
    <w:p w14:paraId="0BFF8F0B" w14:textId="77777777" w:rsidR="00345326" w:rsidRDefault="00345326" w:rsidP="00F53078">
      <w:pPr>
        <w:tabs>
          <w:tab w:val="left" w:pos="1089"/>
        </w:tabs>
        <w:jc w:val="both"/>
        <w:rPr>
          <w:rFonts w:ascii="Times New Roman" w:hAnsi="Times New Roman" w:cs="Times New Roman"/>
          <w:color w:val="000000" w:themeColor="text1"/>
          <w:lang w:val="uk-UA"/>
        </w:rPr>
      </w:pPr>
    </w:p>
    <w:p w14:paraId="57035CF7" w14:textId="5C6C2604" w:rsidR="007B3E95" w:rsidRPr="006C7989" w:rsidRDefault="00345326" w:rsidP="00F53078">
      <w:pPr>
        <w:tabs>
          <w:tab w:val="left" w:pos="1089"/>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У ІОН</w:t>
      </w:r>
      <w:r w:rsidR="00FC6D8A">
        <w:rPr>
          <w:rFonts w:ascii="Times New Roman" w:hAnsi="Times New Roman" w:cs="Times New Roman"/>
          <w:color w:val="000000" w:themeColor="text1"/>
          <w:lang w:val="uk-UA"/>
        </w:rPr>
        <w:t>–</w:t>
      </w:r>
      <w:r>
        <w:rPr>
          <w:rFonts w:ascii="Times New Roman" w:hAnsi="Times New Roman" w:cs="Times New Roman"/>
          <w:color w:val="000000" w:themeColor="text1"/>
          <w:lang w:val="uk-UA"/>
        </w:rPr>
        <w:t>2 серед пацієнтів</w:t>
      </w:r>
      <w:r w:rsidR="007B3E95" w:rsidRPr="007B3E95">
        <w:rPr>
          <w:rFonts w:ascii="Times New Roman" w:hAnsi="Times New Roman" w:cs="Times New Roman"/>
          <w:color w:val="000000" w:themeColor="text1"/>
          <w:lang w:val="uk-UA"/>
        </w:rPr>
        <w:t>, які раніше отримували терапію з пегілірованним IFN</w:t>
      </w:r>
      <w:r w:rsidR="00FC6D8A">
        <w:rPr>
          <w:rFonts w:ascii="Times New Roman" w:hAnsi="Times New Roman" w:cs="Times New Roman"/>
          <w:color w:val="000000" w:themeColor="text1"/>
          <w:lang w:val="uk-UA"/>
        </w:rPr>
        <w:t>–</w:t>
      </w:r>
      <w:r w:rsidR="007B3E95" w:rsidRPr="007B3E95">
        <w:rPr>
          <w:rFonts w:ascii="Times New Roman" w:hAnsi="Times New Roman" w:cs="Times New Roman"/>
          <w:color w:val="000000" w:themeColor="text1"/>
          <w:lang w:val="uk-UA"/>
        </w:rPr>
        <w:t xml:space="preserve">α та рибавірином, або з </w:t>
      </w:r>
      <w:r w:rsidR="006333DB" w:rsidRPr="007B3E95">
        <w:rPr>
          <w:rFonts w:ascii="Times New Roman" w:hAnsi="Times New Roman" w:cs="Times New Roman"/>
          <w:color w:val="000000" w:themeColor="text1"/>
          <w:lang w:val="uk-UA"/>
        </w:rPr>
        <w:t>пегіл</w:t>
      </w:r>
      <w:r w:rsidR="006333DB">
        <w:rPr>
          <w:rFonts w:ascii="Times New Roman" w:hAnsi="Times New Roman" w:cs="Times New Roman"/>
          <w:color w:val="000000" w:themeColor="text1"/>
          <w:lang w:val="uk-UA"/>
        </w:rPr>
        <w:t>ьованим</w:t>
      </w:r>
      <w:r w:rsidR="006333DB" w:rsidRPr="007B3E95">
        <w:rPr>
          <w:rFonts w:ascii="Times New Roman" w:hAnsi="Times New Roman" w:cs="Times New Roman"/>
          <w:color w:val="000000" w:themeColor="text1"/>
          <w:lang w:val="uk-UA"/>
        </w:rPr>
        <w:t xml:space="preserve"> </w:t>
      </w:r>
      <w:r w:rsidR="007B3E95" w:rsidRPr="007B3E95">
        <w:rPr>
          <w:rFonts w:ascii="Times New Roman" w:hAnsi="Times New Roman" w:cs="Times New Roman"/>
          <w:color w:val="000000" w:themeColor="text1"/>
          <w:lang w:val="uk-UA"/>
        </w:rPr>
        <w:t>IFN</w:t>
      </w:r>
      <w:r w:rsidR="00FC6D8A">
        <w:rPr>
          <w:rFonts w:ascii="Times New Roman" w:hAnsi="Times New Roman" w:cs="Times New Roman"/>
          <w:color w:val="000000" w:themeColor="text1"/>
          <w:lang w:val="uk-UA"/>
        </w:rPr>
        <w:t>–</w:t>
      </w:r>
      <w:r w:rsidR="007B3E95" w:rsidRPr="007B3E95">
        <w:rPr>
          <w:rFonts w:ascii="Times New Roman" w:hAnsi="Times New Roman" w:cs="Times New Roman"/>
          <w:color w:val="000000" w:themeColor="text1"/>
          <w:lang w:val="uk-UA"/>
        </w:rPr>
        <w:t>α, ри</w:t>
      </w:r>
      <w:r>
        <w:rPr>
          <w:rFonts w:ascii="Times New Roman" w:hAnsi="Times New Roman" w:cs="Times New Roman"/>
          <w:color w:val="000000" w:themeColor="text1"/>
          <w:lang w:val="uk-UA"/>
        </w:rPr>
        <w:t>бавірином і телапревіром або боце</w:t>
      </w:r>
      <w:r w:rsidR="007B3E95" w:rsidRPr="007B3E95">
        <w:rPr>
          <w:rFonts w:ascii="Times New Roman" w:hAnsi="Times New Roman" w:cs="Times New Roman"/>
          <w:color w:val="000000" w:themeColor="text1"/>
          <w:lang w:val="uk-UA"/>
        </w:rPr>
        <w:t xml:space="preserve">превіром, у тому числі приблизно </w:t>
      </w:r>
      <w:r w:rsidR="007B3E95" w:rsidRPr="007B3E95">
        <w:rPr>
          <w:rFonts w:ascii="Times New Roman" w:hAnsi="Times New Roman" w:cs="Times New Roman"/>
          <w:color w:val="000000" w:themeColor="text1"/>
          <w:lang w:val="uk-UA"/>
        </w:rPr>
        <w:lastRenderedPageBreak/>
        <w:t xml:space="preserve">20% з цирозом печінки, частота </w:t>
      </w:r>
      <w:r>
        <w:rPr>
          <w:rFonts w:ascii="Times New Roman" w:hAnsi="Times New Roman" w:cs="Times New Roman"/>
          <w:color w:val="000000" w:themeColor="text1"/>
          <w:lang w:val="uk-UA"/>
        </w:rPr>
        <w:t>СВВ</w:t>
      </w:r>
      <w:r w:rsidR="007B3E95" w:rsidRPr="007B3E95">
        <w:rPr>
          <w:rFonts w:ascii="Times New Roman" w:hAnsi="Times New Roman" w:cs="Times New Roman"/>
          <w:color w:val="000000" w:themeColor="text1"/>
          <w:lang w:val="uk-UA"/>
        </w:rPr>
        <w:t>12 становила 87 % (20/23; 3 рецидиву) у пац</w:t>
      </w:r>
      <w:r>
        <w:rPr>
          <w:rFonts w:ascii="Times New Roman" w:hAnsi="Times New Roman" w:cs="Times New Roman"/>
          <w:color w:val="000000" w:themeColor="text1"/>
          <w:lang w:val="uk-UA"/>
        </w:rPr>
        <w:t>ієнтів, інфікованих генотипом 1</w:t>
      </w:r>
      <w:r>
        <w:rPr>
          <w:rFonts w:ascii="Times New Roman" w:hAnsi="Times New Roman" w:cs="Times New Roman"/>
          <w:color w:val="000000" w:themeColor="text1"/>
          <w:lang w:val="en-US"/>
        </w:rPr>
        <w:t>b</w:t>
      </w:r>
      <w:r w:rsidR="007B3E95" w:rsidRPr="007B3E95">
        <w:rPr>
          <w:rFonts w:ascii="Times New Roman" w:hAnsi="Times New Roman" w:cs="Times New Roman"/>
          <w:color w:val="000000" w:themeColor="text1"/>
          <w:lang w:val="uk-UA"/>
        </w:rPr>
        <w:t>.</w:t>
      </w:r>
      <w:r w:rsidR="007B3E95" w:rsidRPr="00345326">
        <w:rPr>
          <w:rFonts w:ascii="Times New Roman" w:hAnsi="Times New Roman" w:cs="Times New Roman"/>
          <w:color w:val="000000" w:themeColor="text1"/>
          <w:vertAlign w:val="superscript"/>
          <w:lang w:val="uk-UA"/>
        </w:rPr>
        <w:t xml:space="preserve">75 </w:t>
      </w:r>
    </w:p>
    <w:p w14:paraId="661F619A" w14:textId="77777777" w:rsidR="00345326" w:rsidRDefault="00345326" w:rsidP="00F53078">
      <w:pPr>
        <w:tabs>
          <w:tab w:val="left" w:pos="1089"/>
        </w:tabs>
        <w:jc w:val="both"/>
        <w:rPr>
          <w:rFonts w:ascii="Times New Roman" w:hAnsi="Times New Roman" w:cs="Times New Roman"/>
          <w:color w:val="000000" w:themeColor="text1"/>
          <w:lang w:val="uk-UA"/>
        </w:rPr>
      </w:pPr>
    </w:p>
    <w:p w14:paraId="37125EB3" w14:textId="56FB0C15" w:rsidR="007B3E95" w:rsidRDefault="007B3E95" w:rsidP="00F53078">
      <w:pPr>
        <w:tabs>
          <w:tab w:val="left" w:pos="1089"/>
        </w:tabs>
        <w:jc w:val="both"/>
        <w:rPr>
          <w:rFonts w:ascii="Times New Roman" w:hAnsi="Times New Roman" w:cs="Times New Roman"/>
          <w:color w:val="000000" w:themeColor="text1"/>
          <w:vertAlign w:val="superscript"/>
          <w:lang w:val="uk-UA"/>
        </w:rPr>
      </w:pPr>
      <w:r w:rsidRPr="007B3E95">
        <w:rPr>
          <w:rFonts w:ascii="Times New Roman" w:hAnsi="Times New Roman" w:cs="Times New Roman"/>
          <w:color w:val="000000" w:themeColor="text1"/>
          <w:lang w:val="uk-UA"/>
        </w:rPr>
        <w:t>У відкрит</w:t>
      </w:r>
      <w:r w:rsidR="006333DB">
        <w:rPr>
          <w:rFonts w:ascii="Times New Roman" w:hAnsi="Times New Roman" w:cs="Times New Roman"/>
          <w:color w:val="000000" w:themeColor="text1"/>
          <w:lang w:val="uk-UA"/>
        </w:rPr>
        <w:t>ому</w:t>
      </w:r>
      <w:r w:rsidRPr="007B3E95">
        <w:rPr>
          <w:rFonts w:ascii="Times New Roman" w:hAnsi="Times New Roman" w:cs="Times New Roman"/>
          <w:color w:val="000000" w:themeColor="text1"/>
          <w:lang w:val="uk-UA"/>
        </w:rPr>
        <w:t xml:space="preserve"> дослідженн</w:t>
      </w:r>
      <w:r w:rsidR="006333DB">
        <w:rPr>
          <w:rFonts w:ascii="Times New Roman" w:hAnsi="Times New Roman" w:cs="Times New Roman"/>
          <w:color w:val="000000" w:themeColor="text1"/>
          <w:lang w:val="uk-UA"/>
        </w:rPr>
        <w:t xml:space="preserve">і </w:t>
      </w:r>
      <w:r w:rsidR="006333DB" w:rsidRPr="007B3E95">
        <w:rPr>
          <w:rFonts w:ascii="Times New Roman" w:hAnsi="Times New Roman" w:cs="Times New Roman"/>
          <w:color w:val="000000" w:themeColor="text1"/>
          <w:lang w:val="uk-UA"/>
        </w:rPr>
        <w:t>ION</w:t>
      </w:r>
      <w:r w:rsidR="00FC6D8A">
        <w:rPr>
          <w:rFonts w:ascii="Times New Roman" w:hAnsi="Times New Roman" w:cs="Times New Roman"/>
          <w:color w:val="000000" w:themeColor="text1"/>
          <w:lang w:val="uk-UA"/>
        </w:rPr>
        <w:t>–</w:t>
      </w:r>
      <w:r w:rsidR="006333DB" w:rsidRPr="007B3E95">
        <w:rPr>
          <w:rFonts w:ascii="Times New Roman" w:hAnsi="Times New Roman" w:cs="Times New Roman"/>
          <w:color w:val="000000" w:themeColor="text1"/>
          <w:lang w:val="uk-UA"/>
        </w:rPr>
        <w:t xml:space="preserve">4 </w:t>
      </w:r>
      <w:r w:rsidR="00AE6FA5" w:rsidRPr="006C7989">
        <w:rPr>
          <w:rFonts w:ascii="Times New Roman" w:hAnsi="Times New Roman" w:cs="Times New Roman"/>
          <w:color w:val="000000" w:themeColor="text1"/>
          <w:lang w:val="uk-UA"/>
        </w:rPr>
        <w:t xml:space="preserve">серед </w:t>
      </w:r>
      <w:r w:rsidR="00AE6FA5">
        <w:rPr>
          <w:rFonts w:ascii="Times New Roman" w:hAnsi="Times New Roman" w:cs="Times New Roman"/>
          <w:color w:val="000000" w:themeColor="text1"/>
          <w:lang w:val="uk-UA"/>
        </w:rPr>
        <w:t>“наївн</w:t>
      </w:r>
      <w:r w:rsidR="006333DB">
        <w:rPr>
          <w:rFonts w:ascii="Times New Roman" w:hAnsi="Times New Roman" w:cs="Times New Roman"/>
          <w:color w:val="000000" w:themeColor="text1"/>
          <w:lang w:val="uk-UA"/>
        </w:rPr>
        <w:t>и</w:t>
      </w:r>
      <w:r w:rsidR="00AE6FA5">
        <w:rPr>
          <w:rFonts w:ascii="Times New Roman" w:hAnsi="Times New Roman" w:cs="Times New Roman"/>
          <w:color w:val="000000" w:themeColor="text1"/>
          <w:lang w:val="uk-UA"/>
        </w:rPr>
        <w:t>х” та пацієнтів</w:t>
      </w:r>
      <w:r w:rsidR="00652F9A">
        <w:rPr>
          <w:rFonts w:ascii="Times New Roman" w:hAnsi="Times New Roman" w:cs="Times New Roman"/>
          <w:color w:val="000000" w:themeColor="text1"/>
          <w:lang w:val="uk-UA"/>
        </w:rPr>
        <w:t xml:space="preserve"> з досвідом лікування</w:t>
      </w:r>
      <w:r w:rsidR="00AE6FA5">
        <w:rPr>
          <w:rFonts w:ascii="Times New Roman" w:hAnsi="Times New Roman" w:cs="Times New Roman"/>
          <w:color w:val="000000" w:themeColor="text1"/>
          <w:lang w:val="uk-UA"/>
        </w:rPr>
        <w:t xml:space="preserve"> з</w:t>
      </w:r>
      <w:r w:rsidR="00AE6FA5" w:rsidRPr="007B3E95">
        <w:rPr>
          <w:rFonts w:ascii="Times New Roman" w:hAnsi="Times New Roman" w:cs="Times New Roman"/>
          <w:color w:val="000000" w:themeColor="text1"/>
          <w:lang w:val="uk-UA"/>
        </w:rPr>
        <w:t xml:space="preserve"> </w:t>
      </w:r>
      <w:r w:rsidR="00AE6FA5">
        <w:rPr>
          <w:rFonts w:ascii="Times New Roman" w:hAnsi="Times New Roman" w:cs="Times New Roman"/>
          <w:color w:val="000000" w:themeColor="text1"/>
          <w:lang w:val="uk-UA"/>
        </w:rPr>
        <w:t xml:space="preserve">генотипом 1b із </w:t>
      </w:r>
      <w:r w:rsidRPr="007B3E95">
        <w:rPr>
          <w:rFonts w:ascii="Times New Roman" w:hAnsi="Times New Roman" w:cs="Times New Roman"/>
          <w:color w:val="000000" w:themeColor="text1"/>
          <w:lang w:val="uk-UA"/>
        </w:rPr>
        <w:t xml:space="preserve">цирозом печінки або без нього, </w:t>
      </w:r>
      <w:r w:rsidR="00AE6FA5">
        <w:rPr>
          <w:rFonts w:ascii="Times New Roman" w:hAnsi="Times New Roman" w:cs="Times New Roman"/>
          <w:color w:val="000000" w:themeColor="text1"/>
          <w:lang w:val="uk-UA"/>
        </w:rPr>
        <w:t>інфікован</w:t>
      </w:r>
      <w:r w:rsidR="006333DB">
        <w:rPr>
          <w:rFonts w:ascii="Times New Roman" w:hAnsi="Times New Roman" w:cs="Times New Roman"/>
          <w:color w:val="000000" w:themeColor="text1"/>
          <w:lang w:val="uk-UA"/>
        </w:rPr>
        <w:t>их</w:t>
      </w:r>
      <w:r w:rsidRPr="007B3E95">
        <w:rPr>
          <w:rFonts w:ascii="Times New Roman" w:hAnsi="Times New Roman" w:cs="Times New Roman"/>
          <w:color w:val="000000" w:themeColor="text1"/>
          <w:lang w:val="uk-UA"/>
        </w:rPr>
        <w:t xml:space="preserve"> ВІЛ</w:t>
      </w:r>
      <w:r w:rsidR="006333DB">
        <w:rPr>
          <w:rFonts w:ascii="Times New Roman" w:hAnsi="Times New Roman" w:cs="Times New Roman"/>
          <w:color w:val="000000" w:themeColor="text1"/>
          <w:lang w:val="uk-UA"/>
        </w:rPr>
        <w:t xml:space="preserve">, які </w:t>
      </w:r>
      <w:r w:rsidRPr="007B3E95">
        <w:rPr>
          <w:rFonts w:ascii="Times New Roman" w:hAnsi="Times New Roman" w:cs="Times New Roman"/>
          <w:color w:val="000000" w:themeColor="text1"/>
          <w:lang w:val="uk-UA"/>
        </w:rPr>
        <w:t>отрим</w:t>
      </w:r>
      <w:r w:rsidR="006333DB">
        <w:rPr>
          <w:rFonts w:ascii="Times New Roman" w:hAnsi="Times New Roman" w:cs="Times New Roman"/>
          <w:color w:val="000000" w:themeColor="text1"/>
          <w:lang w:val="uk-UA"/>
        </w:rPr>
        <w:t>ув</w:t>
      </w:r>
      <w:r w:rsidRPr="007B3E95">
        <w:rPr>
          <w:rFonts w:ascii="Times New Roman" w:hAnsi="Times New Roman" w:cs="Times New Roman"/>
          <w:color w:val="000000" w:themeColor="text1"/>
          <w:lang w:val="uk-UA"/>
        </w:rPr>
        <w:t xml:space="preserve">али </w:t>
      </w:r>
      <w:r w:rsidR="006333DB">
        <w:rPr>
          <w:rFonts w:ascii="Times New Roman" w:hAnsi="Times New Roman" w:cs="Times New Roman"/>
          <w:color w:val="000000" w:themeColor="text1"/>
          <w:lang w:val="uk-UA"/>
        </w:rPr>
        <w:t>т</w:t>
      </w:r>
      <w:r w:rsidR="00AE6FA5">
        <w:rPr>
          <w:rFonts w:ascii="Times New Roman" w:hAnsi="Times New Roman" w:cs="Times New Roman"/>
          <w:color w:val="000000" w:themeColor="text1"/>
          <w:lang w:val="uk-UA"/>
        </w:rPr>
        <w:t>енофовір</w:t>
      </w:r>
      <w:r w:rsidRPr="007B3E95">
        <w:rPr>
          <w:rFonts w:ascii="Times New Roman" w:hAnsi="Times New Roman" w:cs="Times New Roman"/>
          <w:color w:val="000000" w:themeColor="text1"/>
          <w:lang w:val="uk-UA"/>
        </w:rPr>
        <w:t xml:space="preserve"> та емтріцітабін з </w:t>
      </w:r>
      <w:r w:rsidR="00187E20">
        <w:rPr>
          <w:rFonts w:ascii="Times New Roman" w:hAnsi="Times New Roman" w:cs="Times New Roman"/>
          <w:color w:val="000000" w:themeColor="text1"/>
          <w:lang w:val="uk-UA"/>
        </w:rPr>
        <w:t>ефавіренц</w:t>
      </w:r>
      <w:r w:rsidRPr="007B3E95">
        <w:rPr>
          <w:rFonts w:ascii="Times New Roman" w:hAnsi="Times New Roman" w:cs="Times New Roman"/>
          <w:color w:val="000000" w:themeColor="text1"/>
          <w:lang w:val="uk-UA"/>
        </w:rPr>
        <w:t xml:space="preserve">ом, рилпівіріном або ралтегравіром, частота </w:t>
      </w:r>
      <w:r w:rsidR="00345326">
        <w:rPr>
          <w:rFonts w:ascii="Times New Roman" w:hAnsi="Times New Roman" w:cs="Times New Roman"/>
          <w:color w:val="000000" w:themeColor="text1"/>
          <w:lang w:val="uk-UA"/>
        </w:rPr>
        <w:t>СВВ12 склала</w:t>
      </w:r>
      <w:r w:rsidRPr="007B3E95">
        <w:rPr>
          <w:rFonts w:ascii="Times New Roman" w:hAnsi="Times New Roman" w:cs="Times New Roman"/>
          <w:color w:val="000000" w:themeColor="text1"/>
          <w:lang w:val="uk-UA"/>
        </w:rPr>
        <w:t xml:space="preserve"> 96% (74/77; 3 рецидиви).</w:t>
      </w:r>
      <w:r w:rsidRPr="00AE6FA5">
        <w:rPr>
          <w:rFonts w:ascii="Times New Roman" w:hAnsi="Times New Roman" w:cs="Times New Roman"/>
          <w:color w:val="000000" w:themeColor="text1"/>
          <w:vertAlign w:val="superscript"/>
          <w:lang w:val="uk-UA"/>
        </w:rPr>
        <w:t>77</w:t>
      </w:r>
    </w:p>
    <w:p w14:paraId="5A882CC7" w14:textId="77777777" w:rsidR="00AE6FA5" w:rsidRPr="007B3E95" w:rsidRDefault="00AE6FA5" w:rsidP="00F53078">
      <w:pPr>
        <w:tabs>
          <w:tab w:val="left" w:pos="1089"/>
        </w:tabs>
        <w:jc w:val="both"/>
        <w:rPr>
          <w:rFonts w:ascii="Times New Roman" w:hAnsi="Times New Roman" w:cs="Times New Roman"/>
          <w:color w:val="000000" w:themeColor="text1"/>
          <w:lang w:val="uk-UA"/>
        </w:rPr>
      </w:pPr>
    </w:p>
    <w:p w14:paraId="0630E2AC" w14:textId="38A8DA29" w:rsidR="007B3E95" w:rsidRDefault="00AE6FA5" w:rsidP="00F53078">
      <w:pPr>
        <w:tabs>
          <w:tab w:val="left" w:pos="1089"/>
        </w:tabs>
        <w:jc w:val="both"/>
        <w:rPr>
          <w:rFonts w:ascii="Times New Roman" w:hAnsi="Times New Roman" w:cs="Times New Roman"/>
          <w:color w:val="000000" w:themeColor="text1"/>
          <w:vertAlign w:val="superscript"/>
          <w:lang w:val="uk-UA"/>
        </w:rPr>
      </w:pPr>
      <w:r>
        <w:rPr>
          <w:rFonts w:ascii="Times New Roman" w:hAnsi="Times New Roman" w:cs="Times New Roman"/>
          <w:color w:val="000000" w:themeColor="text1"/>
          <w:lang w:val="uk-UA"/>
        </w:rPr>
        <w:t xml:space="preserve">У </w:t>
      </w:r>
      <w:r w:rsidR="006333DB">
        <w:rPr>
          <w:rFonts w:ascii="Times New Roman" w:hAnsi="Times New Roman" w:cs="Times New Roman"/>
          <w:color w:val="000000" w:themeColor="text1"/>
          <w:lang w:val="uk-UA"/>
        </w:rPr>
        <w:t xml:space="preserve">дослідженні </w:t>
      </w:r>
      <w:r>
        <w:rPr>
          <w:rFonts w:ascii="Times New Roman" w:hAnsi="Times New Roman" w:cs="Times New Roman"/>
          <w:color w:val="000000" w:themeColor="text1"/>
          <w:lang w:val="uk-UA"/>
        </w:rPr>
        <w:t>ІОН</w:t>
      </w:r>
      <w:r w:rsidR="00FC6D8A">
        <w:rPr>
          <w:rFonts w:ascii="Times New Roman" w:hAnsi="Times New Roman" w:cs="Times New Roman"/>
          <w:color w:val="000000" w:themeColor="text1"/>
          <w:lang w:val="uk-UA"/>
        </w:rPr>
        <w:t>–</w:t>
      </w:r>
      <w:r>
        <w:rPr>
          <w:rFonts w:ascii="Times New Roman" w:hAnsi="Times New Roman" w:cs="Times New Roman"/>
          <w:color w:val="000000" w:themeColor="text1"/>
          <w:lang w:val="uk-UA"/>
        </w:rPr>
        <w:t>3 серед</w:t>
      </w:r>
      <w:r w:rsidR="007B3E95" w:rsidRPr="007B3E95">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“наївн</w:t>
      </w:r>
      <w:r w:rsidR="006333DB">
        <w:rPr>
          <w:rFonts w:ascii="Times New Roman" w:hAnsi="Times New Roman" w:cs="Times New Roman"/>
          <w:color w:val="000000" w:themeColor="text1"/>
          <w:lang w:val="uk-UA"/>
        </w:rPr>
        <w:t>и</w:t>
      </w:r>
      <w:r>
        <w:rPr>
          <w:rFonts w:ascii="Times New Roman" w:hAnsi="Times New Roman" w:cs="Times New Roman"/>
          <w:color w:val="000000" w:themeColor="text1"/>
          <w:lang w:val="uk-UA"/>
        </w:rPr>
        <w:t>х”</w:t>
      </w:r>
      <w:r w:rsidR="006333DB">
        <w:rPr>
          <w:rFonts w:ascii="Times New Roman" w:hAnsi="Times New Roman" w:cs="Times New Roman"/>
          <w:color w:val="000000" w:themeColor="text1"/>
          <w:lang w:val="uk-UA"/>
        </w:rPr>
        <w:t xml:space="preserve"> пацієнтів</w:t>
      </w:r>
      <w:r>
        <w:rPr>
          <w:rFonts w:ascii="Times New Roman" w:hAnsi="Times New Roman" w:cs="Times New Roman"/>
          <w:color w:val="000000" w:themeColor="text1"/>
          <w:lang w:val="uk-UA"/>
        </w:rPr>
        <w:t xml:space="preserve"> без цирозу (фіброз F3 був присутній</w:t>
      </w:r>
      <w:r w:rsidR="007B3E95" w:rsidRPr="007B3E95">
        <w:rPr>
          <w:rFonts w:ascii="Times New Roman" w:hAnsi="Times New Roman" w:cs="Times New Roman"/>
          <w:color w:val="000000" w:themeColor="text1"/>
          <w:lang w:val="uk-UA"/>
        </w:rPr>
        <w:t xml:space="preserve"> лише у 13% паці</w:t>
      </w:r>
      <w:r>
        <w:rPr>
          <w:rFonts w:ascii="Times New Roman" w:hAnsi="Times New Roman" w:cs="Times New Roman"/>
          <w:color w:val="000000" w:themeColor="text1"/>
          <w:lang w:val="uk-UA"/>
        </w:rPr>
        <w:t>єнтів з генотипом 1, у яких було зроблено</w:t>
      </w:r>
      <w:r w:rsidR="007B3E95" w:rsidRPr="007B3E95">
        <w:rPr>
          <w:rFonts w:ascii="Times New Roman" w:hAnsi="Times New Roman" w:cs="Times New Roman"/>
          <w:color w:val="000000" w:themeColor="text1"/>
          <w:lang w:val="uk-UA"/>
        </w:rPr>
        <w:t xml:space="preserve"> біопсію печінки), частота </w:t>
      </w:r>
      <w:r w:rsidR="00345326">
        <w:rPr>
          <w:rFonts w:ascii="Times New Roman" w:hAnsi="Times New Roman" w:cs="Times New Roman"/>
          <w:color w:val="000000" w:themeColor="text1"/>
          <w:lang w:val="uk-UA"/>
        </w:rPr>
        <w:t>СВВ</w:t>
      </w:r>
      <w:r w:rsidR="00345326" w:rsidRPr="007B3E95">
        <w:rPr>
          <w:rFonts w:ascii="Times New Roman" w:hAnsi="Times New Roman" w:cs="Times New Roman"/>
          <w:color w:val="000000" w:themeColor="text1"/>
          <w:lang w:val="uk-UA"/>
        </w:rPr>
        <w:t xml:space="preserve"> </w:t>
      </w:r>
      <w:r w:rsidR="007B3E95" w:rsidRPr="007B3E95">
        <w:rPr>
          <w:rFonts w:ascii="Times New Roman" w:hAnsi="Times New Roman" w:cs="Times New Roman"/>
          <w:color w:val="000000" w:themeColor="text1"/>
          <w:lang w:val="uk-UA"/>
        </w:rPr>
        <w:t>12 становила 98% (42/43; один реци</w:t>
      </w:r>
      <w:r>
        <w:rPr>
          <w:rFonts w:ascii="Times New Roman" w:hAnsi="Times New Roman" w:cs="Times New Roman"/>
          <w:color w:val="000000" w:themeColor="text1"/>
          <w:lang w:val="uk-UA"/>
        </w:rPr>
        <w:t>див) через 8 тижнів</w:t>
      </w:r>
      <w:r w:rsidR="006333DB">
        <w:rPr>
          <w:rFonts w:ascii="Times New Roman" w:hAnsi="Times New Roman" w:cs="Times New Roman"/>
          <w:color w:val="000000" w:themeColor="text1"/>
          <w:lang w:val="uk-UA"/>
        </w:rPr>
        <w:t xml:space="preserve"> прийому</w:t>
      </w:r>
      <w:r>
        <w:rPr>
          <w:rFonts w:ascii="Times New Roman" w:hAnsi="Times New Roman" w:cs="Times New Roman"/>
          <w:color w:val="000000" w:themeColor="text1"/>
          <w:lang w:val="uk-UA"/>
        </w:rPr>
        <w:t xml:space="preserve"> софосбувіру/ле</w:t>
      </w:r>
      <w:r w:rsidR="007B3E95" w:rsidRPr="007B3E95">
        <w:rPr>
          <w:rFonts w:ascii="Times New Roman" w:hAnsi="Times New Roman" w:cs="Times New Roman"/>
          <w:color w:val="000000" w:themeColor="text1"/>
          <w:lang w:val="uk-UA"/>
        </w:rPr>
        <w:t>діпа</w:t>
      </w:r>
      <w:r>
        <w:rPr>
          <w:rFonts w:ascii="Times New Roman" w:hAnsi="Times New Roman" w:cs="Times New Roman"/>
          <w:color w:val="000000" w:themeColor="text1"/>
          <w:lang w:val="uk-UA"/>
        </w:rPr>
        <w:t>с</w:t>
      </w:r>
      <w:r w:rsidR="007B3E95" w:rsidRPr="007B3E95">
        <w:rPr>
          <w:rFonts w:ascii="Times New Roman" w:hAnsi="Times New Roman" w:cs="Times New Roman"/>
          <w:color w:val="000000" w:themeColor="text1"/>
          <w:lang w:val="uk-UA"/>
        </w:rPr>
        <w:t>вір</w:t>
      </w:r>
      <w:r>
        <w:rPr>
          <w:rFonts w:ascii="Times New Roman" w:hAnsi="Times New Roman" w:cs="Times New Roman"/>
          <w:color w:val="000000" w:themeColor="text1"/>
          <w:lang w:val="uk-UA"/>
        </w:rPr>
        <w:t>у</w:t>
      </w:r>
      <w:r w:rsidR="006333DB">
        <w:rPr>
          <w:rFonts w:ascii="Times New Roman" w:hAnsi="Times New Roman" w:cs="Times New Roman"/>
          <w:color w:val="000000" w:themeColor="text1"/>
          <w:lang w:val="uk-UA"/>
        </w:rPr>
        <w:t>.</w:t>
      </w:r>
      <w:r w:rsidR="007B3E95" w:rsidRPr="00AE6FA5">
        <w:rPr>
          <w:rFonts w:ascii="Times New Roman" w:hAnsi="Times New Roman" w:cs="Times New Roman"/>
          <w:color w:val="000000" w:themeColor="text1"/>
          <w:vertAlign w:val="superscript"/>
          <w:lang w:val="uk-UA"/>
        </w:rPr>
        <w:t>76.</w:t>
      </w:r>
      <w:r w:rsidR="007B3E95" w:rsidRPr="007B3E95">
        <w:rPr>
          <w:rFonts w:ascii="Times New Roman" w:hAnsi="Times New Roman" w:cs="Times New Roman"/>
          <w:color w:val="000000" w:themeColor="text1"/>
          <w:lang w:val="uk-UA"/>
        </w:rPr>
        <w:t xml:space="preserve"> Ці результати підтверджувалися реальними дослідженнями з Європи та США в тій самій підгрупі пацієнтів, </w:t>
      </w:r>
      <w:r>
        <w:rPr>
          <w:rFonts w:ascii="Times New Roman" w:hAnsi="Times New Roman" w:cs="Times New Roman"/>
          <w:color w:val="000000" w:themeColor="text1"/>
          <w:lang w:val="uk-UA"/>
        </w:rPr>
        <w:t xml:space="preserve">та </w:t>
      </w:r>
      <w:r w:rsidR="007B3E95" w:rsidRPr="007B3E95">
        <w:rPr>
          <w:rFonts w:ascii="Times New Roman" w:hAnsi="Times New Roman" w:cs="Times New Roman"/>
          <w:color w:val="000000" w:themeColor="text1"/>
          <w:lang w:val="uk-UA"/>
        </w:rPr>
        <w:t xml:space="preserve">які </w:t>
      </w:r>
      <w:r>
        <w:rPr>
          <w:rFonts w:ascii="Times New Roman" w:hAnsi="Times New Roman" w:cs="Times New Roman"/>
          <w:color w:val="000000" w:themeColor="text1"/>
          <w:lang w:val="uk-UA"/>
        </w:rPr>
        <w:t>про</w:t>
      </w:r>
      <w:r w:rsidR="007B3E95" w:rsidRPr="007B3E95">
        <w:rPr>
          <w:rFonts w:ascii="Times New Roman" w:hAnsi="Times New Roman" w:cs="Times New Roman"/>
          <w:color w:val="000000" w:themeColor="text1"/>
          <w:lang w:val="uk-UA"/>
        </w:rPr>
        <w:t xml:space="preserve">демонстрували однаково високі показники </w:t>
      </w:r>
      <w:r w:rsidR="00345326">
        <w:rPr>
          <w:rFonts w:ascii="Times New Roman" w:hAnsi="Times New Roman" w:cs="Times New Roman"/>
          <w:color w:val="000000" w:themeColor="text1"/>
          <w:lang w:val="uk-UA"/>
        </w:rPr>
        <w:t>СВВ</w:t>
      </w:r>
      <w:r w:rsidR="007B3E95" w:rsidRPr="007B3E95">
        <w:rPr>
          <w:rFonts w:ascii="Times New Roman" w:hAnsi="Times New Roman" w:cs="Times New Roman"/>
          <w:color w:val="000000" w:themeColor="text1"/>
          <w:lang w:val="uk-UA"/>
        </w:rPr>
        <w:t>12. У об'єднаному ана</w:t>
      </w:r>
      <w:r>
        <w:rPr>
          <w:rFonts w:ascii="Times New Roman" w:hAnsi="Times New Roman" w:cs="Times New Roman"/>
          <w:color w:val="000000" w:themeColor="text1"/>
          <w:lang w:val="uk-UA"/>
        </w:rPr>
        <w:t xml:space="preserve">лізі хворих з різних досліджень, частота </w:t>
      </w:r>
      <w:r w:rsidR="00345326">
        <w:rPr>
          <w:rFonts w:ascii="Times New Roman" w:hAnsi="Times New Roman" w:cs="Times New Roman"/>
          <w:color w:val="000000" w:themeColor="text1"/>
          <w:lang w:val="uk-UA"/>
        </w:rPr>
        <w:t>СВВ</w:t>
      </w:r>
      <w:r w:rsidR="007B3E95" w:rsidRPr="007B3E95">
        <w:rPr>
          <w:rFonts w:ascii="Times New Roman" w:hAnsi="Times New Roman" w:cs="Times New Roman"/>
          <w:color w:val="000000" w:themeColor="text1"/>
          <w:lang w:val="uk-UA"/>
        </w:rPr>
        <w:t xml:space="preserve">12 після 8 </w:t>
      </w:r>
      <w:r>
        <w:rPr>
          <w:rFonts w:ascii="Times New Roman" w:hAnsi="Times New Roman" w:cs="Times New Roman"/>
          <w:color w:val="000000" w:themeColor="text1"/>
          <w:lang w:val="uk-UA"/>
        </w:rPr>
        <w:t>тижнів застосування софосбувіру/ле</w:t>
      </w:r>
      <w:r w:rsidRPr="007B3E95">
        <w:rPr>
          <w:rFonts w:ascii="Times New Roman" w:hAnsi="Times New Roman" w:cs="Times New Roman"/>
          <w:color w:val="000000" w:themeColor="text1"/>
          <w:lang w:val="uk-UA"/>
        </w:rPr>
        <w:t>діпа</w:t>
      </w:r>
      <w:r>
        <w:rPr>
          <w:rFonts w:ascii="Times New Roman" w:hAnsi="Times New Roman" w:cs="Times New Roman"/>
          <w:color w:val="000000" w:themeColor="text1"/>
          <w:lang w:val="uk-UA"/>
        </w:rPr>
        <w:t>с</w:t>
      </w:r>
      <w:r w:rsidRPr="007B3E95">
        <w:rPr>
          <w:rFonts w:ascii="Times New Roman" w:hAnsi="Times New Roman" w:cs="Times New Roman"/>
          <w:color w:val="000000" w:themeColor="text1"/>
          <w:lang w:val="uk-UA"/>
        </w:rPr>
        <w:t>вір</w:t>
      </w:r>
      <w:r>
        <w:rPr>
          <w:rFonts w:ascii="Times New Roman" w:hAnsi="Times New Roman" w:cs="Times New Roman"/>
          <w:color w:val="000000" w:themeColor="text1"/>
          <w:lang w:val="uk-UA"/>
        </w:rPr>
        <w:t>у за маркуванням FDA становила</w:t>
      </w:r>
      <w:r w:rsidR="007B3E95" w:rsidRPr="007B3E95">
        <w:rPr>
          <w:rFonts w:ascii="Times New Roman" w:hAnsi="Times New Roman" w:cs="Times New Roman"/>
          <w:color w:val="000000" w:themeColor="text1"/>
          <w:lang w:val="uk-UA"/>
        </w:rPr>
        <w:t xml:space="preserve"> більше 99% (235/237; 2 рецидиву) у пацієнтів </w:t>
      </w:r>
      <w:r>
        <w:rPr>
          <w:rFonts w:ascii="Times New Roman" w:hAnsi="Times New Roman" w:cs="Times New Roman"/>
          <w:color w:val="000000" w:themeColor="text1"/>
          <w:lang w:val="uk-UA"/>
        </w:rPr>
        <w:t>з генотипом</w:t>
      </w:r>
      <w:r w:rsidRPr="007B3E95">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1b</w:t>
      </w:r>
      <w:r w:rsidR="007B3E95" w:rsidRPr="007B3E95">
        <w:rPr>
          <w:rFonts w:ascii="Times New Roman" w:hAnsi="Times New Roman" w:cs="Times New Roman"/>
          <w:color w:val="000000" w:themeColor="text1"/>
          <w:lang w:val="uk-UA"/>
        </w:rPr>
        <w:t xml:space="preserve">. </w:t>
      </w:r>
      <w:r w:rsidR="007B3E95" w:rsidRPr="00AE6FA5">
        <w:rPr>
          <w:rFonts w:ascii="Times New Roman" w:hAnsi="Times New Roman" w:cs="Times New Roman"/>
          <w:color w:val="000000" w:themeColor="text1"/>
          <w:vertAlign w:val="superscript"/>
          <w:lang w:val="uk-UA"/>
        </w:rPr>
        <w:t>80</w:t>
      </w:r>
    </w:p>
    <w:p w14:paraId="0F5B029B" w14:textId="77777777" w:rsidR="00AE6FA5" w:rsidRDefault="00AE6FA5" w:rsidP="00F53078">
      <w:pPr>
        <w:tabs>
          <w:tab w:val="left" w:pos="1089"/>
        </w:tabs>
        <w:jc w:val="both"/>
        <w:rPr>
          <w:rFonts w:ascii="Times New Roman" w:hAnsi="Times New Roman" w:cs="Times New Roman"/>
          <w:color w:val="000000" w:themeColor="text1"/>
          <w:vertAlign w:val="superscript"/>
          <w:lang w:val="uk-UA"/>
        </w:rPr>
      </w:pPr>
    </w:p>
    <w:p w14:paraId="317F9EF2" w14:textId="5CC17D65" w:rsidR="00AE6FA5" w:rsidRDefault="00AE6FA5" w:rsidP="00F53078">
      <w:pPr>
        <w:tabs>
          <w:tab w:val="left" w:pos="1089"/>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Подібні показники СВВ</w:t>
      </w:r>
      <w:r w:rsidRPr="00AE6FA5">
        <w:rPr>
          <w:rFonts w:ascii="Times New Roman" w:hAnsi="Times New Roman" w:cs="Times New Roman"/>
          <w:color w:val="000000" w:themeColor="text1"/>
          <w:lang w:val="uk-UA"/>
        </w:rPr>
        <w:t xml:space="preserve">12, </w:t>
      </w:r>
      <w:r>
        <w:rPr>
          <w:rFonts w:ascii="Times New Roman" w:hAnsi="Times New Roman" w:cs="Times New Roman"/>
          <w:color w:val="000000" w:themeColor="text1"/>
          <w:lang w:val="uk-UA"/>
        </w:rPr>
        <w:t>отримані</w:t>
      </w:r>
      <w:r w:rsidRPr="00AE6FA5">
        <w:rPr>
          <w:rFonts w:ascii="Times New Roman" w:hAnsi="Times New Roman" w:cs="Times New Roman"/>
          <w:color w:val="000000" w:themeColor="text1"/>
          <w:lang w:val="uk-UA"/>
        </w:rPr>
        <w:t xml:space="preserve"> у клінічних</w:t>
      </w:r>
      <w:r>
        <w:rPr>
          <w:rFonts w:ascii="Times New Roman" w:hAnsi="Times New Roman" w:cs="Times New Roman"/>
          <w:color w:val="000000" w:themeColor="text1"/>
          <w:lang w:val="uk-UA"/>
        </w:rPr>
        <w:t xml:space="preserve"> дослідженнях, спостерігались серед “наївних” та пацієнтів</w:t>
      </w:r>
      <w:r w:rsidR="00652F9A">
        <w:rPr>
          <w:rFonts w:ascii="Times New Roman" w:hAnsi="Times New Roman" w:cs="Times New Roman"/>
          <w:color w:val="000000" w:themeColor="text1"/>
          <w:lang w:val="uk-UA"/>
        </w:rPr>
        <w:t xml:space="preserve"> з досвідом лікування</w:t>
      </w:r>
      <w:r>
        <w:rPr>
          <w:rFonts w:ascii="Times New Roman" w:hAnsi="Times New Roman" w:cs="Times New Roman"/>
          <w:color w:val="000000" w:themeColor="text1"/>
          <w:lang w:val="uk-UA"/>
        </w:rPr>
        <w:t xml:space="preserve"> з компенсованим цирозом і без нього</w:t>
      </w:r>
      <w:r w:rsidRPr="00AE6FA5">
        <w:rPr>
          <w:rFonts w:ascii="Times New Roman" w:hAnsi="Times New Roman" w:cs="Times New Roman"/>
          <w:color w:val="000000" w:themeColor="text1"/>
          <w:lang w:val="uk-UA"/>
        </w:rPr>
        <w:t xml:space="preserve"> в реальних дослідженнях різних континентів.</w:t>
      </w:r>
    </w:p>
    <w:p w14:paraId="1366BC16" w14:textId="77777777" w:rsidR="00AE6FA5" w:rsidRDefault="00AE6FA5" w:rsidP="00F53078">
      <w:pPr>
        <w:tabs>
          <w:tab w:val="left" w:pos="1089"/>
        </w:tabs>
        <w:jc w:val="both"/>
        <w:rPr>
          <w:rFonts w:ascii="Times New Roman" w:hAnsi="Times New Roman" w:cs="Times New Roman"/>
          <w:color w:val="000000" w:themeColor="text1"/>
          <w:lang w:val="uk-UA"/>
        </w:rPr>
      </w:pPr>
    </w:p>
    <w:tbl>
      <w:tblPr>
        <w:tblW w:w="9959"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9"/>
      </w:tblGrid>
      <w:tr w:rsidR="00AE6FA5" w:rsidRPr="0080595E" w14:paraId="36D25CA6" w14:textId="77777777" w:rsidTr="00AE6FA5">
        <w:trPr>
          <w:trHeight w:val="544"/>
        </w:trPr>
        <w:tc>
          <w:tcPr>
            <w:tcW w:w="9959" w:type="dxa"/>
            <w:shd w:val="clear" w:color="auto" w:fill="BDD6EE" w:themeFill="accent1" w:themeFillTint="66"/>
          </w:tcPr>
          <w:p w14:paraId="75F39735" w14:textId="093EF88F" w:rsidR="00AE6FA5" w:rsidRPr="008A3473" w:rsidRDefault="00AE6FA5" w:rsidP="00F53078">
            <w:pPr>
              <w:tabs>
                <w:tab w:val="left" w:pos="1089"/>
              </w:tabs>
              <w:jc w:val="both"/>
              <w:rPr>
                <w:rFonts w:ascii="Times New Roman" w:hAnsi="Times New Roman" w:cs="Times New Roman"/>
                <w:b/>
                <w:i/>
                <w:lang w:val="uk-UA"/>
              </w:rPr>
            </w:pPr>
            <w:r w:rsidRPr="008A3473">
              <w:rPr>
                <w:rFonts w:ascii="Times New Roman" w:hAnsi="Times New Roman" w:cs="Times New Roman"/>
                <w:b/>
                <w:i/>
                <w:lang w:val="uk-UA"/>
              </w:rPr>
              <w:t>Генотип 1b, специфічн</w:t>
            </w:r>
            <w:r w:rsidR="008A3473">
              <w:rPr>
                <w:rFonts w:ascii="Times New Roman" w:hAnsi="Times New Roman" w:cs="Times New Roman"/>
                <w:b/>
                <w:i/>
                <w:lang w:val="uk-UA"/>
              </w:rPr>
              <w:t xml:space="preserve">а </w:t>
            </w:r>
            <w:r w:rsidRPr="008A3473">
              <w:rPr>
                <w:rFonts w:ascii="Times New Roman" w:hAnsi="Times New Roman" w:cs="Times New Roman"/>
                <w:b/>
                <w:i/>
                <w:lang w:val="uk-UA"/>
              </w:rPr>
              <w:t xml:space="preserve"> для генотипу</w:t>
            </w:r>
            <w:r w:rsidR="008A3473">
              <w:rPr>
                <w:rFonts w:ascii="Times New Roman" w:hAnsi="Times New Roman" w:cs="Times New Roman"/>
                <w:b/>
                <w:i/>
                <w:lang w:val="uk-UA"/>
              </w:rPr>
              <w:t xml:space="preserve"> схема</w:t>
            </w:r>
            <w:r w:rsidRPr="008A3473">
              <w:rPr>
                <w:rFonts w:ascii="Times New Roman" w:hAnsi="Times New Roman" w:cs="Times New Roman"/>
                <w:b/>
                <w:i/>
                <w:lang w:val="uk-UA"/>
              </w:rPr>
              <w:t>: гразопревір / ельба</w:t>
            </w:r>
            <w:r w:rsidR="00172EDF" w:rsidRPr="008A3473">
              <w:rPr>
                <w:rFonts w:ascii="Times New Roman" w:hAnsi="Times New Roman" w:cs="Times New Roman"/>
                <w:b/>
                <w:i/>
                <w:lang w:val="uk-UA"/>
              </w:rPr>
              <w:t>с</w:t>
            </w:r>
            <w:r w:rsidRPr="008A3473">
              <w:rPr>
                <w:rFonts w:ascii="Times New Roman" w:hAnsi="Times New Roman" w:cs="Times New Roman"/>
                <w:b/>
                <w:i/>
                <w:lang w:val="uk-UA"/>
              </w:rPr>
              <w:t>вір</w:t>
            </w:r>
          </w:p>
          <w:p w14:paraId="1CFCC856" w14:textId="433E13DB" w:rsidR="00AE6FA5" w:rsidRPr="00AE6FA5" w:rsidRDefault="00CD5F76" w:rsidP="00015E3B">
            <w:pPr>
              <w:pStyle w:val="a9"/>
              <w:numPr>
                <w:ilvl w:val="0"/>
                <w:numId w:val="14"/>
              </w:numPr>
              <w:tabs>
                <w:tab w:val="left" w:pos="1089"/>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“Наївних” та пацієнтів</w:t>
            </w:r>
            <w:r w:rsidR="00652F9A">
              <w:rPr>
                <w:rFonts w:ascii="Times New Roman" w:hAnsi="Times New Roman" w:cs="Times New Roman"/>
                <w:color w:val="000000" w:themeColor="text1"/>
                <w:lang w:val="uk-UA"/>
              </w:rPr>
              <w:t xml:space="preserve"> з досвідом лікування</w:t>
            </w:r>
            <w:r>
              <w:rPr>
                <w:rFonts w:ascii="Times New Roman" w:hAnsi="Times New Roman" w:cs="Times New Roman"/>
                <w:color w:val="000000" w:themeColor="text1"/>
                <w:lang w:val="uk-UA"/>
              </w:rPr>
              <w:t>, інфікованих</w:t>
            </w:r>
            <w:r w:rsidR="00AE6FA5" w:rsidRPr="00AE6FA5">
              <w:rPr>
                <w:rFonts w:ascii="Times New Roman" w:hAnsi="Times New Roman" w:cs="Times New Roman"/>
                <w:color w:val="000000" w:themeColor="text1"/>
                <w:lang w:val="uk-UA"/>
              </w:rPr>
              <w:t xml:space="preserve"> генотипом 1b, без цирозу або з компенсов</w:t>
            </w:r>
            <w:r>
              <w:rPr>
                <w:rFonts w:ascii="Times New Roman" w:hAnsi="Times New Roman" w:cs="Times New Roman"/>
                <w:color w:val="000000" w:themeColor="text1"/>
                <w:lang w:val="uk-UA"/>
              </w:rPr>
              <w:t>аним (Child</w:t>
            </w:r>
            <w:r w:rsidR="00FC6D8A">
              <w:rPr>
                <w:rFonts w:ascii="Times New Roman" w:hAnsi="Times New Roman" w:cs="Times New Roman"/>
                <w:color w:val="000000" w:themeColor="text1"/>
                <w:lang w:val="uk-UA"/>
              </w:rPr>
              <w:t>–</w:t>
            </w:r>
            <w:r>
              <w:rPr>
                <w:rFonts w:ascii="Times New Roman" w:hAnsi="Times New Roman" w:cs="Times New Roman"/>
                <w:color w:val="000000" w:themeColor="text1"/>
                <w:lang w:val="uk-UA"/>
              </w:rPr>
              <w:t>Pugh A) циро</w:t>
            </w:r>
            <w:r w:rsidR="00AE6FA5" w:rsidRPr="00AE6FA5">
              <w:rPr>
                <w:rFonts w:ascii="Times New Roman" w:hAnsi="Times New Roman" w:cs="Times New Roman"/>
                <w:color w:val="000000" w:themeColor="text1"/>
                <w:lang w:val="uk-UA"/>
              </w:rPr>
              <w:t>зом, слід лікувати комбінацією з фіксованою дозою гразопревіру та ельба</w:t>
            </w:r>
            <w:r>
              <w:rPr>
                <w:rFonts w:ascii="Times New Roman" w:hAnsi="Times New Roman" w:cs="Times New Roman"/>
                <w:color w:val="000000" w:themeColor="text1"/>
                <w:lang w:val="uk-UA"/>
              </w:rPr>
              <w:t>свіру</w:t>
            </w:r>
            <w:r w:rsidR="00AE6FA5" w:rsidRPr="00AE6FA5">
              <w:rPr>
                <w:rFonts w:ascii="Times New Roman" w:hAnsi="Times New Roman" w:cs="Times New Roman"/>
                <w:color w:val="000000" w:themeColor="text1"/>
                <w:lang w:val="uk-UA"/>
              </w:rPr>
              <w:t xml:space="preserve"> протягом 12 тижнів (A1).</w:t>
            </w:r>
          </w:p>
          <w:p w14:paraId="4DDD1DF0" w14:textId="48627E2F" w:rsidR="00AE6FA5" w:rsidRPr="00AE6FA5" w:rsidRDefault="00CD5F76" w:rsidP="00015E3B">
            <w:pPr>
              <w:pStyle w:val="a9"/>
              <w:numPr>
                <w:ilvl w:val="0"/>
                <w:numId w:val="14"/>
              </w:numPr>
              <w:tabs>
                <w:tab w:val="left" w:pos="1089"/>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“Наївних” пацієнтів</w:t>
            </w:r>
            <w:r w:rsidR="00AE6FA5" w:rsidRPr="00AE6FA5">
              <w:rPr>
                <w:rFonts w:ascii="Times New Roman" w:hAnsi="Times New Roman" w:cs="Times New Roman"/>
                <w:color w:val="000000" w:themeColor="text1"/>
                <w:lang w:val="uk-UA"/>
              </w:rPr>
              <w:t>, інфікован</w:t>
            </w:r>
            <w:r w:rsidR="006333DB">
              <w:rPr>
                <w:rFonts w:ascii="Times New Roman" w:hAnsi="Times New Roman" w:cs="Times New Roman"/>
                <w:color w:val="000000" w:themeColor="text1"/>
                <w:lang w:val="uk-UA"/>
              </w:rPr>
              <w:t>их</w:t>
            </w:r>
            <w:r w:rsidR="00AE6FA5" w:rsidRPr="00AE6FA5">
              <w:rPr>
                <w:rFonts w:ascii="Times New Roman" w:hAnsi="Times New Roman" w:cs="Times New Roman"/>
                <w:color w:val="000000" w:themeColor="text1"/>
                <w:lang w:val="uk-UA"/>
              </w:rPr>
              <w:t xml:space="preserve"> генот</w:t>
            </w:r>
            <w:r>
              <w:rPr>
                <w:rFonts w:ascii="Times New Roman" w:hAnsi="Times New Roman" w:cs="Times New Roman"/>
                <w:color w:val="000000" w:themeColor="text1"/>
                <w:lang w:val="uk-UA"/>
              </w:rPr>
              <w:t>ипом 1b з фіброзом F0</w:t>
            </w:r>
            <w:r w:rsidR="00FC6D8A">
              <w:rPr>
                <w:rFonts w:ascii="Times New Roman" w:hAnsi="Times New Roman" w:cs="Times New Roman"/>
                <w:color w:val="000000" w:themeColor="text1"/>
                <w:lang w:val="uk-UA"/>
              </w:rPr>
              <w:t>–</w:t>
            </w:r>
            <w:r>
              <w:rPr>
                <w:rFonts w:ascii="Times New Roman" w:hAnsi="Times New Roman" w:cs="Times New Roman"/>
                <w:color w:val="000000" w:themeColor="text1"/>
                <w:lang w:val="uk-UA"/>
              </w:rPr>
              <w:t xml:space="preserve">F2, можна лікувати </w:t>
            </w:r>
            <w:r w:rsidR="00AE6FA5" w:rsidRPr="00AE6FA5">
              <w:rPr>
                <w:rFonts w:ascii="Times New Roman" w:hAnsi="Times New Roman" w:cs="Times New Roman"/>
                <w:color w:val="000000" w:themeColor="text1"/>
                <w:lang w:val="uk-UA"/>
              </w:rPr>
              <w:t xml:space="preserve"> фіксованою дозою комбінації гразопревіру та ельба</w:t>
            </w:r>
            <w:r>
              <w:rPr>
                <w:rFonts w:ascii="Times New Roman" w:hAnsi="Times New Roman" w:cs="Times New Roman"/>
                <w:color w:val="000000" w:themeColor="text1"/>
                <w:lang w:val="uk-UA"/>
              </w:rPr>
              <w:t>с</w:t>
            </w:r>
            <w:r w:rsidR="00AE6FA5" w:rsidRPr="00AE6FA5">
              <w:rPr>
                <w:rFonts w:ascii="Times New Roman" w:hAnsi="Times New Roman" w:cs="Times New Roman"/>
                <w:color w:val="000000" w:themeColor="text1"/>
                <w:lang w:val="uk-UA"/>
              </w:rPr>
              <w:t>віру протягом 8 тижнів (В2).</w:t>
            </w:r>
          </w:p>
        </w:tc>
      </w:tr>
    </w:tbl>
    <w:p w14:paraId="674A4E50" w14:textId="77777777" w:rsidR="00AE6FA5" w:rsidRDefault="00AE6FA5" w:rsidP="00F53078">
      <w:pPr>
        <w:tabs>
          <w:tab w:val="left" w:pos="1089"/>
        </w:tabs>
        <w:jc w:val="both"/>
        <w:rPr>
          <w:rFonts w:ascii="Times New Roman" w:hAnsi="Times New Roman" w:cs="Times New Roman"/>
          <w:color w:val="000000" w:themeColor="text1"/>
          <w:lang w:val="uk-UA"/>
        </w:rPr>
      </w:pPr>
    </w:p>
    <w:p w14:paraId="30DE4C0F" w14:textId="1DDD9B8F" w:rsidR="00B97E19" w:rsidRPr="00B97E19" w:rsidRDefault="00B97E19" w:rsidP="00F53078">
      <w:pPr>
        <w:tabs>
          <w:tab w:val="left" w:pos="1089"/>
        </w:tabs>
        <w:jc w:val="both"/>
        <w:rPr>
          <w:rFonts w:ascii="Times New Roman" w:hAnsi="Times New Roman" w:cs="Times New Roman"/>
          <w:color w:val="000000" w:themeColor="text1"/>
          <w:lang w:val="uk-UA"/>
        </w:rPr>
      </w:pPr>
      <w:r w:rsidRPr="00B97E19">
        <w:rPr>
          <w:rFonts w:ascii="Times New Roman" w:hAnsi="Times New Roman" w:cs="Times New Roman"/>
          <w:color w:val="000000" w:themeColor="text1"/>
          <w:lang w:val="uk-UA"/>
        </w:rPr>
        <w:t>Коментарі: Ця рекомендація базується на результатах чотир</w:t>
      </w:r>
      <w:r w:rsidR="005F0F7F">
        <w:rPr>
          <w:rFonts w:ascii="Times New Roman" w:hAnsi="Times New Roman" w:cs="Times New Roman"/>
          <w:color w:val="000000" w:themeColor="text1"/>
          <w:lang w:val="uk-UA"/>
        </w:rPr>
        <w:t>ифазового</w:t>
      </w:r>
      <w:r w:rsidRPr="00B97E19">
        <w:rPr>
          <w:rFonts w:ascii="Times New Roman" w:hAnsi="Times New Roman" w:cs="Times New Roman"/>
          <w:color w:val="000000" w:themeColor="text1"/>
          <w:lang w:val="uk-UA"/>
        </w:rPr>
        <w:t xml:space="preserve"> </w:t>
      </w:r>
      <w:r w:rsidR="005F0F7F">
        <w:rPr>
          <w:rFonts w:ascii="Times New Roman" w:hAnsi="Times New Roman" w:cs="Times New Roman"/>
          <w:color w:val="000000" w:themeColor="text1"/>
          <w:lang w:val="uk-UA"/>
        </w:rPr>
        <w:t xml:space="preserve">ІІІ </w:t>
      </w:r>
      <w:r w:rsidRPr="008A3473">
        <w:rPr>
          <w:rFonts w:ascii="Times New Roman" w:hAnsi="Times New Roman" w:cs="Times New Roman"/>
          <w:color w:val="000000" w:themeColor="text1"/>
          <w:lang w:val="uk-UA"/>
        </w:rPr>
        <w:t>досліджень та</w:t>
      </w:r>
      <w:r>
        <w:rPr>
          <w:rFonts w:ascii="Times New Roman" w:hAnsi="Times New Roman" w:cs="Times New Roman"/>
          <w:color w:val="000000" w:themeColor="text1"/>
          <w:lang w:val="uk-UA"/>
        </w:rPr>
        <w:t xml:space="preserve"> подальшого ретроспективного аналізу агрегованих</w:t>
      </w:r>
      <w:r w:rsidRPr="00B97E19">
        <w:rPr>
          <w:rFonts w:ascii="Times New Roman" w:hAnsi="Times New Roman" w:cs="Times New Roman"/>
          <w:color w:val="000000" w:themeColor="text1"/>
          <w:lang w:val="uk-UA"/>
        </w:rPr>
        <w:t xml:space="preserve"> даних про клінічні випробува</w:t>
      </w:r>
      <w:r>
        <w:rPr>
          <w:rFonts w:ascii="Times New Roman" w:hAnsi="Times New Roman" w:cs="Times New Roman"/>
          <w:color w:val="000000" w:themeColor="text1"/>
          <w:lang w:val="uk-UA"/>
        </w:rPr>
        <w:t xml:space="preserve">ння II та III фази, а також </w:t>
      </w:r>
      <w:r w:rsidRPr="00B97E19">
        <w:rPr>
          <w:rFonts w:ascii="Times New Roman" w:hAnsi="Times New Roman" w:cs="Times New Roman"/>
          <w:color w:val="000000" w:themeColor="text1"/>
          <w:lang w:val="uk-UA"/>
        </w:rPr>
        <w:t>досліджен</w:t>
      </w:r>
      <w:r w:rsidR="005F0F7F">
        <w:rPr>
          <w:rFonts w:ascii="Times New Roman" w:hAnsi="Times New Roman" w:cs="Times New Roman"/>
          <w:color w:val="000000" w:themeColor="text1"/>
          <w:lang w:val="uk-UA"/>
        </w:rPr>
        <w:t>ь</w:t>
      </w:r>
      <w:r w:rsidRPr="00B97E19">
        <w:rPr>
          <w:rFonts w:ascii="Times New Roman" w:hAnsi="Times New Roman" w:cs="Times New Roman"/>
          <w:color w:val="000000" w:themeColor="text1"/>
          <w:lang w:val="uk-UA"/>
        </w:rPr>
        <w:t xml:space="preserve"> STREAGER з меншою тривалістю лікування.</w:t>
      </w:r>
    </w:p>
    <w:p w14:paraId="372346E2" w14:textId="77777777" w:rsidR="00B97E19" w:rsidRDefault="00B97E19" w:rsidP="00F53078">
      <w:pPr>
        <w:tabs>
          <w:tab w:val="left" w:pos="1089"/>
        </w:tabs>
        <w:jc w:val="both"/>
        <w:rPr>
          <w:rFonts w:ascii="Times New Roman" w:hAnsi="Times New Roman" w:cs="Times New Roman"/>
          <w:color w:val="000000" w:themeColor="text1"/>
          <w:lang w:val="uk-UA"/>
        </w:rPr>
      </w:pPr>
    </w:p>
    <w:p w14:paraId="5B18B330" w14:textId="578E7BDD" w:rsidR="00B97E19" w:rsidRPr="00B97E19" w:rsidRDefault="00B97E19" w:rsidP="00F53078">
      <w:pPr>
        <w:tabs>
          <w:tab w:val="left" w:pos="1089"/>
        </w:tabs>
        <w:jc w:val="both"/>
        <w:rPr>
          <w:rFonts w:ascii="Times New Roman" w:hAnsi="Times New Roman" w:cs="Times New Roman"/>
          <w:color w:val="000000" w:themeColor="text1"/>
          <w:lang w:val="uk-UA"/>
        </w:rPr>
      </w:pPr>
      <w:r w:rsidRPr="00B97E19">
        <w:rPr>
          <w:rFonts w:ascii="Times New Roman" w:hAnsi="Times New Roman" w:cs="Times New Roman"/>
          <w:color w:val="000000" w:themeColor="text1"/>
          <w:lang w:val="uk-UA"/>
        </w:rPr>
        <w:t>У дослідженні C</w:t>
      </w:r>
      <w:r w:rsidR="00FC6D8A">
        <w:rPr>
          <w:rFonts w:ascii="Times New Roman" w:hAnsi="Times New Roman" w:cs="Times New Roman"/>
          <w:color w:val="000000" w:themeColor="text1"/>
          <w:lang w:val="uk-UA"/>
        </w:rPr>
        <w:t>–</w:t>
      </w:r>
      <w:r w:rsidRPr="00B97E19">
        <w:rPr>
          <w:rFonts w:ascii="Times New Roman" w:hAnsi="Times New Roman" w:cs="Times New Roman"/>
          <w:color w:val="000000" w:themeColor="text1"/>
          <w:lang w:val="uk-UA"/>
        </w:rPr>
        <w:t>EDGE</w:t>
      </w:r>
      <w:r w:rsidR="00FC6D8A">
        <w:rPr>
          <w:rFonts w:ascii="Times New Roman" w:hAnsi="Times New Roman" w:cs="Times New Roman"/>
          <w:color w:val="000000" w:themeColor="text1"/>
          <w:lang w:val="uk-UA"/>
        </w:rPr>
        <w:t>–</w:t>
      </w:r>
      <w:r w:rsidRPr="00B97E19">
        <w:rPr>
          <w:rFonts w:ascii="Times New Roman" w:hAnsi="Times New Roman" w:cs="Times New Roman"/>
          <w:color w:val="000000" w:themeColor="text1"/>
          <w:lang w:val="uk-UA"/>
        </w:rPr>
        <w:t>TN</w:t>
      </w:r>
      <w:r>
        <w:rPr>
          <w:rFonts w:ascii="Times New Roman" w:hAnsi="Times New Roman" w:cs="Times New Roman"/>
          <w:color w:val="000000" w:themeColor="text1"/>
          <w:lang w:val="uk-UA"/>
        </w:rPr>
        <w:t>,</w:t>
      </w:r>
      <w:r w:rsidRPr="00B97E19">
        <w:rPr>
          <w:rFonts w:ascii="Times New Roman" w:hAnsi="Times New Roman" w:cs="Times New Roman"/>
          <w:color w:val="000000" w:themeColor="text1"/>
          <w:lang w:val="uk-UA"/>
        </w:rPr>
        <w:t xml:space="preserve"> у </w:t>
      </w:r>
      <w:r w:rsidR="00FC0A82">
        <w:rPr>
          <w:rFonts w:ascii="Times New Roman" w:hAnsi="Times New Roman" w:cs="Times New Roman"/>
          <w:color w:val="000000" w:themeColor="text1"/>
          <w:lang w:val="uk-UA"/>
        </w:rPr>
        <w:t>“наївних”</w:t>
      </w:r>
      <w:r>
        <w:rPr>
          <w:rFonts w:ascii="Times New Roman" w:hAnsi="Times New Roman" w:cs="Times New Roman"/>
          <w:color w:val="000000" w:themeColor="text1"/>
          <w:lang w:val="uk-UA"/>
        </w:rPr>
        <w:t xml:space="preserve"> пацієнтів </w:t>
      </w:r>
      <w:r w:rsidRPr="00B97E19">
        <w:rPr>
          <w:rFonts w:ascii="Times New Roman" w:hAnsi="Times New Roman" w:cs="Times New Roman"/>
          <w:color w:val="000000" w:themeColor="text1"/>
          <w:lang w:val="uk-UA"/>
        </w:rPr>
        <w:t>з генотипом 1b, які отримували грарозопревір та ельба</w:t>
      </w:r>
      <w:r>
        <w:rPr>
          <w:rFonts w:ascii="Times New Roman" w:hAnsi="Times New Roman" w:cs="Times New Roman"/>
          <w:color w:val="000000" w:themeColor="text1"/>
          <w:lang w:val="uk-UA"/>
        </w:rPr>
        <w:t>с</w:t>
      </w:r>
      <w:r w:rsidRPr="00B97E19">
        <w:rPr>
          <w:rFonts w:ascii="Times New Roman" w:hAnsi="Times New Roman" w:cs="Times New Roman"/>
          <w:color w:val="000000" w:themeColor="text1"/>
          <w:lang w:val="uk-UA"/>
        </w:rPr>
        <w:t xml:space="preserve">вір протягом 12 тижнів, частота </w:t>
      </w:r>
      <w:r>
        <w:rPr>
          <w:rFonts w:ascii="Times New Roman" w:hAnsi="Times New Roman" w:cs="Times New Roman"/>
          <w:color w:val="000000" w:themeColor="text1"/>
          <w:lang w:val="uk-UA"/>
        </w:rPr>
        <w:t>СВВ</w:t>
      </w:r>
      <w:r w:rsidRPr="00B97E19">
        <w:rPr>
          <w:rFonts w:ascii="Times New Roman" w:hAnsi="Times New Roman" w:cs="Times New Roman"/>
          <w:color w:val="000000" w:themeColor="text1"/>
          <w:lang w:val="uk-UA"/>
        </w:rPr>
        <w:t>12 становила 99% (129/131; один рецидив). У дослідженні C</w:t>
      </w:r>
      <w:r w:rsidR="00FC6D8A">
        <w:rPr>
          <w:rFonts w:ascii="Times New Roman" w:hAnsi="Times New Roman" w:cs="Times New Roman"/>
          <w:color w:val="000000" w:themeColor="text1"/>
          <w:lang w:val="uk-UA"/>
        </w:rPr>
        <w:t>–</w:t>
      </w:r>
      <w:r w:rsidRPr="00B97E19">
        <w:rPr>
          <w:rFonts w:ascii="Times New Roman" w:hAnsi="Times New Roman" w:cs="Times New Roman"/>
          <w:color w:val="000000" w:themeColor="text1"/>
          <w:lang w:val="uk-UA"/>
        </w:rPr>
        <w:t>CORAL</w:t>
      </w:r>
      <w:r>
        <w:rPr>
          <w:rFonts w:ascii="Times New Roman" w:hAnsi="Times New Roman" w:cs="Times New Roman"/>
          <w:color w:val="000000" w:themeColor="text1"/>
          <w:lang w:val="uk-UA"/>
        </w:rPr>
        <w:t>, яке проводилося</w:t>
      </w:r>
      <w:r w:rsidRPr="00B97E19">
        <w:rPr>
          <w:rFonts w:ascii="Times New Roman" w:hAnsi="Times New Roman" w:cs="Times New Roman"/>
          <w:color w:val="000000" w:themeColor="text1"/>
          <w:lang w:val="uk-UA"/>
        </w:rPr>
        <w:t xml:space="preserve"> у Росії та Азіатсько</w:t>
      </w:r>
      <w:r w:rsidR="00FC6D8A">
        <w:rPr>
          <w:rFonts w:ascii="Times New Roman" w:hAnsi="Times New Roman" w:cs="Times New Roman"/>
          <w:color w:val="000000" w:themeColor="text1"/>
          <w:lang w:val="uk-UA"/>
        </w:rPr>
        <w:t>–</w:t>
      </w:r>
      <w:r w:rsidRPr="00B97E19">
        <w:rPr>
          <w:rFonts w:ascii="Times New Roman" w:hAnsi="Times New Roman" w:cs="Times New Roman"/>
          <w:color w:val="000000" w:themeColor="text1"/>
          <w:lang w:val="uk-UA"/>
        </w:rPr>
        <w:t xml:space="preserve">Тихоокеанському регіоні показник </w:t>
      </w:r>
      <w:r>
        <w:rPr>
          <w:rFonts w:ascii="Times New Roman" w:hAnsi="Times New Roman" w:cs="Times New Roman"/>
          <w:color w:val="000000" w:themeColor="text1"/>
          <w:lang w:val="uk-UA"/>
        </w:rPr>
        <w:t>СВВ</w:t>
      </w:r>
      <w:r w:rsidRPr="00B97E19">
        <w:rPr>
          <w:rFonts w:ascii="Times New Roman" w:hAnsi="Times New Roman" w:cs="Times New Roman"/>
          <w:color w:val="000000" w:themeColor="text1"/>
          <w:lang w:val="uk-UA"/>
        </w:rPr>
        <w:t>12 стан</w:t>
      </w:r>
      <w:r>
        <w:rPr>
          <w:rFonts w:ascii="Times New Roman" w:hAnsi="Times New Roman" w:cs="Times New Roman"/>
          <w:color w:val="000000" w:themeColor="text1"/>
          <w:lang w:val="uk-UA"/>
        </w:rPr>
        <w:t>овив 98% (382/389; 5 рецидивів)</w:t>
      </w:r>
      <w:r w:rsidRPr="00B97E19">
        <w:rPr>
          <w:rFonts w:ascii="Times New Roman" w:hAnsi="Times New Roman" w:cs="Times New Roman"/>
          <w:color w:val="000000" w:themeColor="text1"/>
          <w:lang w:val="uk-UA"/>
        </w:rPr>
        <w:t>.</w:t>
      </w:r>
      <w:r w:rsidRPr="00B97E19">
        <w:rPr>
          <w:rFonts w:ascii="Times New Roman" w:hAnsi="Times New Roman" w:cs="Times New Roman"/>
          <w:color w:val="000000" w:themeColor="text1"/>
          <w:vertAlign w:val="superscript"/>
          <w:lang w:val="uk-UA"/>
        </w:rPr>
        <w:t>86</w:t>
      </w:r>
      <w:r w:rsidRPr="00B97E19">
        <w:rPr>
          <w:rFonts w:ascii="Times New Roman" w:hAnsi="Times New Roman" w:cs="Times New Roman"/>
          <w:color w:val="000000" w:themeColor="text1"/>
          <w:lang w:val="uk-UA"/>
        </w:rPr>
        <w:t xml:space="preserve"> У відкритому дослідженні C</w:t>
      </w:r>
      <w:r w:rsidR="00FC6D8A">
        <w:rPr>
          <w:rFonts w:ascii="Times New Roman" w:hAnsi="Times New Roman" w:cs="Times New Roman"/>
          <w:color w:val="000000" w:themeColor="text1"/>
          <w:lang w:val="uk-UA"/>
        </w:rPr>
        <w:t>–</w:t>
      </w:r>
      <w:r w:rsidRPr="00B97E19">
        <w:rPr>
          <w:rFonts w:ascii="Times New Roman" w:hAnsi="Times New Roman" w:cs="Times New Roman"/>
          <w:color w:val="000000" w:themeColor="text1"/>
          <w:lang w:val="uk-UA"/>
        </w:rPr>
        <w:t>EDGE</w:t>
      </w:r>
      <w:r w:rsidR="00FC6D8A">
        <w:rPr>
          <w:rFonts w:ascii="Times New Roman" w:hAnsi="Times New Roman" w:cs="Times New Roman"/>
          <w:color w:val="000000" w:themeColor="text1"/>
          <w:lang w:val="uk-UA"/>
        </w:rPr>
        <w:t>–</w:t>
      </w:r>
      <w:r w:rsidRPr="00B97E19">
        <w:rPr>
          <w:rFonts w:ascii="Times New Roman" w:hAnsi="Times New Roman" w:cs="Times New Roman"/>
          <w:color w:val="000000" w:themeColor="text1"/>
          <w:lang w:val="uk-UA"/>
        </w:rPr>
        <w:t>COINFECTION пацієнти</w:t>
      </w:r>
      <w:r w:rsidR="00525692">
        <w:rPr>
          <w:rFonts w:ascii="Times New Roman" w:hAnsi="Times New Roman" w:cs="Times New Roman"/>
          <w:color w:val="000000" w:themeColor="text1"/>
          <w:lang w:val="uk-UA"/>
        </w:rPr>
        <w:t xml:space="preserve"> з коінфекцією ВІЛ/ВГС</w:t>
      </w:r>
      <w:r w:rsidRPr="00B97E19">
        <w:rPr>
          <w:rFonts w:ascii="Times New Roman" w:hAnsi="Times New Roman" w:cs="Times New Roman"/>
          <w:color w:val="000000" w:themeColor="text1"/>
          <w:lang w:val="uk-UA"/>
        </w:rPr>
        <w:t>, які не отримували лікування,</w:t>
      </w:r>
      <w:r>
        <w:rPr>
          <w:rFonts w:ascii="Times New Roman" w:hAnsi="Times New Roman" w:cs="Times New Roman"/>
          <w:color w:val="000000" w:themeColor="text1"/>
          <w:lang w:val="uk-UA"/>
        </w:rPr>
        <w:t xml:space="preserve"> з або без компенсованого цирозу, отримували гразопревір</w:t>
      </w:r>
      <w:r w:rsidRPr="00B97E19">
        <w:rPr>
          <w:rFonts w:ascii="Times New Roman" w:hAnsi="Times New Roman" w:cs="Times New Roman"/>
          <w:color w:val="000000" w:themeColor="text1"/>
          <w:lang w:val="uk-UA"/>
        </w:rPr>
        <w:t xml:space="preserve"> та ельба</w:t>
      </w:r>
      <w:r>
        <w:rPr>
          <w:rFonts w:ascii="Times New Roman" w:hAnsi="Times New Roman" w:cs="Times New Roman"/>
          <w:color w:val="000000" w:themeColor="text1"/>
          <w:lang w:val="uk-UA"/>
        </w:rPr>
        <w:t>свір</w:t>
      </w:r>
      <w:r w:rsidRPr="00B97E19">
        <w:rPr>
          <w:rFonts w:ascii="Times New Roman" w:hAnsi="Times New Roman" w:cs="Times New Roman"/>
          <w:color w:val="000000" w:themeColor="text1"/>
          <w:lang w:val="uk-UA"/>
        </w:rPr>
        <w:t xml:space="preserve"> протягом 12 тижнів. Рівень </w:t>
      </w:r>
      <w:r>
        <w:rPr>
          <w:rFonts w:ascii="Times New Roman" w:hAnsi="Times New Roman" w:cs="Times New Roman"/>
          <w:color w:val="000000" w:themeColor="text1"/>
          <w:lang w:val="uk-UA"/>
        </w:rPr>
        <w:t>СВВ12 склав</w:t>
      </w:r>
      <w:r w:rsidRPr="00B97E19">
        <w:rPr>
          <w:rFonts w:ascii="Times New Roman" w:hAnsi="Times New Roman" w:cs="Times New Roman"/>
          <w:color w:val="000000" w:themeColor="text1"/>
          <w:lang w:val="uk-UA"/>
        </w:rPr>
        <w:t xml:space="preserve"> 95% (42/44) </w:t>
      </w:r>
      <w:r>
        <w:rPr>
          <w:rFonts w:ascii="Times New Roman" w:hAnsi="Times New Roman" w:cs="Times New Roman"/>
          <w:color w:val="000000" w:themeColor="text1"/>
          <w:lang w:val="uk-UA"/>
        </w:rPr>
        <w:t xml:space="preserve">. </w:t>
      </w:r>
      <w:r w:rsidRPr="00B97E19">
        <w:rPr>
          <w:rFonts w:ascii="Times New Roman" w:hAnsi="Times New Roman" w:cs="Times New Roman"/>
          <w:color w:val="000000" w:themeColor="text1"/>
          <w:vertAlign w:val="superscript"/>
          <w:lang w:val="uk-UA"/>
        </w:rPr>
        <w:t>84</w:t>
      </w:r>
    </w:p>
    <w:p w14:paraId="410A18F9" w14:textId="77777777" w:rsidR="00B97E19" w:rsidRDefault="00B97E19" w:rsidP="00F53078">
      <w:pPr>
        <w:tabs>
          <w:tab w:val="left" w:pos="1089"/>
        </w:tabs>
        <w:jc w:val="both"/>
        <w:rPr>
          <w:rFonts w:ascii="Times New Roman" w:hAnsi="Times New Roman" w:cs="Times New Roman"/>
          <w:color w:val="000000" w:themeColor="text1"/>
          <w:lang w:val="uk-UA"/>
        </w:rPr>
      </w:pPr>
    </w:p>
    <w:p w14:paraId="5D9F2D2D" w14:textId="132B1170" w:rsidR="00B97E19" w:rsidRPr="00B97E19" w:rsidRDefault="00B97E19" w:rsidP="00F53078">
      <w:pPr>
        <w:tabs>
          <w:tab w:val="left" w:pos="1089"/>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Серед пацієнтів, які проходили</w:t>
      </w:r>
      <w:r w:rsidRPr="00B97E19">
        <w:rPr>
          <w:rFonts w:ascii="Times New Roman" w:hAnsi="Times New Roman" w:cs="Times New Roman"/>
          <w:color w:val="000000" w:themeColor="text1"/>
          <w:lang w:val="uk-UA"/>
        </w:rPr>
        <w:t xml:space="preserve"> лікування, включених у дослідження III фази C</w:t>
      </w:r>
      <w:r w:rsidR="00FC6D8A">
        <w:rPr>
          <w:rFonts w:ascii="Times New Roman" w:hAnsi="Times New Roman" w:cs="Times New Roman"/>
          <w:color w:val="000000" w:themeColor="text1"/>
          <w:lang w:val="uk-UA"/>
        </w:rPr>
        <w:t>–</w:t>
      </w:r>
      <w:r w:rsidRPr="00B97E19">
        <w:rPr>
          <w:rFonts w:ascii="Times New Roman" w:hAnsi="Times New Roman" w:cs="Times New Roman"/>
          <w:color w:val="000000" w:themeColor="text1"/>
          <w:lang w:val="uk-UA"/>
        </w:rPr>
        <w:t>EDGE</w:t>
      </w:r>
      <w:r w:rsidR="00FC6D8A">
        <w:rPr>
          <w:rFonts w:ascii="Times New Roman" w:hAnsi="Times New Roman" w:cs="Times New Roman"/>
          <w:color w:val="000000" w:themeColor="text1"/>
          <w:lang w:val="uk-UA"/>
        </w:rPr>
        <w:t>–</w:t>
      </w:r>
      <w:r w:rsidRPr="00B97E19">
        <w:rPr>
          <w:rFonts w:ascii="Times New Roman" w:hAnsi="Times New Roman" w:cs="Times New Roman"/>
          <w:color w:val="000000" w:themeColor="text1"/>
          <w:lang w:val="uk-UA"/>
        </w:rPr>
        <w:t>TE, в якому приблизно тр</w:t>
      </w:r>
      <w:r>
        <w:rPr>
          <w:rFonts w:ascii="Times New Roman" w:hAnsi="Times New Roman" w:cs="Times New Roman"/>
          <w:color w:val="000000" w:themeColor="text1"/>
          <w:lang w:val="uk-UA"/>
        </w:rPr>
        <w:t>етина пацієнтів мали компенсований цироз</w:t>
      </w:r>
      <w:r w:rsidRPr="00B97E19">
        <w:rPr>
          <w:rFonts w:ascii="Times New Roman" w:hAnsi="Times New Roman" w:cs="Times New Roman"/>
          <w:color w:val="000000" w:themeColor="text1"/>
          <w:lang w:val="uk-UA"/>
        </w:rPr>
        <w:t xml:space="preserve">, частота </w:t>
      </w:r>
      <w:r>
        <w:rPr>
          <w:rFonts w:ascii="Times New Roman" w:hAnsi="Times New Roman" w:cs="Times New Roman"/>
          <w:color w:val="000000" w:themeColor="text1"/>
          <w:lang w:val="uk-UA"/>
        </w:rPr>
        <w:t>СВВ</w:t>
      </w:r>
      <w:r w:rsidRPr="00B97E19">
        <w:rPr>
          <w:rFonts w:ascii="Times New Roman" w:hAnsi="Times New Roman" w:cs="Times New Roman"/>
          <w:color w:val="000000" w:themeColor="text1"/>
          <w:lang w:val="uk-UA"/>
        </w:rPr>
        <w:t>12 у пацієнтів з генотипом 1b становила 100% (34/3</w:t>
      </w:r>
      <w:r>
        <w:rPr>
          <w:rFonts w:ascii="Times New Roman" w:hAnsi="Times New Roman" w:cs="Times New Roman"/>
          <w:color w:val="000000" w:themeColor="text1"/>
          <w:lang w:val="uk-UA"/>
        </w:rPr>
        <w:t xml:space="preserve">4) після 12 тижнів </w:t>
      </w:r>
      <w:r w:rsidR="005F0F7F">
        <w:rPr>
          <w:rFonts w:ascii="Times New Roman" w:hAnsi="Times New Roman" w:cs="Times New Roman"/>
          <w:color w:val="000000" w:themeColor="text1"/>
          <w:lang w:val="uk-UA"/>
        </w:rPr>
        <w:t xml:space="preserve">прийому </w:t>
      </w:r>
      <w:r>
        <w:rPr>
          <w:rFonts w:ascii="Times New Roman" w:hAnsi="Times New Roman" w:cs="Times New Roman"/>
          <w:color w:val="000000" w:themeColor="text1"/>
          <w:lang w:val="uk-UA"/>
        </w:rPr>
        <w:t>гразопревіру/</w:t>
      </w:r>
      <w:r w:rsidRPr="00B97E19">
        <w:rPr>
          <w:rFonts w:ascii="Times New Roman" w:hAnsi="Times New Roman" w:cs="Times New Roman"/>
          <w:color w:val="000000" w:themeColor="text1"/>
          <w:lang w:val="uk-UA"/>
        </w:rPr>
        <w:t>ельба</w:t>
      </w:r>
      <w:r>
        <w:rPr>
          <w:rFonts w:ascii="Times New Roman" w:hAnsi="Times New Roman" w:cs="Times New Roman"/>
          <w:color w:val="000000" w:themeColor="text1"/>
          <w:lang w:val="uk-UA"/>
        </w:rPr>
        <w:t>с</w:t>
      </w:r>
      <w:r w:rsidRPr="00B97E19">
        <w:rPr>
          <w:rFonts w:ascii="Times New Roman" w:hAnsi="Times New Roman" w:cs="Times New Roman"/>
          <w:color w:val="000000" w:themeColor="text1"/>
          <w:lang w:val="uk-UA"/>
        </w:rPr>
        <w:t xml:space="preserve">віру. </w:t>
      </w:r>
      <w:r w:rsidRPr="00B97E19">
        <w:rPr>
          <w:rFonts w:ascii="Times New Roman" w:hAnsi="Times New Roman" w:cs="Times New Roman"/>
          <w:color w:val="000000" w:themeColor="text1"/>
          <w:vertAlign w:val="superscript"/>
          <w:lang w:val="uk-UA"/>
        </w:rPr>
        <w:t>85</w:t>
      </w:r>
    </w:p>
    <w:p w14:paraId="60ABB4CE" w14:textId="77777777" w:rsidR="00B97E19" w:rsidRDefault="00B97E19" w:rsidP="00F53078">
      <w:pPr>
        <w:tabs>
          <w:tab w:val="left" w:pos="1089"/>
        </w:tabs>
        <w:jc w:val="both"/>
        <w:rPr>
          <w:rFonts w:ascii="Times New Roman" w:hAnsi="Times New Roman" w:cs="Times New Roman"/>
          <w:color w:val="000000" w:themeColor="text1"/>
          <w:lang w:val="uk-UA"/>
        </w:rPr>
      </w:pPr>
    </w:p>
    <w:p w14:paraId="3E94F10A" w14:textId="1B7F1859" w:rsidR="00B97E19" w:rsidRPr="00B97E19" w:rsidRDefault="00B97E19" w:rsidP="00F53078">
      <w:pPr>
        <w:tabs>
          <w:tab w:val="left" w:pos="1089"/>
        </w:tabs>
        <w:jc w:val="both"/>
        <w:rPr>
          <w:rFonts w:ascii="Times New Roman" w:hAnsi="Times New Roman" w:cs="Times New Roman"/>
          <w:color w:val="000000" w:themeColor="text1"/>
          <w:vertAlign w:val="superscript"/>
          <w:lang w:val="uk-UA"/>
        </w:rPr>
      </w:pPr>
      <w:r>
        <w:rPr>
          <w:rFonts w:ascii="Times New Roman" w:hAnsi="Times New Roman" w:cs="Times New Roman"/>
          <w:color w:val="000000" w:themeColor="text1"/>
          <w:lang w:val="uk-UA"/>
        </w:rPr>
        <w:t>Об’єднаний</w:t>
      </w:r>
      <w:r w:rsidRPr="00B97E19">
        <w:rPr>
          <w:rFonts w:ascii="Times New Roman" w:hAnsi="Times New Roman" w:cs="Times New Roman"/>
          <w:color w:val="000000" w:themeColor="text1"/>
          <w:lang w:val="uk-UA"/>
        </w:rPr>
        <w:t xml:space="preserve"> аналіз усіх досліджень </w:t>
      </w:r>
      <w:r>
        <w:rPr>
          <w:rFonts w:ascii="Times New Roman" w:hAnsi="Times New Roman" w:cs="Times New Roman"/>
          <w:color w:val="000000" w:themeColor="text1"/>
          <w:lang w:val="uk-UA"/>
        </w:rPr>
        <w:t>фази ІІ та ІІІ показав частоту СВВ</w:t>
      </w:r>
      <w:r w:rsidRPr="00B97E19">
        <w:rPr>
          <w:rFonts w:ascii="Times New Roman" w:hAnsi="Times New Roman" w:cs="Times New Roman"/>
          <w:color w:val="000000" w:themeColor="text1"/>
          <w:lang w:val="uk-UA"/>
        </w:rPr>
        <w:t xml:space="preserve"> 97% (1040/1070; 15 рецидивів та 15 вірусологічних невдач) у пацієнтів, інфікованих генотипом 1b, які отримували цей режим протягом 12 тижнів.</w:t>
      </w:r>
      <w:r w:rsidRPr="00B97E19">
        <w:rPr>
          <w:rFonts w:ascii="Times New Roman" w:hAnsi="Times New Roman" w:cs="Times New Roman"/>
          <w:color w:val="000000" w:themeColor="text1"/>
          <w:vertAlign w:val="superscript"/>
          <w:lang w:val="uk-UA"/>
        </w:rPr>
        <w:t>87</w:t>
      </w:r>
    </w:p>
    <w:p w14:paraId="75D5CD92" w14:textId="77777777" w:rsidR="00B97E19" w:rsidRDefault="00B97E19" w:rsidP="00F53078">
      <w:pPr>
        <w:tabs>
          <w:tab w:val="left" w:pos="1089"/>
        </w:tabs>
        <w:jc w:val="both"/>
        <w:rPr>
          <w:rFonts w:ascii="Times New Roman" w:hAnsi="Times New Roman" w:cs="Times New Roman"/>
          <w:color w:val="000000" w:themeColor="text1"/>
          <w:lang w:val="uk-UA"/>
        </w:rPr>
      </w:pPr>
    </w:p>
    <w:p w14:paraId="38522589" w14:textId="5C12E77D" w:rsidR="00172EDF" w:rsidRDefault="003B705E" w:rsidP="00F53078">
      <w:pPr>
        <w:tabs>
          <w:tab w:val="left" w:pos="1089"/>
        </w:tabs>
        <w:jc w:val="both"/>
        <w:rPr>
          <w:rFonts w:ascii="Times New Roman" w:hAnsi="Times New Roman" w:cs="Times New Roman"/>
          <w:color w:val="000000" w:themeColor="text1"/>
          <w:vertAlign w:val="superscript"/>
          <w:lang w:val="uk-UA"/>
        </w:rPr>
      </w:pPr>
      <w:r>
        <w:rPr>
          <w:rFonts w:ascii="Times New Roman" w:hAnsi="Times New Roman" w:cs="Times New Roman"/>
          <w:color w:val="000000" w:themeColor="text1"/>
          <w:lang w:val="uk-UA"/>
        </w:rPr>
        <w:t>У дослідженні STREAGER</w:t>
      </w:r>
      <w:r w:rsidR="00CE45A3">
        <w:rPr>
          <w:rFonts w:ascii="Times New Roman" w:hAnsi="Times New Roman" w:cs="Times New Roman"/>
          <w:color w:val="000000" w:themeColor="text1"/>
          <w:lang w:val="uk-UA"/>
        </w:rPr>
        <w:t>,</w:t>
      </w:r>
      <w:r>
        <w:rPr>
          <w:rFonts w:ascii="Times New Roman" w:hAnsi="Times New Roman" w:cs="Times New Roman"/>
          <w:color w:val="000000" w:themeColor="text1"/>
          <w:lang w:val="uk-UA"/>
        </w:rPr>
        <w:t xml:space="preserve"> “</w:t>
      </w:r>
      <w:r w:rsidR="00CE45A3">
        <w:rPr>
          <w:rFonts w:ascii="Times New Roman" w:hAnsi="Times New Roman" w:cs="Times New Roman"/>
          <w:color w:val="000000" w:themeColor="text1"/>
          <w:lang w:val="uk-UA"/>
        </w:rPr>
        <w:t>наївні</w:t>
      </w:r>
      <w:r>
        <w:rPr>
          <w:rFonts w:ascii="Times New Roman" w:hAnsi="Times New Roman" w:cs="Times New Roman"/>
          <w:color w:val="000000" w:themeColor="text1"/>
          <w:lang w:val="uk-UA"/>
        </w:rPr>
        <w:t>” п</w:t>
      </w:r>
      <w:r w:rsidR="00CE45A3">
        <w:rPr>
          <w:rFonts w:ascii="Times New Roman" w:hAnsi="Times New Roman" w:cs="Times New Roman"/>
          <w:color w:val="000000" w:themeColor="text1"/>
          <w:lang w:val="uk-UA"/>
        </w:rPr>
        <w:t>ацієнти</w:t>
      </w:r>
      <w:r w:rsidR="00B97E19" w:rsidRPr="00B97E19">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з генотипом</w:t>
      </w:r>
      <w:r w:rsidR="00B97E19" w:rsidRPr="00B97E19">
        <w:rPr>
          <w:rFonts w:ascii="Times New Roman" w:hAnsi="Times New Roman" w:cs="Times New Roman"/>
          <w:color w:val="000000" w:themeColor="text1"/>
          <w:lang w:val="uk-UA"/>
        </w:rPr>
        <w:t xml:space="preserve"> 1b, </w:t>
      </w:r>
      <w:r>
        <w:rPr>
          <w:rFonts w:ascii="Times New Roman" w:hAnsi="Times New Roman" w:cs="Times New Roman"/>
          <w:color w:val="000000" w:themeColor="text1"/>
          <w:lang w:val="uk-UA"/>
        </w:rPr>
        <w:t>зі</w:t>
      </w:r>
      <w:r w:rsidR="00B97E19" w:rsidRPr="00B97E19">
        <w:rPr>
          <w:rFonts w:ascii="Times New Roman" w:hAnsi="Times New Roman" w:cs="Times New Roman"/>
          <w:color w:val="000000" w:themeColor="text1"/>
          <w:lang w:val="uk-UA"/>
        </w:rPr>
        <w:t xml:space="preserve"> стадією фіброзу F0</w:t>
      </w:r>
      <w:r w:rsidR="00FC6D8A">
        <w:rPr>
          <w:rFonts w:ascii="Times New Roman" w:hAnsi="Times New Roman" w:cs="Times New Roman"/>
          <w:color w:val="000000" w:themeColor="text1"/>
          <w:lang w:val="uk-UA"/>
        </w:rPr>
        <w:t>–</w:t>
      </w:r>
      <w:r w:rsidR="00B97E19" w:rsidRPr="00B97E19">
        <w:rPr>
          <w:rFonts w:ascii="Times New Roman" w:hAnsi="Times New Roman" w:cs="Times New Roman"/>
          <w:color w:val="000000" w:themeColor="text1"/>
          <w:lang w:val="uk-UA"/>
        </w:rPr>
        <w:t xml:space="preserve">F2 (за винятком пацієнтів з </w:t>
      </w:r>
      <w:r w:rsidR="0029510A">
        <w:rPr>
          <w:rFonts w:ascii="Times New Roman" w:hAnsi="Times New Roman" w:cs="Times New Roman"/>
          <w:color w:val="000000" w:themeColor="text1"/>
          <w:lang w:val="uk-UA"/>
        </w:rPr>
        <w:t xml:space="preserve">вираженим </w:t>
      </w:r>
      <w:r w:rsidR="00B97E19" w:rsidRPr="00B97E19">
        <w:rPr>
          <w:rFonts w:ascii="Times New Roman" w:hAnsi="Times New Roman" w:cs="Times New Roman"/>
          <w:color w:val="000000" w:themeColor="text1"/>
          <w:lang w:val="uk-UA"/>
        </w:rPr>
        <w:t>фіброз</w:t>
      </w:r>
      <w:r w:rsidR="0029510A">
        <w:rPr>
          <w:rFonts w:ascii="Times New Roman" w:hAnsi="Times New Roman" w:cs="Times New Roman"/>
          <w:color w:val="000000" w:themeColor="text1"/>
          <w:lang w:val="uk-UA"/>
        </w:rPr>
        <w:t>ом</w:t>
      </w:r>
      <w:r w:rsidR="00B97E19" w:rsidRPr="00B97E19">
        <w:rPr>
          <w:rFonts w:ascii="Times New Roman" w:hAnsi="Times New Roman" w:cs="Times New Roman"/>
          <w:color w:val="000000" w:themeColor="text1"/>
          <w:lang w:val="uk-UA"/>
        </w:rPr>
        <w:t xml:space="preserve"> або цироз</w:t>
      </w:r>
      <w:r w:rsidR="0029510A">
        <w:rPr>
          <w:rFonts w:ascii="Times New Roman" w:hAnsi="Times New Roman" w:cs="Times New Roman"/>
          <w:color w:val="000000" w:themeColor="text1"/>
          <w:lang w:val="uk-UA"/>
        </w:rPr>
        <w:t>ом</w:t>
      </w:r>
      <w:r>
        <w:rPr>
          <w:rFonts w:ascii="Times New Roman" w:hAnsi="Times New Roman" w:cs="Times New Roman"/>
          <w:color w:val="000000" w:themeColor="text1"/>
          <w:lang w:val="uk-UA"/>
        </w:rPr>
        <w:t>), які отримували гразопревір/</w:t>
      </w:r>
      <w:r w:rsidR="00B97E19" w:rsidRPr="00B97E19">
        <w:rPr>
          <w:rFonts w:ascii="Times New Roman" w:hAnsi="Times New Roman" w:cs="Times New Roman"/>
          <w:color w:val="000000" w:themeColor="text1"/>
          <w:lang w:val="uk-UA"/>
        </w:rPr>
        <w:t>ельба</w:t>
      </w:r>
      <w:r>
        <w:rPr>
          <w:rFonts w:ascii="Times New Roman" w:hAnsi="Times New Roman" w:cs="Times New Roman"/>
          <w:color w:val="000000" w:themeColor="text1"/>
          <w:lang w:val="uk-UA"/>
        </w:rPr>
        <w:t>с</w:t>
      </w:r>
      <w:r w:rsidR="00CE45A3">
        <w:rPr>
          <w:rFonts w:ascii="Times New Roman" w:hAnsi="Times New Roman" w:cs="Times New Roman"/>
          <w:color w:val="000000" w:themeColor="text1"/>
          <w:lang w:val="uk-UA"/>
        </w:rPr>
        <w:t>вір протягом 8 тижнів, досягнули</w:t>
      </w:r>
      <w:r w:rsidR="00B97E19" w:rsidRPr="00B97E19">
        <w:rPr>
          <w:rFonts w:ascii="Times New Roman" w:hAnsi="Times New Roman" w:cs="Times New Roman"/>
          <w:color w:val="000000" w:themeColor="text1"/>
          <w:lang w:val="uk-UA"/>
        </w:rPr>
        <w:t xml:space="preserve"> </w:t>
      </w:r>
      <w:r w:rsidR="00B97E19">
        <w:rPr>
          <w:rFonts w:ascii="Times New Roman" w:hAnsi="Times New Roman" w:cs="Times New Roman"/>
          <w:color w:val="000000" w:themeColor="text1"/>
          <w:lang w:val="uk-UA"/>
        </w:rPr>
        <w:t>СВВ</w:t>
      </w:r>
      <w:r w:rsidR="00B97E19" w:rsidRPr="00B97E19">
        <w:rPr>
          <w:rFonts w:ascii="Times New Roman" w:hAnsi="Times New Roman" w:cs="Times New Roman"/>
          <w:color w:val="000000" w:themeColor="text1"/>
          <w:lang w:val="uk-UA"/>
        </w:rPr>
        <w:t xml:space="preserve">12 </w:t>
      </w:r>
      <w:r w:rsidR="00CE45A3">
        <w:rPr>
          <w:rFonts w:ascii="Times New Roman" w:hAnsi="Times New Roman" w:cs="Times New Roman"/>
          <w:color w:val="000000" w:themeColor="text1"/>
          <w:lang w:val="uk-UA"/>
        </w:rPr>
        <w:t xml:space="preserve">у </w:t>
      </w:r>
      <w:r w:rsidR="00B97E19" w:rsidRPr="00B97E19">
        <w:rPr>
          <w:rFonts w:ascii="Times New Roman" w:hAnsi="Times New Roman" w:cs="Times New Roman"/>
          <w:color w:val="000000" w:themeColor="text1"/>
          <w:lang w:val="uk-UA"/>
        </w:rPr>
        <w:t xml:space="preserve">97% (66/68) випадків. </w:t>
      </w:r>
      <w:r w:rsidR="00CE45A3">
        <w:rPr>
          <w:rFonts w:ascii="Times New Roman" w:hAnsi="Times New Roman" w:cs="Times New Roman"/>
          <w:color w:val="000000" w:themeColor="text1"/>
          <w:lang w:val="uk-UA"/>
        </w:rPr>
        <w:t>У двох пацієнтів стався</w:t>
      </w:r>
      <w:r w:rsidR="00B97E19" w:rsidRPr="00B97E19">
        <w:rPr>
          <w:rFonts w:ascii="Times New Roman" w:hAnsi="Times New Roman" w:cs="Times New Roman"/>
          <w:color w:val="000000" w:themeColor="text1"/>
          <w:lang w:val="uk-UA"/>
        </w:rPr>
        <w:t xml:space="preserve"> ре</w:t>
      </w:r>
      <w:r w:rsidR="00CE45A3">
        <w:rPr>
          <w:rFonts w:ascii="Times New Roman" w:hAnsi="Times New Roman" w:cs="Times New Roman"/>
          <w:color w:val="000000" w:themeColor="text1"/>
          <w:lang w:val="uk-UA"/>
        </w:rPr>
        <w:t xml:space="preserve">цидив </w:t>
      </w:r>
      <w:r>
        <w:rPr>
          <w:rFonts w:ascii="Times New Roman" w:hAnsi="Times New Roman" w:cs="Times New Roman"/>
          <w:color w:val="000000" w:themeColor="text1"/>
          <w:lang w:val="uk-UA"/>
        </w:rPr>
        <w:t>(оновлені дані, надані Merck)</w:t>
      </w:r>
      <w:r w:rsidR="00B97E19" w:rsidRPr="00B97E19">
        <w:rPr>
          <w:rFonts w:ascii="Times New Roman" w:hAnsi="Times New Roman" w:cs="Times New Roman"/>
          <w:color w:val="000000" w:themeColor="text1"/>
          <w:lang w:val="uk-UA"/>
        </w:rPr>
        <w:t>.</w:t>
      </w:r>
      <w:r w:rsidR="00B97E19" w:rsidRPr="003B705E">
        <w:rPr>
          <w:rFonts w:ascii="Times New Roman" w:hAnsi="Times New Roman" w:cs="Times New Roman"/>
          <w:color w:val="000000" w:themeColor="text1"/>
          <w:vertAlign w:val="superscript"/>
          <w:lang w:val="uk-UA"/>
        </w:rPr>
        <w:t>88</w:t>
      </w:r>
    </w:p>
    <w:p w14:paraId="6C859A46" w14:textId="77777777" w:rsidR="00CE45A3" w:rsidRDefault="00CE45A3" w:rsidP="00F53078">
      <w:pPr>
        <w:tabs>
          <w:tab w:val="left" w:pos="1089"/>
        </w:tabs>
        <w:jc w:val="both"/>
        <w:rPr>
          <w:rFonts w:ascii="Times New Roman" w:hAnsi="Times New Roman" w:cs="Times New Roman"/>
          <w:color w:val="000000" w:themeColor="text1"/>
          <w:vertAlign w:val="superscript"/>
          <w:lang w:val="uk-UA"/>
        </w:rPr>
      </w:pPr>
    </w:p>
    <w:tbl>
      <w:tblPr>
        <w:tblW w:w="983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CE45A3" w:rsidRPr="0080595E" w14:paraId="4E7EDB78" w14:textId="77777777" w:rsidTr="00280D11">
        <w:trPr>
          <w:trHeight w:val="896"/>
        </w:trPr>
        <w:tc>
          <w:tcPr>
            <w:tcW w:w="9836" w:type="dxa"/>
            <w:shd w:val="clear" w:color="auto" w:fill="BDD6EE" w:themeFill="accent1" w:themeFillTint="66"/>
          </w:tcPr>
          <w:p w14:paraId="74509DB8" w14:textId="158F8897" w:rsidR="00CE45A3" w:rsidRPr="008A3473" w:rsidRDefault="00CE45A3" w:rsidP="00F53078">
            <w:pPr>
              <w:tabs>
                <w:tab w:val="left" w:pos="1089"/>
              </w:tabs>
              <w:jc w:val="both"/>
              <w:rPr>
                <w:rFonts w:ascii="Times New Roman" w:hAnsi="Times New Roman" w:cs="Times New Roman"/>
                <w:b/>
                <w:i/>
                <w:lang w:val="uk-UA"/>
              </w:rPr>
            </w:pPr>
            <w:r w:rsidRPr="008A3473">
              <w:rPr>
                <w:rFonts w:ascii="Times New Roman" w:hAnsi="Times New Roman" w:cs="Times New Roman"/>
                <w:b/>
                <w:i/>
                <w:lang w:val="uk-UA"/>
              </w:rPr>
              <w:lastRenderedPageBreak/>
              <w:t xml:space="preserve">Генотип 1b, специфічна до генотипу схема: </w:t>
            </w:r>
            <w:r w:rsidR="00DA25AC" w:rsidRPr="00DA25AC">
              <w:rPr>
                <w:rFonts w:ascii="Times New Roman" w:hAnsi="Times New Roman" w:cs="Times New Roman"/>
                <w:b/>
                <w:i/>
                <w:lang w:val="uk-UA"/>
              </w:rPr>
              <w:t>комбінаці</w:t>
            </w:r>
            <w:r w:rsidR="00DA25AC">
              <w:rPr>
                <w:rFonts w:ascii="Times New Roman" w:hAnsi="Times New Roman" w:cs="Times New Roman"/>
                <w:b/>
                <w:i/>
                <w:lang w:val="uk-UA"/>
              </w:rPr>
              <w:t>я</w:t>
            </w:r>
            <w:r w:rsidR="00DA25AC" w:rsidRPr="00DA25AC">
              <w:rPr>
                <w:rFonts w:ascii="Times New Roman" w:hAnsi="Times New Roman" w:cs="Times New Roman"/>
                <w:b/>
                <w:i/>
                <w:lang w:val="uk-UA"/>
              </w:rPr>
              <w:t xml:space="preserve"> омбітасвіру, паритапревіру, ритонавіру та дасабувіру</w:t>
            </w:r>
          </w:p>
          <w:p w14:paraId="53BF95FA" w14:textId="7FE77F81" w:rsidR="00CE45A3" w:rsidRPr="00CE45A3" w:rsidRDefault="00FC0A82" w:rsidP="00015E3B">
            <w:pPr>
              <w:pStyle w:val="a9"/>
              <w:numPr>
                <w:ilvl w:val="0"/>
                <w:numId w:val="15"/>
              </w:numPr>
              <w:tabs>
                <w:tab w:val="left" w:pos="1089"/>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“Наївних”</w:t>
            </w:r>
            <w:r w:rsidR="00CE45A3">
              <w:rPr>
                <w:rFonts w:ascii="Times New Roman" w:hAnsi="Times New Roman" w:cs="Times New Roman"/>
                <w:color w:val="000000" w:themeColor="text1"/>
                <w:lang w:val="uk-UA"/>
              </w:rPr>
              <w:t xml:space="preserve"> та</w:t>
            </w:r>
            <w:r w:rsidR="00CE45A3" w:rsidRPr="00CE45A3">
              <w:rPr>
                <w:rFonts w:ascii="Times New Roman" w:hAnsi="Times New Roman" w:cs="Times New Roman"/>
                <w:color w:val="000000" w:themeColor="text1"/>
                <w:lang w:val="uk-UA"/>
              </w:rPr>
              <w:t xml:space="preserve"> пацієнт</w:t>
            </w:r>
            <w:r w:rsidR="005F0F7F">
              <w:rPr>
                <w:rFonts w:ascii="Times New Roman" w:hAnsi="Times New Roman" w:cs="Times New Roman"/>
                <w:color w:val="000000" w:themeColor="text1"/>
                <w:lang w:val="uk-UA"/>
              </w:rPr>
              <w:t>ів</w:t>
            </w:r>
            <w:r w:rsidR="00652F9A">
              <w:rPr>
                <w:rFonts w:ascii="Times New Roman" w:hAnsi="Times New Roman" w:cs="Times New Roman"/>
                <w:color w:val="000000" w:themeColor="text1"/>
                <w:lang w:val="uk-UA"/>
              </w:rPr>
              <w:t xml:space="preserve"> з досвідом лікування</w:t>
            </w:r>
            <w:r w:rsidR="005F0F7F">
              <w:rPr>
                <w:rFonts w:ascii="Times New Roman" w:hAnsi="Times New Roman" w:cs="Times New Roman"/>
                <w:color w:val="000000" w:themeColor="text1"/>
                <w:lang w:val="uk-UA"/>
              </w:rPr>
              <w:t xml:space="preserve"> із генотип</w:t>
            </w:r>
            <w:r w:rsidR="00CE45A3" w:rsidRPr="00CE45A3">
              <w:rPr>
                <w:rFonts w:ascii="Times New Roman" w:hAnsi="Times New Roman" w:cs="Times New Roman"/>
                <w:color w:val="000000" w:themeColor="text1"/>
                <w:lang w:val="uk-UA"/>
              </w:rPr>
              <w:t xml:space="preserve">ом 1b, без цирозу або </w:t>
            </w:r>
            <w:r w:rsidR="00CE45A3">
              <w:rPr>
                <w:rFonts w:ascii="Times New Roman" w:hAnsi="Times New Roman" w:cs="Times New Roman"/>
                <w:color w:val="000000" w:themeColor="text1"/>
                <w:lang w:val="uk-UA"/>
              </w:rPr>
              <w:t>з компенсованим (Child</w:t>
            </w:r>
            <w:r w:rsidR="00FC6D8A">
              <w:rPr>
                <w:rFonts w:ascii="Times New Roman" w:hAnsi="Times New Roman" w:cs="Times New Roman"/>
                <w:color w:val="000000" w:themeColor="text1"/>
                <w:lang w:val="uk-UA"/>
              </w:rPr>
              <w:t>–</w:t>
            </w:r>
            <w:r w:rsidR="00CE45A3">
              <w:rPr>
                <w:rFonts w:ascii="Times New Roman" w:hAnsi="Times New Roman" w:cs="Times New Roman"/>
                <w:color w:val="000000" w:themeColor="text1"/>
                <w:lang w:val="uk-UA"/>
              </w:rPr>
              <w:t>Pugh A) цирозом</w:t>
            </w:r>
            <w:r w:rsidR="00CE45A3" w:rsidRPr="00CE45A3">
              <w:rPr>
                <w:rFonts w:ascii="Times New Roman" w:hAnsi="Times New Roman" w:cs="Times New Roman"/>
                <w:color w:val="000000" w:themeColor="text1"/>
                <w:lang w:val="uk-UA"/>
              </w:rPr>
              <w:t>, слід лікувати комбінацією омбіта</w:t>
            </w:r>
            <w:r w:rsidR="00843DC3">
              <w:rPr>
                <w:rFonts w:ascii="Times New Roman" w:hAnsi="Times New Roman" w:cs="Times New Roman"/>
                <w:color w:val="000000" w:themeColor="text1"/>
                <w:lang w:val="uk-UA"/>
              </w:rPr>
              <w:t>с</w:t>
            </w:r>
            <w:r w:rsidR="00CE45A3" w:rsidRPr="00CE45A3">
              <w:rPr>
                <w:rFonts w:ascii="Times New Roman" w:hAnsi="Times New Roman" w:cs="Times New Roman"/>
                <w:color w:val="000000" w:themeColor="text1"/>
                <w:lang w:val="uk-UA"/>
              </w:rPr>
              <w:t xml:space="preserve">віру, </w:t>
            </w:r>
            <w:r w:rsidR="00E76D74">
              <w:rPr>
                <w:rFonts w:ascii="Times New Roman" w:hAnsi="Times New Roman" w:cs="Times New Roman"/>
                <w:color w:val="000000" w:themeColor="text1"/>
                <w:lang w:val="uk-UA"/>
              </w:rPr>
              <w:t>паритапревір</w:t>
            </w:r>
            <w:r w:rsidR="00843DC3">
              <w:rPr>
                <w:rFonts w:ascii="Times New Roman" w:hAnsi="Times New Roman" w:cs="Times New Roman"/>
                <w:color w:val="000000" w:themeColor="text1"/>
                <w:lang w:val="uk-UA"/>
              </w:rPr>
              <w:t>у</w:t>
            </w:r>
            <w:r w:rsidR="006326A5">
              <w:rPr>
                <w:rFonts w:ascii="Times New Roman" w:hAnsi="Times New Roman" w:cs="Times New Roman"/>
                <w:color w:val="000000" w:themeColor="text1"/>
                <w:lang w:val="uk-UA"/>
              </w:rPr>
              <w:t>,</w:t>
            </w:r>
            <w:r w:rsidR="00843DC3">
              <w:rPr>
                <w:rFonts w:ascii="Times New Roman" w:hAnsi="Times New Roman" w:cs="Times New Roman"/>
                <w:color w:val="000000" w:themeColor="text1"/>
                <w:lang w:val="uk-UA"/>
              </w:rPr>
              <w:t xml:space="preserve"> ритонавіру</w:t>
            </w:r>
            <w:r w:rsidR="006326A5">
              <w:rPr>
                <w:rFonts w:ascii="Times New Roman" w:hAnsi="Times New Roman" w:cs="Times New Roman"/>
                <w:color w:val="000000" w:themeColor="text1"/>
                <w:lang w:val="uk-UA"/>
              </w:rPr>
              <w:t xml:space="preserve"> та</w:t>
            </w:r>
            <w:r w:rsidR="00CE45A3" w:rsidRPr="00CE45A3">
              <w:rPr>
                <w:rFonts w:ascii="Times New Roman" w:hAnsi="Times New Roman" w:cs="Times New Roman"/>
                <w:color w:val="000000" w:themeColor="text1"/>
                <w:lang w:val="uk-UA"/>
              </w:rPr>
              <w:t xml:space="preserve"> </w:t>
            </w:r>
            <w:r w:rsidR="00E76D74">
              <w:rPr>
                <w:rFonts w:ascii="Times New Roman" w:hAnsi="Times New Roman" w:cs="Times New Roman"/>
                <w:color w:val="000000" w:themeColor="text1"/>
                <w:lang w:val="uk-UA"/>
              </w:rPr>
              <w:t>дасабувір</w:t>
            </w:r>
            <w:r w:rsidR="00843DC3">
              <w:rPr>
                <w:rFonts w:ascii="Times New Roman" w:hAnsi="Times New Roman" w:cs="Times New Roman"/>
                <w:color w:val="000000" w:themeColor="text1"/>
                <w:lang w:val="uk-UA"/>
              </w:rPr>
              <w:t>у</w:t>
            </w:r>
            <w:r w:rsidR="00CE45A3" w:rsidRPr="00CE45A3">
              <w:rPr>
                <w:rFonts w:ascii="Times New Roman" w:hAnsi="Times New Roman" w:cs="Times New Roman"/>
                <w:color w:val="000000" w:themeColor="text1"/>
                <w:lang w:val="uk-UA"/>
              </w:rPr>
              <w:t xml:space="preserve"> протягом 12 тижнів (А1).</w:t>
            </w:r>
          </w:p>
          <w:p w14:paraId="6BE86BDD" w14:textId="23BDCB8D" w:rsidR="00CE45A3" w:rsidRPr="00CE45A3" w:rsidRDefault="00FC0A82" w:rsidP="00015E3B">
            <w:pPr>
              <w:pStyle w:val="a9"/>
              <w:numPr>
                <w:ilvl w:val="0"/>
                <w:numId w:val="15"/>
              </w:numPr>
              <w:tabs>
                <w:tab w:val="left" w:pos="1089"/>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it-IT"/>
              </w:rPr>
              <w:t>“</w:t>
            </w:r>
            <w:r w:rsidR="00843DC3">
              <w:rPr>
                <w:rFonts w:ascii="Times New Roman" w:hAnsi="Times New Roman" w:cs="Times New Roman"/>
                <w:color w:val="000000" w:themeColor="text1"/>
                <w:lang w:val="uk-UA"/>
              </w:rPr>
              <w:t>Наївні</w:t>
            </w:r>
            <w:r>
              <w:rPr>
                <w:rFonts w:ascii="Times New Roman" w:hAnsi="Times New Roman" w:cs="Times New Roman"/>
                <w:color w:val="000000" w:themeColor="text1"/>
                <w:lang w:val="it-IT"/>
              </w:rPr>
              <w:t>"</w:t>
            </w:r>
            <w:r w:rsidR="00843DC3">
              <w:rPr>
                <w:rFonts w:ascii="Times New Roman" w:hAnsi="Times New Roman" w:cs="Times New Roman"/>
                <w:color w:val="000000" w:themeColor="text1"/>
                <w:lang w:val="uk-UA"/>
              </w:rPr>
              <w:t xml:space="preserve"> пацієнти</w:t>
            </w:r>
            <w:r w:rsidR="00CE45A3" w:rsidRPr="00CE45A3">
              <w:rPr>
                <w:rFonts w:ascii="Times New Roman" w:hAnsi="Times New Roman" w:cs="Times New Roman"/>
                <w:color w:val="000000" w:themeColor="text1"/>
                <w:lang w:val="uk-UA"/>
              </w:rPr>
              <w:t xml:space="preserve">, інфіковані генотопом 1b </w:t>
            </w:r>
            <w:r w:rsidR="00843DC3">
              <w:rPr>
                <w:rFonts w:ascii="Times New Roman" w:hAnsi="Times New Roman" w:cs="Times New Roman"/>
                <w:color w:val="000000" w:themeColor="text1"/>
                <w:lang w:val="uk-UA"/>
              </w:rPr>
              <w:t>з фіброзом F0</w:t>
            </w:r>
            <w:r w:rsidR="00FC6D8A">
              <w:rPr>
                <w:rFonts w:ascii="Times New Roman" w:hAnsi="Times New Roman" w:cs="Times New Roman"/>
                <w:color w:val="000000" w:themeColor="text1"/>
                <w:lang w:val="uk-UA"/>
              </w:rPr>
              <w:t>–</w:t>
            </w:r>
            <w:r w:rsidR="00843DC3">
              <w:rPr>
                <w:rFonts w:ascii="Times New Roman" w:hAnsi="Times New Roman" w:cs="Times New Roman"/>
                <w:color w:val="000000" w:themeColor="text1"/>
                <w:lang w:val="uk-UA"/>
              </w:rPr>
              <w:t>F2, можуть отримувати комбінаці</w:t>
            </w:r>
            <w:r w:rsidR="00CE45A3" w:rsidRPr="00CE45A3">
              <w:rPr>
                <w:rFonts w:ascii="Times New Roman" w:hAnsi="Times New Roman" w:cs="Times New Roman"/>
                <w:color w:val="000000" w:themeColor="text1"/>
                <w:lang w:val="uk-UA"/>
              </w:rPr>
              <w:t xml:space="preserve">ю </w:t>
            </w:r>
            <w:bookmarkStart w:id="2" w:name="_Hlk5367243"/>
            <w:r w:rsidR="00CE45A3" w:rsidRPr="00CE45A3">
              <w:rPr>
                <w:rFonts w:ascii="Times New Roman" w:hAnsi="Times New Roman" w:cs="Times New Roman"/>
                <w:color w:val="000000" w:themeColor="text1"/>
                <w:lang w:val="uk-UA"/>
              </w:rPr>
              <w:t>омбіта</w:t>
            </w:r>
            <w:r w:rsidR="00843DC3">
              <w:rPr>
                <w:rFonts w:ascii="Times New Roman" w:hAnsi="Times New Roman" w:cs="Times New Roman"/>
                <w:color w:val="000000" w:themeColor="text1"/>
                <w:lang w:val="uk-UA"/>
              </w:rPr>
              <w:t>с</w:t>
            </w:r>
            <w:r w:rsidR="00CE45A3" w:rsidRPr="00CE45A3">
              <w:rPr>
                <w:rFonts w:ascii="Times New Roman" w:hAnsi="Times New Roman" w:cs="Times New Roman"/>
                <w:color w:val="000000" w:themeColor="text1"/>
                <w:lang w:val="uk-UA"/>
              </w:rPr>
              <w:t xml:space="preserve">віру, </w:t>
            </w:r>
            <w:r w:rsidR="00E76D74">
              <w:rPr>
                <w:rFonts w:ascii="Times New Roman" w:hAnsi="Times New Roman" w:cs="Times New Roman"/>
                <w:color w:val="000000" w:themeColor="text1"/>
                <w:lang w:val="uk-UA"/>
              </w:rPr>
              <w:t>паритапревір</w:t>
            </w:r>
            <w:r w:rsidR="00843DC3">
              <w:rPr>
                <w:rFonts w:ascii="Times New Roman" w:hAnsi="Times New Roman" w:cs="Times New Roman"/>
                <w:color w:val="000000" w:themeColor="text1"/>
                <w:lang w:val="uk-UA"/>
              </w:rPr>
              <w:t>у</w:t>
            </w:r>
            <w:r w:rsidR="006326A5">
              <w:rPr>
                <w:rFonts w:ascii="Times New Roman" w:hAnsi="Times New Roman" w:cs="Times New Roman"/>
                <w:color w:val="000000" w:themeColor="text1"/>
                <w:lang w:val="uk-UA"/>
              </w:rPr>
              <w:t>,</w:t>
            </w:r>
            <w:r w:rsidR="00843DC3">
              <w:rPr>
                <w:rFonts w:ascii="Times New Roman" w:hAnsi="Times New Roman" w:cs="Times New Roman"/>
                <w:color w:val="000000" w:themeColor="text1"/>
                <w:lang w:val="uk-UA"/>
              </w:rPr>
              <w:t xml:space="preserve"> ритонавіру </w:t>
            </w:r>
            <w:r w:rsidR="006326A5">
              <w:rPr>
                <w:rFonts w:ascii="Times New Roman" w:hAnsi="Times New Roman" w:cs="Times New Roman"/>
                <w:color w:val="000000" w:themeColor="text1"/>
                <w:lang w:val="uk-UA"/>
              </w:rPr>
              <w:t>та</w:t>
            </w:r>
            <w:r w:rsidR="00843DC3">
              <w:rPr>
                <w:rFonts w:ascii="Times New Roman" w:hAnsi="Times New Roman" w:cs="Times New Roman"/>
                <w:color w:val="000000" w:themeColor="text1"/>
                <w:lang w:val="uk-UA"/>
              </w:rPr>
              <w:t xml:space="preserve"> </w:t>
            </w:r>
            <w:r w:rsidR="00E76D74">
              <w:rPr>
                <w:rFonts w:ascii="Times New Roman" w:hAnsi="Times New Roman" w:cs="Times New Roman"/>
                <w:color w:val="000000" w:themeColor="text1"/>
                <w:lang w:val="uk-UA"/>
              </w:rPr>
              <w:t>дасабувір</w:t>
            </w:r>
            <w:r w:rsidR="00843DC3">
              <w:rPr>
                <w:rFonts w:ascii="Times New Roman" w:hAnsi="Times New Roman" w:cs="Times New Roman"/>
                <w:color w:val="000000" w:themeColor="text1"/>
                <w:lang w:val="uk-UA"/>
              </w:rPr>
              <w:t>у</w:t>
            </w:r>
            <w:r w:rsidR="00CE45A3" w:rsidRPr="00CE45A3">
              <w:rPr>
                <w:rFonts w:ascii="Times New Roman" w:hAnsi="Times New Roman" w:cs="Times New Roman"/>
                <w:color w:val="000000" w:themeColor="text1"/>
                <w:lang w:val="uk-UA"/>
              </w:rPr>
              <w:t xml:space="preserve"> </w:t>
            </w:r>
            <w:bookmarkEnd w:id="2"/>
            <w:r w:rsidR="00CE45A3" w:rsidRPr="00CE45A3">
              <w:rPr>
                <w:rFonts w:ascii="Times New Roman" w:hAnsi="Times New Roman" w:cs="Times New Roman"/>
                <w:color w:val="000000" w:themeColor="text1"/>
                <w:lang w:val="uk-UA"/>
              </w:rPr>
              <w:t>протягом 8 тижнів (В2).</w:t>
            </w:r>
          </w:p>
        </w:tc>
      </w:tr>
    </w:tbl>
    <w:p w14:paraId="5C7C54F5" w14:textId="11CDC598" w:rsidR="00CE45A3" w:rsidRDefault="00CE45A3" w:rsidP="00F53078">
      <w:pPr>
        <w:tabs>
          <w:tab w:val="left" w:pos="1089"/>
        </w:tabs>
        <w:jc w:val="both"/>
        <w:rPr>
          <w:rFonts w:ascii="Times New Roman" w:hAnsi="Times New Roman" w:cs="Times New Roman"/>
          <w:color w:val="000000" w:themeColor="text1"/>
          <w:lang w:val="uk-UA"/>
        </w:rPr>
      </w:pPr>
    </w:p>
    <w:p w14:paraId="61536FB4" w14:textId="0BE55ACA" w:rsidR="00BA5C0A" w:rsidRPr="00BA5C0A" w:rsidRDefault="00BA5C0A" w:rsidP="00BA5C0A">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Коментарі: Ця рекомен</w:t>
      </w:r>
      <w:r w:rsidR="0013605C">
        <w:rPr>
          <w:rFonts w:ascii="Times New Roman" w:hAnsi="Times New Roman" w:cs="Times New Roman"/>
          <w:color w:val="000000" w:themeColor="text1"/>
          <w:lang w:val="uk-UA"/>
        </w:rPr>
        <w:t>дація базується на результатах дослідження</w:t>
      </w:r>
      <w:r w:rsidRPr="00BA5C0A">
        <w:rPr>
          <w:rFonts w:ascii="Times New Roman" w:hAnsi="Times New Roman" w:cs="Times New Roman"/>
          <w:color w:val="000000" w:themeColor="text1"/>
          <w:lang w:val="uk-UA"/>
        </w:rPr>
        <w:t xml:space="preserve"> </w:t>
      </w:r>
      <w:r w:rsidRPr="008A3473">
        <w:rPr>
          <w:rFonts w:ascii="Times New Roman" w:hAnsi="Times New Roman" w:cs="Times New Roman"/>
          <w:color w:val="000000" w:themeColor="text1"/>
          <w:lang w:val="uk-UA"/>
        </w:rPr>
        <w:t>III. У дослідженні PEARL</w:t>
      </w:r>
      <w:r w:rsidR="00FC6D8A">
        <w:rPr>
          <w:rFonts w:ascii="Times New Roman" w:hAnsi="Times New Roman" w:cs="Times New Roman"/>
          <w:color w:val="000000" w:themeColor="text1"/>
          <w:lang w:val="uk-UA"/>
        </w:rPr>
        <w:t>–</w:t>
      </w:r>
      <w:r w:rsidRPr="008A3473">
        <w:rPr>
          <w:rFonts w:ascii="Times New Roman" w:hAnsi="Times New Roman" w:cs="Times New Roman"/>
          <w:color w:val="000000" w:themeColor="text1"/>
          <w:lang w:val="uk-UA"/>
        </w:rPr>
        <w:t xml:space="preserve">3 частота СВВ12 становила 99% (207/209) серед </w:t>
      </w:r>
      <w:r w:rsidR="00FC0A82">
        <w:rPr>
          <w:rFonts w:ascii="Times New Roman" w:hAnsi="Times New Roman" w:cs="Times New Roman"/>
          <w:color w:val="000000" w:themeColor="text1"/>
          <w:lang w:val="it-IT"/>
        </w:rPr>
        <w:t>“</w:t>
      </w:r>
      <w:r w:rsidRPr="008A3473">
        <w:rPr>
          <w:rFonts w:ascii="Times New Roman" w:hAnsi="Times New Roman" w:cs="Times New Roman"/>
          <w:color w:val="000000" w:themeColor="text1"/>
          <w:lang w:val="uk-UA"/>
        </w:rPr>
        <w:t>наївних</w:t>
      </w:r>
      <w:r w:rsidR="00FC0A82">
        <w:rPr>
          <w:rFonts w:ascii="Times New Roman" w:hAnsi="Times New Roman" w:cs="Times New Roman"/>
          <w:color w:val="000000" w:themeColor="text1"/>
          <w:lang w:val="it-IT"/>
        </w:rPr>
        <w:t>”</w:t>
      </w:r>
      <w:r w:rsidRPr="008A3473">
        <w:rPr>
          <w:rFonts w:ascii="Times New Roman" w:hAnsi="Times New Roman" w:cs="Times New Roman"/>
          <w:color w:val="000000" w:themeColor="text1"/>
          <w:lang w:val="uk-UA"/>
        </w:rPr>
        <w:t xml:space="preserve"> пацієнтів</w:t>
      </w:r>
      <w:r w:rsidR="0013605C">
        <w:rPr>
          <w:rFonts w:ascii="Times New Roman" w:hAnsi="Times New Roman" w:cs="Times New Roman"/>
          <w:color w:val="000000" w:themeColor="text1"/>
          <w:lang w:val="uk-UA"/>
        </w:rPr>
        <w:t xml:space="preserve"> </w:t>
      </w:r>
      <w:r w:rsidR="005F0F7F">
        <w:rPr>
          <w:rFonts w:ascii="Times New Roman" w:hAnsi="Times New Roman" w:cs="Times New Roman"/>
          <w:color w:val="000000" w:themeColor="text1"/>
          <w:lang w:val="uk-UA"/>
        </w:rPr>
        <w:t>з генотипом</w:t>
      </w:r>
      <w:r w:rsidRPr="00BA5C0A">
        <w:rPr>
          <w:rFonts w:ascii="Times New Roman" w:hAnsi="Times New Roman" w:cs="Times New Roman"/>
          <w:color w:val="000000" w:themeColor="text1"/>
          <w:lang w:val="uk-UA"/>
        </w:rPr>
        <w:t xml:space="preserve"> 1b, без цирозу, які отримували комбінацію </w:t>
      </w:r>
      <w:r w:rsidR="006326A5" w:rsidRPr="006326A5">
        <w:rPr>
          <w:rFonts w:ascii="Times New Roman" w:hAnsi="Times New Roman" w:cs="Times New Roman"/>
          <w:color w:val="000000" w:themeColor="text1"/>
          <w:lang w:val="uk-UA"/>
        </w:rPr>
        <w:t>омбітасвіру, паритапревіру, ритонавіру та дасабувіру</w:t>
      </w:r>
      <w:r w:rsidRPr="00BA5C0A">
        <w:rPr>
          <w:rFonts w:ascii="Times New Roman" w:hAnsi="Times New Roman" w:cs="Times New Roman"/>
          <w:color w:val="000000" w:themeColor="text1"/>
          <w:lang w:val="uk-UA"/>
        </w:rPr>
        <w:t>, протягом 12 тижнів.</w:t>
      </w:r>
      <w:r w:rsidRPr="00BA5C0A">
        <w:rPr>
          <w:rFonts w:ascii="Times New Roman" w:hAnsi="Times New Roman" w:cs="Times New Roman"/>
          <w:color w:val="000000" w:themeColor="text1"/>
          <w:vertAlign w:val="superscript"/>
          <w:lang w:val="uk-UA"/>
        </w:rPr>
        <w:t>89</w:t>
      </w:r>
      <w:r w:rsidRPr="00BA5C0A">
        <w:rPr>
          <w:rFonts w:ascii="Times New Roman" w:hAnsi="Times New Roman" w:cs="Times New Roman"/>
          <w:color w:val="000000" w:themeColor="text1"/>
          <w:lang w:val="uk-UA"/>
        </w:rPr>
        <w:t xml:space="preserve"> У MALACHITE</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 1, частота СВВ12 у пацієнтів без цирозу, які раніше не проходили лікування, становила 98% (81/83)</w:t>
      </w:r>
      <w:r w:rsidR="00186063">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 У дослідженні TURQUOISE</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1 серед </w:t>
      </w:r>
      <w:r w:rsidR="00FC0A82">
        <w:rPr>
          <w:rFonts w:ascii="Times New Roman" w:hAnsi="Times New Roman" w:cs="Times New Roman"/>
          <w:color w:val="000000" w:themeColor="text1"/>
          <w:lang w:val="it-IT"/>
        </w:rPr>
        <w:t>“</w:t>
      </w:r>
      <w:r w:rsidRPr="00BA5C0A">
        <w:rPr>
          <w:rFonts w:ascii="Times New Roman" w:hAnsi="Times New Roman" w:cs="Times New Roman"/>
          <w:color w:val="000000" w:themeColor="text1"/>
          <w:lang w:val="uk-UA"/>
        </w:rPr>
        <w:t>наївних</w:t>
      </w:r>
      <w:r w:rsidR="00FC0A82">
        <w:rPr>
          <w:rFonts w:ascii="Times New Roman" w:hAnsi="Times New Roman" w:cs="Times New Roman"/>
          <w:color w:val="000000" w:themeColor="text1"/>
          <w:lang w:val="it-IT"/>
        </w:rPr>
        <w:t>”</w:t>
      </w:r>
      <w:r w:rsidRPr="00BA5C0A">
        <w:rPr>
          <w:rFonts w:ascii="Times New Roman" w:hAnsi="Times New Roman" w:cs="Times New Roman"/>
          <w:color w:val="000000" w:themeColor="text1"/>
          <w:lang w:val="uk-UA"/>
        </w:rPr>
        <w:t xml:space="preserve"> пацієнтів без цирозу, </w:t>
      </w:r>
      <w:r w:rsidR="00525692">
        <w:rPr>
          <w:rFonts w:ascii="Times New Roman" w:hAnsi="Times New Roman" w:cs="Times New Roman"/>
          <w:color w:val="000000" w:themeColor="text1"/>
          <w:lang w:val="uk-UA"/>
        </w:rPr>
        <w:t xml:space="preserve">з коінфекцією ВІЛ/ВГС </w:t>
      </w:r>
      <w:r w:rsidRPr="00BA5C0A">
        <w:rPr>
          <w:rFonts w:ascii="Times New Roman" w:hAnsi="Times New Roman" w:cs="Times New Roman"/>
          <w:color w:val="000000" w:themeColor="text1"/>
          <w:lang w:val="uk-UA"/>
        </w:rPr>
        <w:t xml:space="preserve">та які отримують безперервне антиретровірусне лікування атазанавіром або ралтегравіром, СВВ12 була досягнута у 100% (7/7) пацієнтів </w:t>
      </w:r>
      <w:r w:rsidR="00186063">
        <w:rPr>
          <w:rFonts w:ascii="Times New Roman" w:hAnsi="Times New Roman" w:cs="Times New Roman"/>
          <w:color w:val="000000" w:themeColor="text1"/>
          <w:lang w:val="uk-UA"/>
        </w:rPr>
        <w:t xml:space="preserve">з </w:t>
      </w:r>
      <w:r w:rsidRPr="00BA5C0A">
        <w:rPr>
          <w:rFonts w:ascii="Times New Roman" w:hAnsi="Times New Roman" w:cs="Times New Roman"/>
          <w:color w:val="000000" w:themeColor="text1"/>
          <w:lang w:val="uk-UA"/>
        </w:rPr>
        <w:t>генотип</w:t>
      </w:r>
      <w:r w:rsidR="00186063">
        <w:rPr>
          <w:rFonts w:ascii="Times New Roman" w:hAnsi="Times New Roman" w:cs="Times New Roman"/>
          <w:color w:val="000000" w:themeColor="text1"/>
          <w:lang w:val="uk-UA"/>
        </w:rPr>
        <w:t>ом</w:t>
      </w:r>
      <w:r w:rsidRPr="00BA5C0A">
        <w:rPr>
          <w:rFonts w:ascii="Times New Roman" w:hAnsi="Times New Roman" w:cs="Times New Roman"/>
          <w:color w:val="000000" w:themeColor="text1"/>
          <w:lang w:val="uk-UA"/>
        </w:rPr>
        <w:t xml:space="preserve"> 1b</w:t>
      </w:r>
      <w:r w:rsidRPr="00BA5C0A">
        <w:rPr>
          <w:rFonts w:ascii="Times New Roman" w:hAnsi="Times New Roman" w:cs="Times New Roman"/>
          <w:color w:val="000000" w:themeColor="text1"/>
          <w:vertAlign w:val="superscript"/>
          <w:lang w:val="uk-UA"/>
        </w:rPr>
        <w:t>91</w:t>
      </w:r>
      <w:r w:rsidRPr="00BA5C0A">
        <w:rPr>
          <w:rFonts w:ascii="Times New Roman" w:hAnsi="Times New Roman" w:cs="Times New Roman"/>
          <w:color w:val="000000" w:themeColor="text1"/>
          <w:lang w:val="uk-UA"/>
        </w:rPr>
        <w:t xml:space="preserve">. Нарешті, у дослідженні GARNET, частота СВВ12 становила 97% (161/166) у пацієнтів з генотипом 1b, серед </w:t>
      </w:r>
      <w:r w:rsidR="00FC0A82">
        <w:rPr>
          <w:rFonts w:ascii="Times New Roman" w:hAnsi="Times New Roman" w:cs="Times New Roman"/>
          <w:color w:val="000000" w:themeColor="text1"/>
          <w:lang w:val="it-IT"/>
        </w:rPr>
        <w:t>“</w:t>
      </w:r>
      <w:r w:rsidRPr="00BA5C0A">
        <w:rPr>
          <w:rFonts w:ascii="Times New Roman" w:hAnsi="Times New Roman" w:cs="Times New Roman"/>
          <w:color w:val="000000" w:themeColor="text1"/>
          <w:lang w:val="uk-UA"/>
        </w:rPr>
        <w:t>наївних</w:t>
      </w:r>
      <w:r w:rsidR="00FC0A82">
        <w:rPr>
          <w:rFonts w:ascii="Times New Roman" w:hAnsi="Times New Roman" w:cs="Times New Roman"/>
          <w:color w:val="000000" w:themeColor="text1"/>
          <w:lang w:val="it-IT"/>
        </w:rPr>
        <w:t>”</w:t>
      </w:r>
      <w:r w:rsidRPr="00BA5C0A">
        <w:rPr>
          <w:rFonts w:ascii="Times New Roman" w:hAnsi="Times New Roman" w:cs="Times New Roman"/>
          <w:color w:val="000000" w:themeColor="text1"/>
          <w:lang w:val="uk-UA"/>
        </w:rPr>
        <w:t xml:space="preserve"> пацієнтів, без цирозу (оцінка METAVIR F0 </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 F3) після 8 тижнів лікування </w:t>
      </w:r>
      <w:r w:rsidR="00DA25AC">
        <w:rPr>
          <w:rFonts w:ascii="Times New Roman" w:hAnsi="Times New Roman" w:cs="Times New Roman"/>
          <w:color w:val="000000" w:themeColor="text1"/>
          <w:lang w:val="uk-UA"/>
        </w:rPr>
        <w:t xml:space="preserve">комбінацією </w:t>
      </w:r>
      <w:r w:rsidR="006326A5" w:rsidRPr="006326A5">
        <w:rPr>
          <w:rFonts w:ascii="Times New Roman" w:hAnsi="Times New Roman" w:cs="Times New Roman"/>
          <w:color w:val="000000" w:themeColor="text1"/>
          <w:lang w:val="uk-UA"/>
        </w:rPr>
        <w:t>омбітасвіру, паритапревіру, ритонавіру та дасабувіру</w:t>
      </w:r>
      <w:r w:rsidRPr="00BA5C0A">
        <w:rPr>
          <w:rFonts w:ascii="Times New Roman" w:hAnsi="Times New Roman" w:cs="Times New Roman"/>
          <w:color w:val="000000" w:themeColor="text1"/>
          <w:lang w:val="uk-UA"/>
        </w:rPr>
        <w:t xml:space="preserve">. Серед 15 пацієнтів з фіброзом F3, включеними у дане дослідження, </w:t>
      </w:r>
      <w:r w:rsidR="00FC0A82">
        <w:rPr>
          <w:rFonts w:ascii="Times New Roman" w:hAnsi="Times New Roman" w:cs="Times New Roman"/>
          <w:color w:val="000000" w:themeColor="text1"/>
          <w:lang w:val="uk-UA"/>
        </w:rPr>
        <w:t>обоє</w:t>
      </w:r>
      <w:r w:rsidRPr="00BA5C0A">
        <w:rPr>
          <w:rFonts w:ascii="Times New Roman" w:hAnsi="Times New Roman" w:cs="Times New Roman"/>
          <w:color w:val="000000" w:themeColor="text1"/>
          <w:lang w:val="uk-UA"/>
        </w:rPr>
        <w:t xml:space="preserve"> не мали вірусологічної відповіді.</w:t>
      </w:r>
      <w:r w:rsidRPr="00BA5C0A">
        <w:rPr>
          <w:rFonts w:ascii="Times New Roman" w:hAnsi="Times New Roman" w:cs="Times New Roman"/>
          <w:color w:val="000000" w:themeColor="text1"/>
          <w:vertAlign w:val="superscript"/>
          <w:lang w:val="uk-UA"/>
        </w:rPr>
        <w:t>92</w:t>
      </w:r>
    </w:p>
    <w:p w14:paraId="58F13750" w14:textId="77777777" w:rsidR="00BA5C0A" w:rsidRPr="00BA5C0A" w:rsidRDefault="00BA5C0A" w:rsidP="00BA5C0A">
      <w:pPr>
        <w:tabs>
          <w:tab w:val="left" w:pos="1089"/>
        </w:tabs>
        <w:jc w:val="both"/>
        <w:rPr>
          <w:rFonts w:ascii="Times New Roman" w:hAnsi="Times New Roman" w:cs="Times New Roman"/>
          <w:color w:val="000000" w:themeColor="text1"/>
          <w:lang w:val="uk-UA"/>
        </w:rPr>
      </w:pPr>
    </w:p>
    <w:p w14:paraId="38E3D99F" w14:textId="52F004D5" w:rsidR="00BA5C0A" w:rsidRPr="00BA5C0A" w:rsidRDefault="00BA5C0A" w:rsidP="00BA5C0A">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Серед пацієнтів</w:t>
      </w:r>
      <w:r w:rsidR="00652F9A">
        <w:rPr>
          <w:rFonts w:ascii="Times New Roman" w:hAnsi="Times New Roman" w:cs="Times New Roman"/>
          <w:color w:val="000000" w:themeColor="text1"/>
          <w:lang w:val="uk-UA"/>
        </w:rPr>
        <w:t xml:space="preserve"> з досвідом лікування</w:t>
      </w:r>
      <w:r w:rsidRPr="00BA5C0A">
        <w:rPr>
          <w:rFonts w:ascii="Times New Roman" w:hAnsi="Times New Roman" w:cs="Times New Roman"/>
          <w:color w:val="000000" w:themeColor="text1"/>
          <w:lang w:val="uk-UA"/>
        </w:rPr>
        <w:t xml:space="preserve"> (які отримували </w:t>
      </w:r>
      <w:r w:rsidR="005F0F7F">
        <w:rPr>
          <w:rFonts w:ascii="Times New Roman" w:hAnsi="Times New Roman" w:cs="Times New Roman"/>
          <w:color w:val="000000" w:themeColor="text1"/>
          <w:lang w:val="uk-UA"/>
        </w:rPr>
        <w:t>пегільований</w:t>
      </w:r>
      <w:r w:rsidR="005F0F7F" w:rsidRPr="00BA5C0A">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IFN</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a та рибавірин) без цирозу, які лікувалися цією комбінацією протягом 12 тижнів у PEARL</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2, СВВ12 досягнуто у 100% (95/95) випадків. </w:t>
      </w:r>
      <w:r w:rsidRPr="00BA5C0A">
        <w:rPr>
          <w:rFonts w:ascii="Times New Roman" w:hAnsi="Times New Roman" w:cs="Times New Roman"/>
          <w:color w:val="000000" w:themeColor="text1"/>
          <w:vertAlign w:val="superscript"/>
          <w:lang w:val="uk-UA"/>
        </w:rPr>
        <w:t>93</w:t>
      </w:r>
      <w:r w:rsidRPr="00BA5C0A">
        <w:rPr>
          <w:rFonts w:ascii="Times New Roman" w:hAnsi="Times New Roman" w:cs="Times New Roman"/>
          <w:color w:val="000000" w:themeColor="text1"/>
          <w:lang w:val="uk-UA"/>
        </w:rPr>
        <w:t xml:space="preserve"> У </w:t>
      </w:r>
      <w:r w:rsidR="00544369">
        <w:rPr>
          <w:rFonts w:ascii="Times New Roman" w:hAnsi="Times New Roman" w:cs="Times New Roman"/>
          <w:color w:val="000000" w:themeColor="text1"/>
          <w:lang w:val="uk-UA"/>
        </w:rPr>
        <w:t>дослідженні</w:t>
      </w:r>
      <w:r w:rsidRPr="00BA5C0A">
        <w:rPr>
          <w:rFonts w:ascii="Times New Roman" w:hAnsi="Times New Roman" w:cs="Times New Roman"/>
          <w:color w:val="000000" w:themeColor="text1"/>
          <w:lang w:val="uk-UA"/>
        </w:rPr>
        <w:t xml:space="preserve"> TOPAZ</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1 “наївні” та пацієнти</w:t>
      </w:r>
      <w:r w:rsidR="00652F9A">
        <w:rPr>
          <w:rFonts w:ascii="Times New Roman" w:hAnsi="Times New Roman" w:cs="Times New Roman"/>
          <w:color w:val="000000" w:themeColor="text1"/>
          <w:lang w:val="uk-UA"/>
        </w:rPr>
        <w:t xml:space="preserve"> з досвідом лікування</w:t>
      </w:r>
      <w:r w:rsidRPr="00BA5C0A">
        <w:rPr>
          <w:rFonts w:ascii="Times New Roman" w:hAnsi="Times New Roman" w:cs="Times New Roman"/>
          <w:color w:val="000000" w:themeColor="text1"/>
          <w:lang w:val="uk-UA"/>
        </w:rPr>
        <w:t xml:space="preserve"> без цирозу, які отримували такий же режим, досягли частоти СВВ12 у 99% випадків (738/745; 3 вірусологічні невдачі).</w:t>
      </w:r>
      <w:r w:rsidRPr="00BA5C0A">
        <w:rPr>
          <w:rFonts w:ascii="Times New Roman" w:hAnsi="Times New Roman" w:cs="Times New Roman"/>
          <w:color w:val="000000" w:themeColor="text1"/>
          <w:vertAlign w:val="superscript"/>
          <w:lang w:val="uk-UA"/>
        </w:rPr>
        <w:t>94</w:t>
      </w:r>
      <w:r w:rsidRPr="00BA5C0A">
        <w:rPr>
          <w:rFonts w:ascii="Times New Roman" w:hAnsi="Times New Roman" w:cs="Times New Roman"/>
          <w:color w:val="000000" w:themeColor="text1"/>
          <w:lang w:val="uk-UA"/>
        </w:rPr>
        <w:t xml:space="preserve"> Спільний аналіз кількох клінічних випробувань показав 99% частоти СВВ12 у 521 пацієнтці без цирозу (PEARL</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2, PEARL</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3, TOPAZ</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2, MALACHITE</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1).</w:t>
      </w:r>
      <w:r w:rsidRPr="00BA5C0A">
        <w:rPr>
          <w:rFonts w:ascii="Times New Roman" w:hAnsi="Times New Roman" w:cs="Times New Roman"/>
          <w:color w:val="000000" w:themeColor="text1"/>
          <w:vertAlign w:val="superscript"/>
          <w:lang w:val="uk-UA"/>
        </w:rPr>
        <w:t>95</w:t>
      </w:r>
      <w:r w:rsidRPr="00BA5C0A">
        <w:rPr>
          <w:rFonts w:ascii="Times New Roman" w:hAnsi="Times New Roman" w:cs="Times New Roman"/>
          <w:color w:val="000000" w:themeColor="text1"/>
          <w:lang w:val="uk-UA"/>
        </w:rPr>
        <w:t xml:space="preserve"> Також високі показники частоти СВВ12 були досягнуті у пацієнтів азіатської раси інфікованих генотипом 1b</w:t>
      </w:r>
      <w:r w:rsidR="0013605C">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 які отримували цю комбінацію.</w:t>
      </w:r>
      <w:r w:rsidRPr="00BA5C0A">
        <w:rPr>
          <w:rFonts w:ascii="Times New Roman" w:hAnsi="Times New Roman" w:cs="Times New Roman"/>
          <w:color w:val="000000" w:themeColor="text1"/>
          <w:vertAlign w:val="superscript"/>
          <w:lang w:val="uk-UA"/>
        </w:rPr>
        <w:t>96</w:t>
      </w:r>
    </w:p>
    <w:p w14:paraId="18206F46" w14:textId="77777777" w:rsidR="00BA5C0A" w:rsidRPr="00BA5C0A" w:rsidRDefault="00BA5C0A" w:rsidP="00BA5C0A">
      <w:pPr>
        <w:tabs>
          <w:tab w:val="left" w:pos="1089"/>
        </w:tabs>
        <w:jc w:val="both"/>
        <w:rPr>
          <w:rFonts w:ascii="Times New Roman" w:hAnsi="Times New Roman" w:cs="Times New Roman"/>
          <w:color w:val="000000" w:themeColor="text1"/>
          <w:lang w:val="uk-UA"/>
        </w:rPr>
      </w:pPr>
    </w:p>
    <w:p w14:paraId="2F5980FC" w14:textId="1693C784" w:rsidR="00BA5C0A" w:rsidRPr="003B61EF" w:rsidRDefault="00BA5C0A" w:rsidP="00BA5C0A">
      <w:pPr>
        <w:tabs>
          <w:tab w:val="left" w:pos="1089"/>
        </w:tabs>
        <w:jc w:val="both"/>
        <w:rPr>
          <w:rFonts w:ascii="Times New Roman" w:hAnsi="Times New Roman" w:cs="Times New Roman"/>
          <w:color w:val="000000" w:themeColor="text1"/>
        </w:rPr>
      </w:pPr>
      <w:r w:rsidRPr="00BA5C0A">
        <w:rPr>
          <w:rFonts w:ascii="Times New Roman" w:hAnsi="Times New Roman" w:cs="Times New Roman"/>
          <w:color w:val="000000" w:themeColor="text1"/>
          <w:lang w:val="uk-UA"/>
        </w:rPr>
        <w:t xml:space="preserve">У </w:t>
      </w:r>
      <w:r w:rsidR="00FC0A82">
        <w:rPr>
          <w:rFonts w:ascii="Times New Roman" w:hAnsi="Times New Roman" w:cs="Times New Roman"/>
          <w:color w:val="000000" w:themeColor="text1"/>
          <w:lang w:val="it-IT"/>
        </w:rPr>
        <w:t>“</w:t>
      </w:r>
      <w:r w:rsidRPr="00BA5C0A">
        <w:rPr>
          <w:rFonts w:ascii="Times New Roman" w:hAnsi="Times New Roman" w:cs="Times New Roman"/>
          <w:color w:val="000000" w:themeColor="text1"/>
          <w:lang w:val="uk-UA"/>
        </w:rPr>
        <w:t>наївних</w:t>
      </w:r>
      <w:r w:rsidR="00FC0A82">
        <w:rPr>
          <w:rFonts w:ascii="Times New Roman" w:hAnsi="Times New Roman" w:cs="Times New Roman"/>
          <w:color w:val="000000" w:themeColor="text1"/>
          <w:lang w:val="it-IT"/>
        </w:rPr>
        <w:t>”</w:t>
      </w:r>
      <w:r w:rsidRPr="00BA5C0A">
        <w:rPr>
          <w:rFonts w:ascii="Times New Roman" w:hAnsi="Times New Roman" w:cs="Times New Roman"/>
          <w:color w:val="000000" w:themeColor="text1"/>
          <w:lang w:val="uk-UA"/>
        </w:rPr>
        <w:t xml:space="preserve"> та пацієнтів</w:t>
      </w:r>
      <w:r w:rsidR="00652F9A">
        <w:rPr>
          <w:rFonts w:ascii="Times New Roman" w:hAnsi="Times New Roman" w:cs="Times New Roman"/>
          <w:color w:val="000000" w:themeColor="text1"/>
          <w:lang w:val="uk-UA"/>
        </w:rPr>
        <w:t xml:space="preserve"> з досвідом лікування</w:t>
      </w:r>
      <w:r w:rsidRPr="00BA5C0A">
        <w:rPr>
          <w:rFonts w:ascii="Times New Roman" w:hAnsi="Times New Roman" w:cs="Times New Roman"/>
          <w:color w:val="000000" w:themeColor="text1"/>
          <w:lang w:val="uk-UA"/>
        </w:rPr>
        <w:t xml:space="preserve"> з компенсованим цирозом </w:t>
      </w:r>
      <w:r w:rsidR="00544369">
        <w:rPr>
          <w:rFonts w:ascii="Times New Roman" w:hAnsi="Times New Roman" w:cs="Times New Roman"/>
          <w:color w:val="000000" w:themeColor="text1"/>
          <w:lang w:val="uk-UA"/>
        </w:rPr>
        <w:t xml:space="preserve">та генотипом </w:t>
      </w:r>
      <w:r w:rsidR="00544369" w:rsidRPr="00544369">
        <w:rPr>
          <w:rFonts w:ascii="Times New Roman" w:hAnsi="Times New Roman" w:cs="Times New Roman"/>
          <w:color w:val="000000" w:themeColor="text1"/>
          <w:lang w:val="uk-UA"/>
        </w:rPr>
        <w:t>1b</w:t>
      </w:r>
      <w:r w:rsidR="005F0F7F">
        <w:rPr>
          <w:rFonts w:ascii="Times New Roman" w:hAnsi="Times New Roman" w:cs="Times New Roman"/>
          <w:color w:val="000000" w:themeColor="text1"/>
          <w:lang w:val="uk-UA"/>
        </w:rPr>
        <w:t>,</w:t>
      </w:r>
      <w:r w:rsidR="00544369" w:rsidRPr="00544369">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включених до дослідження TURQUOISE</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3, СВВ12 бу</w:t>
      </w:r>
      <w:r w:rsidR="005F0F7F">
        <w:rPr>
          <w:rFonts w:ascii="Times New Roman" w:hAnsi="Times New Roman" w:cs="Times New Roman"/>
          <w:color w:val="000000" w:themeColor="text1"/>
          <w:lang w:val="uk-UA"/>
        </w:rPr>
        <w:t>ло</w:t>
      </w:r>
      <w:r w:rsidRPr="00BA5C0A">
        <w:rPr>
          <w:rFonts w:ascii="Times New Roman" w:hAnsi="Times New Roman" w:cs="Times New Roman"/>
          <w:color w:val="000000" w:themeColor="text1"/>
          <w:lang w:val="uk-UA"/>
        </w:rPr>
        <w:t xml:space="preserve"> досягнут</w:t>
      </w:r>
      <w:r w:rsidR="005F0F7F">
        <w:rPr>
          <w:rFonts w:ascii="Times New Roman" w:hAnsi="Times New Roman" w:cs="Times New Roman"/>
          <w:color w:val="000000" w:themeColor="text1"/>
          <w:lang w:val="uk-UA"/>
        </w:rPr>
        <w:t>о</w:t>
      </w:r>
      <w:r w:rsidRPr="00BA5C0A">
        <w:rPr>
          <w:rFonts w:ascii="Times New Roman" w:hAnsi="Times New Roman" w:cs="Times New Roman"/>
          <w:color w:val="000000" w:themeColor="text1"/>
          <w:lang w:val="uk-UA"/>
        </w:rPr>
        <w:t xml:space="preserve"> у 100% (60/60) пацієнтів які лікувалися протягом 12 тижнів</w:t>
      </w:r>
      <w:r w:rsidR="00544369">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Подібні до клінічних випробувань показники СВВ12, спост</w:t>
      </w:r>
      <w:r w:rsidR="0013605C">
        <w:rPr>
          <w:rFonts w:ascii="Times New Roman" w:hAnsi="Times New Roman" w:cs="Times New Roman"/>
          <w:color w:val="000000" w:themeColor="text1"/>
          <w:lang w:val="uk-UA"/>
        </w:rPr>
        <w:t>ерігались у великій кількості інших</w:t>
      </w:r>
      <w:r w:rsidRPr="00BA5C0A">
        <w:rPr>
          <w:rFonts w:ascii="Times New Roman" w:hAnsi="Times New Roman" w:cs="Times New Roman"/>
          <w:color w:val="000000" w:themeColor="text1"/>
          <w:lang w:val="uk-UA"/>
        </w:rPr>
        <w:t xml:space="preserve"> досліджень з різних континентів.</w:t>
      </w:r>
    </w:p>
    <w:p w14:paraId="17B61200" w14:textId="77777777" w:rsidR="00BA5C0A" w:rsidRPr="00BA5C0A" w:rsidRDefault="00BA5C0A" w:rsidP="00BA5C0A">
      <w:pPr>
        <w:tabs>
          <w:tab w:val="left" w:pos="1089"/>
        </w:tabs>
        <w:jc w:val="both"/>
        <w:rPr>
          <w:rFonts w:ascii="Times New Roman" w:hAnsi="Times New Roman" w:cs="Times New Roman"/>
          <w:color w:val="000000" w:themeColor="text1"/>
          <w:lang w:val="uk-UA"/>
        </w:rPr>
      </w:pPr>
    </w:p>
    <w:p w14:paraId="3EDD444B" w14:textId="5E0FB819" w:rsidR="00BA5C0A" w:rsidRDefault="00BA5C0A" w:rsidP="00BA5C0A">
      <w:pPr>
        <w:tabs>
          <w:tab w:val="left" w:pos="1089"/>
        </w:tabs>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 xml:space="preserve">Лікування інфекції ВГС генотипу 2 </w:t>
      </w:r>
    </w:p>
    <w:p w14:paraId="1C167BB7" w14:textId="77777777" w:rsidR="00DF1A12" w:rsidRPr="00BA5C0A" w:rsidRDefault="00DF1A12" w:rsidP="00BA5C0A">
      <w:pPr>
        <w:tabs>
          <w:tab w:val="left" w:pos="1089"/>
        </w:tabs>
        <w:jc w:val="both"/>
        <w:rPr>
          <w:rFonts w:ascii="Times New Roman" w:hAnsi="Times New Roman" w:cs="Times New Roman"/>
          <w:b/>
          <w:color w:val="4472C4" w:themeColor="accent5"/>
          <w:lang w:val="uk-UA"/>
        </w:rPr>
      </w:pPr>
    </w:p>
    <w:p w14:paraId="4991D739" w14:textId="0EC246BF"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color w:val="000000" w:themeColor="text1"/>
          <w:lang w:val="uk-UA"/>
        </w:rPr>
        <w:t xml:space="preserve">Для пацієнтів, інфікованих </w:t>
      </w:r>
      <w:r w:rsidR="0025492E">
        <w:rPr>
          <w:rFonts w:ascii="Times New Roman" w:hAnsi="Times New Roman" w:cs="Times New Roman"/>
          <w:color w:val="000000" w:themeColor="text1"/>
          <w:lang w:val="uk-UA"/>
        </w:rPr>
        <w:t xml:space="preserve">2 генотипом </w:t>
      </w:r>
      <w:r w:rsidRPr="00BA5C0A">
        <w:rPr>
          <w:rFonts w:ascii="Times New Roman" w:hAnsi="Times New Roman" w:cs="Times New Roman"/>
          <w:color w:val="000000" w:themeColor="text1"/>
          <w:lang w:val="uk-UA"/>
        </w:rPr>
        <w:t>ВГС, доступні два варіанти лікування препаратами першого ряду (Таблиці 6, 7 та 8). Ці варіанти вважаються еквівалентними, і порядок в якому вони зазначені, не вказує ні на їх перевагу перед іншими, ні на більшу ефективність:</w:t>
      </w:r>
    </w:p>
    <w:p w14:paraId="7AFA87B6" w14:textId="77777777" w:rsidR="00BA5C0A" w:rsidRPr="00BA5C0A" w:rsidRDefault="00BA5C0A" w:rsidP="00BA5C0A">
      <w:pPr>
        <w:tabs>
          <w:tab w:val="left" w:pos="1089"/>
        </w:tabs>
        <w:jc w:val="both"/>
        <w:rPr>
          <w:rFonts w:ascii="Times New Roman" w:hAnsi="Times New Roman" w:cs="Times New Roman"/>
          <w:color w:val="000000" w:themeColor="text1"/>
          <w:lang w:val="uk-UA"/>
        </w:rPr>
      </w:pPr>
    </w:p>
    <w:p w14:paraId="7835416E" w14:textId="2F31621D" w:rsidR="00BA5C0A" w:rsidRPr="00BA5C0A" w:rsidRDefault="00BA5C0A" w:rsidP="00BA5C0A">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Софосбувір/</w:t>
      </w:r>
      <w:r w:rsidR="005F0F7F">
        <w:rPr>
          <w:rFonts w:ascii="Times New Roman" w:hAnsi="Times New Roman" w:cs="Times New Roman"/>
          <w:color w:val="000000" w:themeColor="text1"/>
          <w:lang w:val="uk-UA"/>
        </w:rPr>
        <w:t>велпатасвір</w:t>
      </w:r>
    </w:p>
    <w:p w14:paraId="2E1C23F4" w14:textId="77777777" w:rsidR="00BA5C0A" w:rsidRPr="00BA5C0A" w:rsidRDefault="00BA5C0A" w:rsidP="00BA5C0A">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Глекапревір/пібрентасвір</w:t>
      </w:r>
    </w:p>
    <w:p w14:paraId="089C1F63" w14:textId="77777777" w:rsidR="00BA5C0A" w:rsidRPr="00BA5C0A" w:rsidRDefault="00BA5C0A" w:rsidP="00BA5C0A">
      <w:pPr>
        <w:tabs>
          <w:tab w:val="left" w:pos="1089"/>
        </w:tabs>
        <w:jc w:val="both"/>
        <w:rPr>
          <w:rFonts w:ascii="Times New Roman" w:hAnsi="Times New Roman" w:cs="Times New Roman"/>
          <w:color w:val="000000" w:themeColor="text1"/>
          <w:lang w:val="uk-UA"/>
        </w:rPr>
      </w:pPr>
    </w:p>
    <w:tbl>
      <w:tblPr>
        <w:tblW w:w="983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BA5C0A" w:rsidRPr="0080595E" w14:paraId="6623618A" w14:textId="77777777" w:rsidTr="0025492E">
        <w:trPr>
          <w:trHeight w:val="181"/>
        </w:trPr>
        <w:tc>
          <w:tcPr>
            <w:tcW w:w="9836" w:type="dxa"/>
            <w:shd w:val="clear" w:color="auto" w:fill="BDD6EE" w:themeFill="accent1" w:themeFillTint="66"/>
          </w:tcPr>
          <w:p w14:paraId="686CC0F9" w14:textId="77777777" w:rsidR="00BA5C0A" w:rsidRPr="00BA5C0A" w:rsidRDefault="00BA5C0A" w:rsidP="00BA5C0A">
            <w:pPr>
              <w:tabs>
                <w:tab w:val="left" w:pos="1089"/>
              </w:tabs>
              <w:ind w:left="-87"/>
              <w:jc w:val="both"/>
              <w:rPr>
                <w:rFonts w:ascii="Times New Roman" w:hAnsi="Times New Roman" w:cs="Times New Roman"/>
                <w:b/>
                <w:i/>
                <w:color w:val="4472C4" w:themeColor="accent5"/>
                <w:lang w:val="uk-UA"/>
              </w:rPr>
            </w:pPr>
            <w:r w:rsidRPr="00BA5C0A">
              <w:rPr>
                <w:rFonts w:ascii="Times New Roman" w:hAnsi="Times New Roman" w:cs="Times New Roman"/>
                <w:b/>
                <w:i/>
                <w:color w:val="4472C4" w:themeColor="accent5"/>
                <w:lang w:val="uk-UA"/>
              </w:rPr>
              <w:t xml:space="preserve">    Рекомендації</w:t>
            </w:r>
          </w:p>
          <w:p w14:paraId="7B6A3552" w14:textId="77777777" w:rsidR="00BA5C0A" w:rsidRPr="00BA5C0A" w:rsidRDefault="00BA5C0A" w:rsidP="00BA5C0A">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Наступні схеми рекомендовані для лікування хворих, інфікованих генотипом 2, згідно з рекомендаціями нижче (A1):</w:t>
            </w:r>
          </w:p>
          <w:p w14:paraId="348C92C9" w14:textId="77777777" w:rsidR="00BA5C0A" w:rsidRPr="00BA5C0A" w:rsidRDefault="00BA5C0A" w:rsidP="00015E3B">
            <w:pPr>
              <w:numPr>
                <w:ilvl w:val="0"/>
                <w:numId w:val="17"/>
              </w:numPr>
              <w:tabs>
                <w:tab w:val="left" w:pos="1089"/>
              </w:tabs>
              <w:contextualSpacing/>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Комбінація фіксованої дози софосбувіру (400 мг) і велпатасвіру (100 мг) в одній таблетці, призначеній один раз на добу;</w:t>
            </w:r>
          </w:p>
          <w:p w14:paraId="50EB18CD" w14:textId="2CFFB73C" w:rsidR="00BA5C0A" w:rsidRPr="0025492E" w:rsidRDefault="0013605C" w:rsidP="0013605C">
            <w:pPr>
              <w:numPr>
                <w:ilvl w:val="0"/>
                <w:numId w:val="17"/>
              </w:numPr>
              <w:tabs>
                <w:tab w:val="left" w:pos="1089"/>
              </w:tabs>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комбінація фіксованої</w:t>
            </w:r>
            <w:r w:rsidR="00BA5C0A" w:rsidRPr="00BA5C0A">
              <w:rPr>
                <w:rFonts w:ascii="Times New Roman" w:hAnsi="Times New Roman" w:cs="Times New Roman"/>
                <w:color w:val="000000" w:themeColor="text1"/>
                <w:lang w:val="uk-UA"/>
              </w:rPr>
              <w:t xml:space="preserve"> доз</w:t>
            </w:r>
            <w:r>
              <w:rPr>
                <w:rFonts w:ascii="Times New Roman" w:hAnsi="Times New Roman" w:cs="Times New Roman"/>
                <w:color w:val="000000" w:themeColor="text1"/>
                <w:lang w:val="uk-UA"/>
              </w:rPr>
              <w:t>и</w:t>
            </w:r>
            <w:r w:rsidR="00BA5C0A" w:rsidRPr="00BA5C0A">
              <w:rPr>
                <w:rFonts w:ascii="Times New Roman" w:hAnsi="Times New Roman" w:cs="Times New Roman"/>
                <w:color w:val="000000" w:themeColor="text1"/>
                <w:lang w:val="uk-UA"/>
              </w:rPr>
              <w:t xml:space="preserve"> глікапревіру (300 мг) та пібрентасвіру (120 мг) у трьох таблетках, що містять 100 мг глікапревіру та 40 мг пібрентасвіру, що </w:t>
            </w:r>
            <w:r>
              <w:rPr>
                <w:rFonts w:ascii="Times New Roman" w:hAnsi="Times New Roman" w:cs="Times New Roman"/>
                <w:color w:val="000000" w:themeColor="text1"/>
                <w:lang w:val="uk-UA"/>
              </w:rPr>
              <w:t>приймають</w:t>
            </w:r>
            <w:r w:rsidR="00BA5C0A" w:rsidRPr="00BA5C0A">
              <w:rPr>
                <w:rFonts w:ascii="Times New Roman" w:hAnsi="Times New Roman" w:cs="Times New Roman"/>
                <w:color w:val="000000" w:themeColor="text1"/>
                <w:lang w:val="uk-UA"/>
              </w:rPr>
              <w:t xml:space="preserve"> один раз на добу з їжею.</w:t>
            </w:r>
          </w:p>
        </w:tc>
      </w:tr>
    </w:tbl>
    <w:p w14:paraId="7661C8A4" w14:textId="77777777" w:rsidR="00BA5C0A" w:rsidRPr="00BA5C0A" w:rsidRDefault="00BA5C0A" w:rsidP="00BA5C0A">
      <w:pPr>
        <w:tabs>
          <w:tab w:val="left" w:pos="1089"/>
        </w:tabs>
        <w:jc w:val="both"/>
        <w:rPr>
          <w:rFonts w:ascii="Times New Roman" w:hAnsi="Times New Roman" w:cs="Times New Roman"/>
          <w:color w:val="000000" w:themeColor="text1"/>
          <w:lang w:val="uk-UA"/>
        </w:rPr>
      </w:pPr>
    </w:p>
    <w:tbl>
      <w:tblPr>
        <w:tblW w:w="983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BA5C0A" w:rsidRPr="0080595E" w14:paraId="3BA34A25" w14:textId="77777777" w:rsidTr="0025492E">
        <w:trPr>
          <w:trHeight w:val="181"/>
        </w:trPr>
        <w:tc>
          <w:tcPr>
            <w:tcW w:w="9836" w:type="dxa"/>
            <w:shd w:val="clear" w:color="auto" w:fill="BDD6EE" w:themeFill="accent1" w:themeFillTint="66"/>
          </w:tcPr>
          <w:p w14:paraId="205B2FCB" w14:textId="6D8DAA80" w:rsidR="00BA5C0A" w:rsidRPr="008A3473" w:rsidRDefault="00BA5C0A" w:rsidP="00BA5C0A">
            <w:pPr>
              <w:tabs>
                <w:tab w:val="left" w:pos="1089"/>
              </w:tabs>
              <w:jc w:val="both"/>
              <w:rPr>
                <w:rFonts w:ascii="Times New Roman" w:hAnsi="Times New Roman" w:cs="Times New Roman"/>
                <w:b/>
                <w:i/>
                <w:lang w:val="uk-UA"/>
              </w:rPr>
            </w:pPr>
            <w:r w:rsidRPr="008A3473">
              <w:rPr>
                <w:rFonts w:ascii="Times New Roman" w:hAnsi="Times New Roman" w:cs="Times New Roman"/>
                <w:b/>
                <w:i/>
                <w:lang w:val="uk-UA"/>
              </w:rPr>
              <w:t>Генотип 2, пангеноти</w:t>
            </w:r>
            <w:r w:rsidR="008A3473">
              <w:rPr>
                <w:rFonts w:ascii="Times New Roman" w:hAnsi="Times New Roman" w:cs="Times New Roman"/>
                <w:b/>
                <w:i/>
                <w:lang w:val="uk-UA"/>
              </w:rPr>
              <w:t>пна</w:t>
            </w:r>
            <w:r w:rsidRPr="008A3473">
              <w:rPr>
                <w:rFonts w:ascii="Times New Roman" w:hAnsi="Times New Roman" w:cs="Times New Roman"/>
                <w:b/>
                <w:i/>
                <w:lang w:val="uk-UA"/>
              </w:rPr>
              <w:t xml:space="preserve"> схема: </w:t>
            </w:r>
            <w:r w:rsidR="008A3473">
              <w:rPr>
                <w:rFonts w:ascii="Times New Roman" w:hAnsi="Times New Roman" w:cs="Times New Roman"/>
                <w:b/>
                <w:i/>
                <w:lang w:val="uk-UA"/>
              </w:rPr>
              <w:t>с</w:t>
            </w:r>
            <w:r w:rsidRPr="008A3473">
              <w:rPr>
                <w:rFonts w:ascii="Times New Roman" w:hAnsi="Times New Roman" w:cs="Times New Roman"/>
                <w:b/>
                <w:i/>
                <w:lang w:val="uk-UA"/>
              </w:rPr>
              <w:t>офосбувір/велпатасвір</w:t>
            </w:r>
          </w:p>
          <w:p w14:paraId="4315EFF4" w14:textId="26F6F03C" w:rsidR="00BA5C0A" w:rsidRPr="00BA5C0A" w:rsidRDefault="00BA5C0A" w:rsidP="0025492E">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“Наївним” та пацієнтам</w:t>
            </w:r>
            <w:r w:rsidR="00652F9A">
              <w:rPr>
                <w:rFonts w:ascii="Times New Roman" w:hAnsi="Times New Roman" w:cs="Times New Roman"/>
                <w:color w:val="000000" w:themeColor="text1"/>
                <w:lang w:val="uk-UA"/>
              </w:rPr>
              <w:t xml:space="preserve"> з досвідом лікування</w:t>
            </w:r>
            <w:r w:rsidRPr="00BA5C0A">
              <w:rPr>
                <w:rFonts w:ascii="Times New Roman" w:hAnsi="Times New Roman" w:cs="Times New Roman"/>
                <w:color w:val="000000" w:themeColor="text1"/>
                <w:lang w:val="uk-UA"/>
              </w:rPr>
              <w:t>, без цирозу або з компенсованим цирозом (Child</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Pugh A), слід призначати комбінацію з фіксованою дозою софосбувіру і велпатасвіру протягом 12 тижнів (А1).</w:t>
            </w:r>
          </w:p>
        </w:tc>
      </w:tr>
    </w:tbl>
    <w:p w14:paraId="02603381" w14:textId="77777777" w:rsidR="00BA5C0A" w:rsidRPr="00BA5C0A" w:rsidRDefault="00BA5C0A" w:rsidP="00BA5C0A">
      <w:pPr>
        <w:tabs>
          <w:tab w:val="left" w:pos="1089"/>
        </w:tabs>
        <w:jc w:val="both"/>
        <w:rPr>
          <w:rFonts w:ascii="Times New Roman" w:hAnsi="Times New Roman" w:cs="Times New Roman"/>
          <w:color w:val="000000" w:themeColor="text1"/>
          <w:lang w:val="uk-UA"/>
        </w:rPr>
      </w:pPr>
    </w:p>
    <w:p w14:paraId="3FA488F8" w14:textId="400EA05B" w:rsidR="00BA5C0A" w:rsidRPr="00BA5C0A" w:rsidRDefault="00BA5C0A" w:rsidP="00BA5C0A">
      <w:pPr>
        <w:tabs>
          <w:tab w:val="left" w:pos="1089"/>
        </w:tabs>
        <w:jc w:val="both"/>
        <w:rPr>
          <w:rFonts w:ascii="Times New Roman" w:hAnsi="Times New Roman" w:cs="Times New Roman"/>
          <w:color w:val="000000" w:themeColor="text1"/>
          <w:vertAlign w:val="superscript"/>
          <w:lang w:val="uk-UA"/>
        </w:rPr>
      </w:pPr>
      <w:r w:rsidRPr="00BA5C0A">
        <w:rPr>
          <w:rFonts w:ascii="Times New Roman" w:hAnsi="Times New Roman" w:cs="Times New Roman"/>
          <w:color w:val="000000" w:themeColor="text1"/>
          <w:lang w:val="uk-UA"/>
        </w:rPr>
        <w:t>Коментарі: Ця рекомендація базується на результатах дослідження фази III ASTRAL</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2 у пацієнтів з </w:t>
      </w:r>
      <w:r w:rsidR="0025492E">
        <w:rPr>
          <w:rFonts w:ascii="Times New Roman" w:hAnsi="Times New Roman" w:cs="Times New Roman"/>
          <w:color w:val="000000" w:themeColor="text1"/>
          <w:lang w:val="uk-UA"/>
        </w:rPr>
        <w:t xml:space="preserve">2 генотипом </w:t>
      </w:r>
      <w:r w:rsidRPr="00BA5C0A">
        <w:rPr>
          <w:rFonts w:ascii="Times New Roman" w:hAnsi="Times New Roman" w:cs="Times New Roman"/>
          <w:color w:val="000000" w:themeColor="text1"/>
          <w:lang w:val="uk-UA"/>
        </w:rPr>
        <w:t xml:space="preserve">ВГС (14% з компенсованим цирозом печінки, 86% “наївних” та 14% </w:t>
      </w:r>
      <w:r w:rsidR="008C74B8">
        <w:rPr>
          <w:rFonts w:ascii="Times New Roman" w:hAnsi="Times New Roman" w:cs="Times New Roman"/>
          <w:color w:val="000000" w:themeColor="text1"/>
          <w:lang w:val="uk-UA"/>
        </w:rPr>
        <w:t>з досвідом лікування</w:t>
      </w:r>
      <w:r w:rsidRPr="00BA5C0A">
        <w:rPr>
          <w:rFonts w:ascii="Times New Roman" w:hAnsi="Times New Roman" w:cs="Times New Roman"/>
          <w:color w:val="000000" w:themeColor="text1"/>
          <w:lang w:val="uk-UA"/>
        </w:rPr>
        <w:t>), які отримували комбінацію фіксованої дози софосбувіру і велпатасвіру протягом 12 тижнів без рибавірину</w:t>
      </w:r>
      <w:r w:rsidR="0025492E">
        <w:rPr>
          <w:rFonts w:ascii="Times New Roman" w:hAnsi="Times New Roman" w:cs="Times New Roman"/>
          <w:color w:val="000000" w:themeColor="text1"/>
          <w:lang w:val="uk-UA"/>
        </w:rPr>
        <w:t xml:space="preserve"> і</w:t>
      </w:r>
      <w:r w:rsidRPr="00BA5C0A">
        <w:rPr>
          <w:rFonts w:ascii="Times New Roman" w:hAnsi="Times New Roman" w:cs="Times New Roman"/>
          <w:color w:val="000000" w:themeColor="text1"/>
          <w:lang w:val="uk-UA"/>
        </w:rPr>
        <w:t xml:space="preserve"> досяг</w:t>
      </w:r>
      <w:r w:rsidR="0025492E">
        <w:rPr>
          <w:rFonts w:ascii="Times New Roman" w:hAnsi="Times New Roman" w:cs="Times New Roman"/>
          <w:color w:val="000000" w:themeColor="text1"/>
          <w:lang w:val="uk-UA"/>
        </w:rPr>
        <w:t>ли</w:t>
      </w:r>
      <w:r w:rsidRPr="00BA5C0A">
        <w:rPr>
          <w:rFonts w:ascii="Times New Roman" w:hAnsi="Times New Roman" w:cs="Times New Roman"/>
          <w:color w:val="000000" w:themeColor="text1"/>
          <w:lang w:val="uk-UA"/>
        </w:rPr>
        <w:t xml:space="preserve"> СВВ12 у 99% (133/134).</w:t>
      </w:r>
      <w:r w:rsidRPr="00BA5C0A">
        <w:rPr>
          <w:rFonts w:ascii="Times New Roman" w:hAnsi="Times New Roman" w:cs="Times New Roman"/>
          <w:color w:val="000000" w:themeColor="text1"/>
          <w:vertAlign w:val="superscript"/>
          <w:lang w:val="uk-UA"/>
        </w:rPr>
        <w:t>98</w:t>
      </w:r>
      <w:r w:rsidRPr="00BA5C0A">
        <w:rPr>
          <w:rFonts w:ascii="Times New Roman" w:hAnsi="Times New Roman" w:cs="Times New Roman"/>
          <w:color w:val="000000" w:themeColor="text1"/>
          <w:lang w:val="uk-UA"/>
        </w:rPr>
        <w:t xml:space="preserve"> У ASTRAL </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1частота СВВ12 склала 100% (104/104) у </w:t>
      </w:r>
      <w:r w:rsidR="00FC0A82">
        <w:rPr>
          <w:rFonts w:ascii="Times New Roman" w:hAnsi="Times New Roman" w:cs="Times New Roman"/>
          <w:color w:val="000000" w:themeColor="text1"/>
          <w:lang w:val="it-IT"/>
        </w:rPr>
        <w:t>“</w:t>
      </w:r>
      <w:r w:rsidRPr="00BA5C0A">
        <w:rPr>
          <w:rFonts w:ascii="Times New Roman" w:hAnsi="Times New Roman" w:cs="Times New Roman"/>
          <w:color w:val="000000" w:themeColor="text1"/>
          <w:lang w:val="uk-UA"/>
        </w:rPr>
        <w:t>наївних</w:t>
      </w:r>
      <w:r w:rsidR="00FC0A82">
        <w:rPr>
          <w:rFonts w:ascii="Times New Roman" w:hAnsi="Times New Roman" w:cs="Times New Roman"/>
          <w:color w:val="000000" w:themeColor="text1"/>
          <w:lang w:val="it-IT"/>
        </w:rPr>
        <w:t>”</w:t>
      </w:r>
      <w:r w:rsidRPr="00BA5C0A">
        <w:rPr>
          <w:rFonts w:ascii="Times New Roman" w:hAnsi="Times New Roman" w:cs="Times New Roman"/>
          <w:color w:val="000000" w:themeColor="text1"/>
          <w:lang w:val="uk-UA"/>
        </w:rPr>
        <w:t xml:space="preserve"> пацієнтів (дві третини) та </w:t>
      </w:r>
      <w:r w:rsidR="008C74B8">
        <w:rPr>
          <w:rFonts w:ascii="Times New Roman" w:hAnsi="Times New Roman" w:cs="Times New Roman"/>
          <w:color w:val="000000" w:themeColor="text1"/>
          <w:lang w:val="uk-UA"/>
        </w:rPr>
        <w:t>з досвідом лікування</w:t>
      </w:r>
      <w:r w:rsidR="008C74B8" w:rsidRPr="00F326C6">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(одна третина) пацієнтів, які включали приблизно 30% з цирозом печінки.</w:t>
      </w:r>
      <w:r w:rsidRPr="00BA5C0A">
        <w:rPr>
          <w:rFonts w:ascii="Times New Roman" w:hAnsi="Times New Roman" w:cs="Times New Roman"/>
          <w:color w:val="000000" w:themeColor="text1"/>
          <w:vertAlign w:val="superscript"/>
          <w:lang w:val="uk-UA"/>
        </w:rPr>
        <w:t>66</w:t>
      </w:r>
      <w:r w:rsidRPr="00BA5C0A">
        <w:rPr>
          <w:rFonts w:ascii="Times New Roman" w:hAnsi="Times New Roman" w:cs="Times New Roman"/>
          <w:color w:val="000000" w:themeColor="text1"/>
          <w:lang w:val="uk-UA"/>
        </w:rPr>
        <w:t xml:space="preserve"> У дослідженні ASTRAL</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5 у </w:t>
      </w:r>
      <w:r w:rsidR="00525692">
        <w:rPr>
          <w:rFonts w:ascii="Times New Roman" w:hAnsi="Times New Roman" w:cs="Times New Roman"/>
          <w:color w:val="000000" w:themeColor="text1"/>
          <w:lang w:val="uk-UA"/>
        </w:rPr>
        <w:t xml:space="preserve">пацієнтів із коінфекцією ВІЛ/ВГС </w:t>
      </w:r>
      <w:r w:rsidRPr="00BA5C0A">
        <w:rPr>
          <w:rFonts w:ascii="Times New Roman" w:hAnsi="Times New Roman" w:cs="Times New Roman"/>
          <w:color w:val="000000" w:themeColor="text1"/>
          <w:lang w:val="uk-UA"/>
        </w:rPr>
        <w:t>частота СВВ12 становила 100% (11/11) для генотипу 2 .</w:t>
      </w:r>
      <w:r w:rsidRPr="00BA5C0A">
        <w:rPr>
          <w:rFonts w:ascii="Times New Roman" w:hAnsi="Times New Roman" w:cs="Times New Roman"/>
          <w:color w:val="000000" w:themeColor="text1"/>
          <w:vertAlign w:val="superscript"/>
          <w:lang w:val="uk-UA"/>
        </w:rPr>
        <w:t>70</w:t>
      </w:r>
    </w:p>
    <w:p w14:paraId="6A9552AD" w14:textId="77777777" w:rsidR="00525692" w:rsidRPr="00BA5C0A" w:rsidRDefault="00525692" w:rsidP="00BA5C0A">
      <w:pPr>
        <w:tabs>
          <w:tab w:val="left" w:pos="1089"/>
        </w:tabs>
        <w:jc w:val="both"/>
        <w:rPr>
          <w:rFonts w:ascii="Times New Roman" w:hAnsi="Times New Roman" w:cs="Times New Roman"/>
          <w:color w:val="000000" w:themeColor="text1"/>
          <w:vertAlign w:val="superscript"/>
          <w:lang w:val="uk-UA"/>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BA5C0A" w:rsidRPr="0080595E" w14:paraId="2EC374E5" w14:textId="77777777" w:rsidTr="000B1E45">
        <w:trPr>
          <w:trHeight w:val="715"/>
        </w:trPr>
        <w:tc>
          <w:tcPr>
            <w:tcW w:w="9781" w:type="dxa"/>
            <w:shd w:val="clear" w:color="auto" w:fill="BDD6EE" w:themeFill="accent1" w:themeFillTint="66"/>
          </w:tcPr>
          <w:p w14:paraId="4830D75C" w14:textId="2AD06DB3" w:rsidR="00BA5C0A" w:rsidRPr="008A3473" w:rsidRDefault="00BA5C0A" w:rsidP="00BA5C0A">
            <w:pPr>
              <w:tabs>
                <w:tab w:val="left" w:pos="1089"/>
              </w:tabs>
              <w:jc w:val="both"/>
              <w:rPr>
                <w:rFonts w:ascii="Times New Roman" w:hAnsi="Times New Roman" w:cs="Times New Roman"/>
                <w:b/>
                <w:i/>
                <w:lang w:val="uk-UA"/>
              </w:rPr>
            </w:pPr>
            <w:r w:rsidRPr="008A3473">
              <w:rPr>
                <w:rFonts w:ascii="Times New Roman" w:hAnsi="Times New Roman" w:cs="Times New Roman"/>
                <w:b/>
                <w:i/>
                <w:lang w:val="uk-UA"/>
              </w:rPr>
              <w:t xml:space="preserve">Генотип 2, </w:t>
            </w:r>
            <w:r w:rsidR="0025492E" w:rsidRPr="008A3473">
              <w:rPr>
                <w:rFonts w:ascii="Times New Roman" w:hAnsi="Times New Roman" w:cs="Times New Roman"/>
                <w:b/>
                <w:i/>
                <w:lang w:val="uk-UA"/>
              </w:rPr>
              <w:t>пангенотипна схема</w:t>
            </w:r>
            <w:r w:rsidRPr="008A3473">
              <w:rPr>
                <w:rFonts w:ascii="Times New Roman" w:hAnsi="Times New Roman" w:cs="Times New Roman"/>
                <w:b/>
                <w:i/>
                <w:lang w:val="uk-UA"/>
              </w:rPr>
              <w:t xml:space="preserve">: </w:t>
            </w:r>
            <w:r w:rsidR="008A3473" w:rsidRPr="008A3473">
              <w:rPr>
                <w:rFonts w:ascii="Times New Roman" w:hAnsi="Times New Roman" w:cs="Times New Roman"/>
                <w:b/>
                <w:i/>
                <w:lang w:val="uk-UA"/>
              </w:rPr>
              <w:t>г</w:t>
            </w:r>
            <w:r w:rsidRPr="008A3473">
              <w:rPr>
                <w:rFonts w:ascii="Times New Roman" w:hAnsi="Times New Roman" w:cs="Times New Roman"/>
                <w:b/>
                <w:i/>
                <w:lang w:val="uk-UA"/>
              </w:rPr>
              <w:t>лекапревір/</w:t>
            </w:r>
            <w:r w:rsidR="008A3473" w:rsidRPr="008A3473">
              <w:rPr>
                <w:rFonts w:ascii="Times New Roman" w:hAnsi="Times New Roman" w:cs="Times New Roman"/>
                <w:b/>
                <w:i/>
                <w:lang w:val="uk-UA"/>
              </w:rPr>
              <w:t>п</w:t>
            </w:r>
            <w:r w:rsidRPr="008A3473">
              <w:rPr>
                <w:rFonts w:ascii="Times New Roman" w:hAnsi="Times New Roman" w:cs="Times New Roman"/>
                <w:b/>
                <w:i/>
                <w:lang w:val="uk-UA"/>
              </w:rPr>
              <w:t>ібрентасвір</w:t>
            </w:r>
          </w:p>
          <w:p w14:paraId="10AA83C1" w14:textId="7814C01B" w:rsidR="00BA5C0A" w:rsidRPr="00BA5C0A" w:rsidRDefault="00BA5C0A" w:rsidP="00015E3B">
            <w:pPr>
              <w:numPr>
                <w:ilvl w:val="0"/>
                <w:numId w:val="18"/>
              </w:numPr>
              <w:tabs>
                <w:tab w:val="left" w:pos="1089"/>
              </w:tabs>
              <w:contextualSpacing/>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“Наївним” та пацієнтам</w:t>
            </w:r>
            <w:r w:rsidR="008C74B8">
              <w:rPr>
                <w:rFonts w:ascii="Times New Roman" w:hAnsi="Times New Roman" w:cs="Times New Roman"/>
                <w:color w:val="000000" w:themeColor="text1"/>
                <w:lang w:val="uk-UA"/>
              </w:rPr>
              <w:t xml:space="preserve"> з досвідом лікування</w:t>
            </w:r>
            <w:r w:rsidRPr="00BA5C0A">
              <w:rPr>
                <w:rFonts w:ascii="Times New Roman" w:hAnsi="Times New Roman" w:cs="Times New Roman"/>
                <w:color w:val="000000" w:themeColor="text1"/>
                <w:lang w:val="uk-UA"/>
              </w:rPr>
              <w:t xml:space="preserve">, інфікованим </w:t>
            </w:r>
            <w:r w:rsidR="0025492E">
              <w:rPr>
                <w:rFonts w:ascii="Times New Roman" w:hAnsi="Times New Roman" w:cs="Times New Roman"/>
                <w:color w:val="000000" w:themeColor="text1"/>
                <w:lang w:val="uk-UA"/>
              </w:rPr>
              <w:t xml:space="preserve">2 генотипом </w:t>
            </w:r>
            <w:r w:rsidRPr="00BA5C0A">
              <w:rPr>
                <w:rFonts w:ascii="Times New Roman" w:hAnsi="Times New Roman" w:cs="Times New Roman"/>
                <w:color w:val="000000" w:themeColor="text1"/>
                <w:lang w:val="uk-UA"/>
              </w:rPr>
              <w:t>без цирозу, слід призначати комбінацію глекапревір/пібрентасвір у фіксованому дозуванні протягом 8 тижнів (A1).</w:t>
            </w:r>
          </w:p>
          <w:p w14:paraId="788D30E4" w14:textId="7DE3C80D" w:rsidR="00BA5C0A" w:rsidRPr="00BA5C0A" w:rsidRDefault="00BA5C0A" w:rsidP="00015E3B">
            <w:pPr>
              <w:numPr>
                <w:ilvl w:val="0"/>
                <w:numId w:val="18"/>
              </w:numPr>
              <w:tabs>
                <w:tab w:val="left" w:pos="1089"/>
              </w:tabs>
              <w:contextualSpacing/>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“Наївним” та пацієнтам</w:t>
            </w:r>
            <w:r w:rsidR="008C74B8">
              <w:rPr>
                <w:rFonts w:ascii="Times New Roman" w:hAnsi="Times New Roman" w:cs="Times New Roman"/>
                <w:color w:val="000000" w:themeColor="text1"/>
                <w:lang w:val="uk-UA"/>
              </w:rPr>
              <w:t xml:space="preserve"> з досвідом лікування,</w:t>
            </w:r>
            <w:r w:rsidRPr="00BA5C0A">
              <w:rPr>
                <w:rFonts w:ascii="Times New Roman" w:hAnsi="Times New Roman" w:cs="Times New Roman"/>
                <w:color w:val="000000" w:themeColor="text1"/>
                <w:lang w:val="uk-UA"/>
              </w:rPr>
              <w:t xml:space="preserve"> інфікованим</w:t>
            </w:r>
            <w:r w:rsidR="0025492E">
              <w:rPr>
                <w:rFonts w:ascii="Times New Roman" w:hAnsi="Times New Roman" w:cs="Times New Roman"/>
                <w:color w:val="000000" w:themeColor="text1"/>
                <w:lang w:val="uk-UA"/>
              </w:rPr>
              <w:t xml:space="preserve"> 2 генотипом</w:t>
            </w:r>
            <w:r w:rsidRPr="00BA5C0A">
              <w:rPr>
                <w:rFonts w:ascii="Times New Roman" w:hAnsi="Times New Roman" w:cs="Times New Roman"/>
                <w:color w:val="000000" w:themeColor="text1"/>
                <w:lang w:val="uk-UA"/>
              </w:rPr>
              <w:t xml:space="preserve"> ВГС з компенсованим цирозом (Child</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Pugh A), слід призначати комбінацію глекапревір/пібрентасвір у фіксованому дозуванні протягом 12 тижнів (A1).</w:t>
            </w:r>
          </w:p>
          <w:p w14:paraId="5B999A5B" w14:textId="77777777" w:rsidR="00BA5C0A" w:rsidRPr="00BA5C0A" w:rsidRDefault="00BA5C0A" w:rsidP="00BA5C0A">
            <w:pPr>
              <w:tabs>
                <w:tab w:val="left" w:pos="1089"/>
              </w:tabs>
              <w:jc w:val="both"/>
              <w:rPr>
                <w:rFonts w:ascii="Times New Roman" w:hAnsi="Times New Roman" w:cs="Times New Roman"/>
                <w:color w:val="000000" w:themeColor="text1"/>
                <w:vertAlign w:val="superscript"/>
                <w:lang w:val="uk-UA"/>
              </w:rPr>
            </w:pPr>
          </w:p>
        </w:tc>
      </w:tr>
    </w:tbl>
    <w:p w14:paraId="1B6834E2" w14:textId="77777777" w:rsidR="00BA5C0A" w:rsidRPr="00BA5C0A" w:rsidRDefault="00BA5C0A" w:rsidP="00BA5C0A">
      <w:pPr>
        <w:tabs>
          <w:tab w:val="left" w:pos="1089"/>
        </w:tabs>
        <w:jc w:val="both"/>
        <w:rPr>
          <w:rFonts w:ascii="Times New Roman" w:hAnsi="Times New Roman" w:cs="Times New Roman"/>
          <w:color w:val="000000" w:themeColor="text1"/>
          <w:vertAlign w:val="superscript"/>
          <w:lang w:val="uk-UA"/>
        </w:rPr>
      </w:pPr>
    </w:p>
    <w:p w14:paraId="07C184B7" w14:textId="4FC5102B" w:rsidR="00BA5C0A" w:rsidRPr="00BA5C0A" w:rsidRDefault="00BA5C0A" w:rsidP="00BA5C0A">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Коментарі: Ця рекомендація частково грунтується на результатах фази II дослідження SURVEYOR</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2, яке продемонструвало частоту СВВ12 98% (53/54; без випадків відсутності вірусологічної відповіді) серед “наївних” та пацієнтів</w:t>
      </w:r>
      <w:r w:rsidR="008C74B8">
        <w:rPr>
          <w:rFonts w:ascii="Times New Roman" w:hAnsi="Times New Roman" w:cs="Times New Roman"/>
          <w:color w:val="000000" w:themeColor="text1"/>
          <w:lang w:val="uk-UA"/>
        </w:rPr>
        <w:t xml:space="preserve"> з досвідом лікування</w:t>
      </w:r>
      <w:r w:rsidRPr="00BA5C0A">
        <w:rPr>
          <w:rFonts w:ascii="Times New Roman" w:hAnsi="Times New Roman" w:cs="Times New Roman"/>
          <w:color w:val="000000" w:themeColor="text1"/>
          <w:lang w:val="uk-UA"/>
        </w:rPr>
        <w:t xml:space="preserve">, інфікованих </w:t>
      </w:r>
      <w:r w:rsidR="0025492E">
        <w:rPr>
          <w:rFonts w:ascii="Times New Roman" w:hAnsi="Times New Roman" w:cs="Times New Roman"/>
          <w:color w:val="000000" w:themeColor="text1"/>
          <w:lang w:val="uk-UA"/>
        </w:rPr>
        <w:t xml:space="preserve">2 генотипом </w:t>
      </w:r>
      <w:r w:rsidRPr="00BA5C0A">
        <w:rPr>
          <w:rFonts w:ascii="Times New Roman" w:hAnsi="Times New Roman" w:cs="Times New Roman"/>
          <w:color w:val="000000" w:themeColor="text1"/>
          <w:lang w:val="uk-UA"/>
        </w:rPr>
        <w:t>ВГС, які приймали комбінацію глекапревір/пібрентасвір у фіксованому дозуванні протягом 8 тижнів</w:t>
      </w:r>
      <w:r w:rsidRPr="00BA5C0A">
        <w:rPr>
          <w:rFonts w:ascii="Times New Roman" w:hAnsi="Times New Roman" w:cs="Times New Roman"/>
          <w:color w:val="000000" w:themeColor="text1"/>
          <w:vertAlign w:val="superscript"/>
          <w:lang w:val="uk-UA"/>
        </w:rPr>
        <w:t>99</w:t>
      </w:r>
      <w:r w:rsidRPr="00BA5C0A">
        <w:rPr>
          <w:rFonts w:ascii="Times New Roman" w:hAnsi="Times New Roman" w:cs="Times New Roman"/>
          <w:color w:val="000000" w:themeColor="text1"/>
          <w:lang w:val="uk-UA"/>
        </w:rPr>
        <w:t>. Ці результати були підтверджені в дослідженні CERTAIN</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2, продемонструвавши частоту СВВ 98% (127/129, без випадків відсутності вірусологічної відповіді) серед японських пацієнтів інфікованих генотипом 2, які отримували такий самий режим лікування протягом 8 тижнів.</w:t>
      </w:r>
      <w:r w:rsidRPr="00FA0336">
        <w:rPr>
          <w:rFonts w:ascii="Times New Roman" w:hAnsi="Times New Roman" w:cs="Times New Roman"/>
          <w:color w:val="000000" w:themeColor="text1"/>
          <w:sz w:val="16"/>
          <w:szCs w:val="16"/>
          <w:lang w:val="uk-UA"/>
        </w:rPr>
        <w:t>100</w:t>
      </w:r>
      <w:r w:rsidRPr="00BA5C0A">
        <w:rPr>
          <w:rFonts w:ascii="Times New Roman" w:hAnsi="Times New Roman" w:cs="Times New Roman"/>
          <w:color w:val="000000" w:themeColor="text1"/>
          <w:lang w:val="uk-UA"/>
        </w:rPr>
        <w:t xml:space="preserve"> У дослідженні EXPEDITION 2 показник СВВ12 був 100% (12/12) після 8 тижнів </w:t>
      </w:r>
      <w:r w:rsidR="00195756">
        <w:rPr>
          <w:rFonts w:ascii="Times New Roman" w:hAnsi="Times New Roman" w:cs="Times New Roman"/>
          <w:color w:val="000000" w:themeColor="text1"/>
          <w:lang w:val="uk-UA"/>
        </w:rPr>
        <w:t xml:space="preserve">лікування </w:t>
      </w:r>
      <w:r w:rsidRPr="00BA5C0A">
        <w:rPr>
          <w:rFonts w:ascii="Times New Roman" w:hAnsi="Times New Roman" w:cs="Times New Roman"/>
          <w:color w:val="000000" w:themeColor="text1"/>
          <w:lang w:val="uk-UA"/>
        </w:rPr>
        <w:t>у пацієнтів без цирозу, та коінфекцією ВІЛ</w:t>
      </w:r>
      <w:r w:rsidR="00525692">
        <w:rPr>
          <w:rFonts w:ascii="Times New Roman" w:hAnsi="Times New Roman" w:cs="Times New Roman"/>
          <w:color w:val="000000" w:themeColor="text1"/>
          <w:lang w:val="uk-UA"/>
        </w:rPr>
        <w:t>/ВГС</w:t>
      </w:r>
      <w:r w:rsidRPr="00BA5C0A">
        <w:rPr>
          <w:rFonts w:ascii="Times New Roman" w:hAnsi="Times New Roman" w:cs="Times New Roman"/>
          <w:color w:val="000000" w:themeColor="text1"/>
          <w:lang w:val="uk-UA"/>
        </w:rPr>
        <w:t>.</w:t>
      </w:r>
      <w:r w:rsidRPr="00BA5C0A">
        <w:rPr>
          <w:rFonts w:ascii="Times New Roman" w:hAnsi="Times New Roman" w:cs="Times New Roman"/>
          <w:color w:val="000000" w:themeColor="text1"/>
          <w:vertAlign w:val="superscript"/>
          <w:lang w:val="uk-UA"/>
        </w:rPr>
        <w:t>101</w:t>
      </w:r>
    </w:p>
    <w:p w14:paraId="260D2651" w14:textId="77777777" w:rsidR="00BA5C0A" w:rsidRPr="00BA5C0A" w:rsidRDefault="00BA5C0A" w:rsidP="00BA5C0A">
      <w:pPr>
        <w:tabs>
          <w:tab w:val="left" w:pos="1089"/>
        </w:tabs>
        <w:jc w:val="both"/>
        <w:rPr>
          <w:rFonts w:ascii="Times New Roman" w:hAnsi="Times New Roman" w:cs="Times New Roman"/>
          <w:color w:val="000000" w:themeColor="text1"/>
          <w:lang w:val="uk-UA"/>
        </w:rPr>
      </w:pPr>
    </w:p>
    <w:p w14:paraId="6183AFFD" w14:textId="5A817D00" w:rsidR="00BA5C0A" w:rsidRPr="00BA5C0A" w:rsidRDefault="00BA5C0A" w:rsidP="00BA5C0A">
      <w:pPr>
        <w:tabs>
          <w:tab w:val="left" w:pos="1089"/>
        </w:tabs>
        <w:jc w:val="both"/>
        <w:rPr>
          <w:rFonts w:ascii="Times New Roman" w:hAnsi="Times New Roman" w:cs="Times New Roman"/>
          <w:color w:val="000000" w:themeColor="text1"/>
          <w:vertAlign w:val="superscript"/>
          <w:lang w:val="uk-UA"/>
        </w:rPr>
      </w:pPr>
      <w:r w:rsidRPr="00BA5C0A">
        <w:rPr>
          <w:rFonts w:ascii="Times New Roman" w:hAnsi="Times New Roman" w:cs="Times New Roman"/>
          <w:color w:val="000000" w:themeColor="text1"/>
          <w:lang w:val="uk-UA"/>
        </w:rPr>
        <w:t>Результатом дослідження EXPEDITION</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1, де протягом 12 тижнів застосовалась схема глекапревір/пібрентасвір, була частота СВВ12 у 100% (31/31) “наївних” та </w:t>
      </w:r>
      <w:r w:rsidR="008C74B8" w:rsidRPr="00BA5C0A">
        <w:rPr>
          <w:rFonts w:ascii="Times New Roman" w:hAnsi="Times New Roman" w:cs="Times New Roman"/>
          <w:color w:val="000000" w:themeColor="text1"/>
          <w:lang w:val="uk-UA"/>
        </w:rPr>
        <w:t>пацієнтів</w:t>
      </w:r>
      <w:r w:rsidR="008C74B8">
        <w:rPr>
          <w:rFonts w:ascii="Times New Roman" w:hAnsi="Times New Roman" w:cs="Times New Roman"/>
          <w:color w:val="000000" w:themeColor="text1"/>
          <w:lang w:val="uk-UA"/>
        </w:rPr>
        <w:t xml:space="preserve"> з досвідом лікування</w:t>
      </w:r>
      <w:r w:rsidR="008C74B8" w:rsidRPr="00F326C6">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 xml:space="preserve">з генотипом 2 та з компенсованим цирозом </w:t>
      </w:r>
      <w:r w:rsidRPr="00BA5C0A">
        <w:rPr>
          <w:rFonts w:ascii="Times New Roman" w:hAnsi="Times New Roman" w:cs="Times New Roman"/>
          <w:color w:val="000000" w:themeColor="text1"/>
          <w:vertAlign w:val="superscript"/>
          <w:lang w:val="uk-UA"/>
        </w:rPr>
        <w:t>73</w:t>
      </w:r>
      <w:r w:rsidRPr="00BA5C0A">
        <w:rPr>
          <w:rFonts w:ascii="Times New Roman" w:hAnsi="Times New Roman" w:cs="Times New Roman"/>
          <w:color w:val="000000" w:themeColor="text1"/>
          <w:lang w:val="uk-UA"/>
        </w:rPr>
        <w:t>. Ці результати були підтверджені в дослідженні CERTAIN</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 2, яке показало частоту СВВ у 100% (38/38) серед японських па</w:t>
      </w:r>
      <w:r w:rsidR="008C3BC9">
        <w:rPr>
          <w:rFonts w:ascii="Times New Roman" w:hAnsi="Times New Roman" w:cs="Times New Roman"/>
          <w:color w:val="000000" w:themeColor="text1"/>
          <w:lang w:val="uk-UA"/>
        </w:rPr>
        <w:t>цієнтів з компенсованим цирозо</w:t>
      </w:r>
      <w:r w:rsidRPr="00BA5C0A">
        <w:rPr>
          <w:rFonts w:ascii="Times New Roman" w:hAnsi="Times New Roman" w:cs="Times New Roman"/>
          <w:color w:val="000000" w:themeColor="text1"/>
          <w:lang w:val="uk-UA"/>
        </w:rPr>
        <w:t>м, інфікованих генотипом 2, які отримували той самий же режим лікування протягом 12 тижнів.</w:t>
      </w:r>
      <w:r w:rsidRPr="00BA5C0A">
        <w:rPr>
          <w:rFonts w:ascii="Times New Roman" w:hAnsi="Times New Roman" w:cs="Times New Roman"/>
          <w:color w:val="000000" w:themeColor="text1"/>
          <w:vertAlign w:val="superscript"/>
          <w:lang w:val="uk-UA"/>
        </w:rPr>
        <w:t>100</w:t>
      </w:r>
    </w:p>
    <w:p w14:paraId="14037074" w14:textId="7CA1487D" w:rsidR="00BA5C0A" w:rsidRDefault="00BA5C0A" w:rsidP="00BA5C0A">
      <w:pPr>
        <w:tabs>
          <w:tab w:val="left" w:pos="1089"/>
        </w:tabs>
        <w:jc w:val="both"/>
        <w:rPr>
          <w:rFonts w:ascii="Times New Roman" w:hAnsi="Times New Roman" w:cs="Times New Roman"/>
          <w:color w:val="000000" w:themeColor="text1"/>
          <w:vertAlign w:val="superscript"/>
          <w:lang w:val="uk-UA"/>
        </w:rPr>
      </w:pPr>
    </w:p>
    <w:p w14:paraId="5266CDE2" w14:textId="4CF53549" w:rsidR="00460FB3" w:rsidRDefault="00460FB3" w:rsidP="00BA5C0A">
      <w:pPr>
        <w:tabs>
          <w:tab w:val="left" w:pos="1089"/>
        </w:tabs>
        <w:jc w:val="both"/>
        <w:rPr>
          <w:rFonts w:ascii="Times New Roman" w:hAnsi="Times New Roman" w:cs="Times New Roman"/>
          <w:color w:val="000000" w:themeColor="text1"/>
          <w:vertAlign w:val="superscript"/>
          <w:lang w:val="uk-UA"/>
        </w:rPr>
      </w:pPr>
    </w:p>
    <w:p w14:paraId="760A17B8" w14:textId="7C3CE4C0" w:rsidR="00460FB3" w:rsidRDefault="00460FB3" w:rsidP="00BA5C0A">
      <w:pPr>
        <w:tabs>
          <w:tab w:val="left" w:pos="1089"/>
        </w:tabs>
        <w:jc w:val="both"/>
        <w:rPr>
          <w:rFonts w:ascii="Times New Roman" w:hAnsi="Times New Roman" w:cs="Times New Roman"/>
          <w:color w:val="000000" w:themeColor="text1"/>
          <w:vertAlign w:val="superscript"/>
          <w:lang w:val="uk-UA"/>
        </w:rPr>
      </w:pPr>
    </w:p>
    <w:p w14:paraId="4720A424" w14:textId="4A45E5CC" w:rsidR="00460FB3" w:rsidRDefault="00460FB3" w:rsidP="00BA5C0A">
      <w:pPr>
        <w:tabs>
          <w:tab w:val="left" w:pos="1089"/>
        </w:tabs>
        <w:jc w:val="both"/>
        <w:rPr>
          <w:rFonts w:ascii="Times New Roman" w:hAnsi="Times New Roman" w:cs="Times New Roman"/>
          <w:color w:val="000000" w:themeColor="text1"/>
          <w:vertAlign w:val="superscript"/>
          <w:lang w:val="uk-UA"/>
        </w:rPr>
      </w:pPr>
    </w:p>
    <w:p w14:paraId="768DB273" w14:textId="3503E2D5" w:rsidR="00460FB3" w:rsidRDefault="00460FB3" w:rsidP="00BA5C0A">
      <w:pPr>
        <w:tabs>
          <w:tab w:val="left" w:pos="1089"/>
        </w:tabs>
        <w:jc w:val="both"/>
        <w:rPr>
          <w:rFonts w:ascii="Times New Roman" w:hAnsi="Times New Roman" w:cs="Times New Roman"/>
          <w:color w:val="000000" w:themeColor="text1"/>
          <w:vertAlign w:val="superscript"/>
          <w:lang w:val="uk-UA"/>
        </w:rPr>
      </w:pPr>
    </w:p>
    <w:p w14:paraId="7121E55C" w14:textId="3C68EE69" w:rsidR="00460FB3" w:rsidRDefault="00460FB3" w:rsidP="00BA5C0A">
      <w:pPr>
        <w:tabs>
          <w:tab w:val="left" w:pos="1089"/>
        </w:tabs>
        <w:jc w:val="both"/>
        <w:rPr>
          <w:rFonts w:ascii="Times New Roman" w:hAnsi="Times New Roman" w:cs="Times New Roman"/>
          <w:color w:val="000000" w:themeColor="text1"/>
          <w:vertAlign w:val="superscript"/>
          <w:lang w:val="uk-UA"/>
        </w:rPr>
      </w:pPr>
    </w:p>
    <w:p w14:paraId="208F12E1" w14:textId="2BD40853" w:rsidR="00460FB3" w:rsidRDefault="00460FB3" w:rsidP="00BA5C0A">
      <w:pPr>
        <w:tabs>
          <w:tab w:val="left" w:pos="1089"/>
        </w:tabs>
        <w:jc w:val="both"/>
        <w:rPr>
          <w:rFonts w:ascii="Times New Roman" w:hAnsi="Times New Roman" w:cs="Times New Roman"/>
          <w:color w:val="000000" w:themeColor="text1"/>
          <w:vertAlign w:val="superscript"/>
          <w:lang w:val="uk-UA"/>
        </w:rPr>
      </w:pPr>
    </w:p>
    <w:p w14:paraId="00500FAE" w14:textId="1A762A2E" w:rsidR="00460FB3" w:rsidRDefault="00460FB3" w:rsidP="00BA5C0A">
      <w:pPr>
        <w:tabs>
          <w:tab w:val="left" w:pos="1089"/>
        </w:tabs>
        <w:jc w:val="both"/>
        <w:rPr>
          <w:rFonts w:ascii="Times New Roman" w:hAnsi="Times New Roman" w:cs="Times New Roman"/>
          <w:color w:val="000000" w:themeColor="text1"/>
          <w:vertAlign w:val="superscript"/>
          <w:lang w:val="uk-UA"/>
        </w:rPr>
      </w:pPr>
    </w:p>
    <w:p w14:paraId="423CE162" w14:textId="77777777" w:rsidR="00460FB3" w:rsidRPr="00BA5C0A" w:rsidRDefault="00460FB3" w:rsidP="00BA5C0A">
      <w:pPr>
        <w:tabs>
          <w:tab w:val="left" w:pos="1089"/>
        </w:tabs>
        <w:jc w:val="both"/>
        <w:rPr>
          <w:rFonts w:ascii="Times New Roman" w:hAnsi="Times New Roman" w:cs="Times New Roman"/>
          <w:color w:val="000000" w:themeColor="text1"/>
          <w:vertAlign w:val="superscript"/>
          <w:lang w:val="uk-UA"/>
        </w:rPr>
      </w:pPr>
    </w:p>
    <w:p w14:paraId="62FDC910" w14:textId="0373793B" w:rsidR="00BA5C0A" w:rsidRPr="00BA5C0A" w:rsidRDefault="00BA5C0A" w:rsidP="00BA5C0A">
      <w:pPr>
        <w:tabs>
          <w:tab w:val="left" w:pos="1089"/>
        </w:tabs>
        <w:jc w:val="both"/>
        <w:rPr>
          <w:rFonts w:ascii="Times New Roman" w:hAnsi="Times New Roman" w:cs="Times New Roman"/>
          <w:b/>
          <w:color w:val="0070C0"/>
          <w:lang w:val="uk-UA"/>
        </w:rPr>
      </w:pPr>
      <w:r w:rsidRPr="00BA5C0A">
        <w:rPr>
          <w:rFonts w:ascii="Times New Roman" w:hAnsi="Times New Roman" w:cs="Times New Roman"/>
          <w:b/>
          <w:color w:val="0070C0"/>
          <w:lang w:val="uk-UA"/>
        </w:rPr>
        <w:lastRenderedPageBreak/>
        <w:t xml:space="preserve">Лікування </w:t>
      </w:r>
      <w:r w:rsidR="004B557D">
        <w:rPr>
          <w:rFonts w:ascii="Times New Roman" w:hAnsi="Times New Roman" w:cs="Times New Roman"/>
          <w:b/>
          <w:color w:val="0070C0"/>
          <w:lang w:val="uk-UA"/>
        </w:rPr>
        <w:t>пацієнтів з</w:t>
      </w:r>
      <w:r w:rsidRPr="00BA5C0A">
        <w:rPr>
          <w:rFonts w:ascii="Times New Roman" w:hAnsi="Times New Roman" w:cs="Times New Roman"/>
          <w:b/>
          <w:color w:val="0070C0"/>
          <w:lang w:val="uk-UA"/>
        </w:rPr>
        <w:t xml:space="preserve"> </w:t>
      </w:r>
      <w:r w:rsidR="004B557D">
        <w:rPr>
          <w:rFonts w:ascii="Times New Roman" w:hAnsi="Times New Roman" w:cs="Times New Roman"/>
          <w:b/>
          <w:color w:val="0070C0"/>
          <w:lang w:val="uk-UA"/>
        </w:rPr>
        <w:t xml:space="preserve">3 </w:t>
      </w:r>
      <w:r w:rsidRPr="00BA5C0A">
        <w:rPr>
          <w:rFonts w:ascii="Times New Roman" w:hAnsi="Times New Roman" w:cs="Times New Roman"/>
          <w:b/>
          <w:color w:val="0070C0"/>
          <w:lang w:val="uk-UA"/>
        </w:rPr>
        <w:t>генотип</w:t>
      </w:r>
      <w:r w:rsidR="004B557D">
        <w:rPr>
          <w:rFonts w:ascii="Times New Roman" w:hAnsi="Times New Roman" w:cs="Times New Roman"/>
          <w:b/>
          <w:color w:val="0070C0"/>
          <w:lang w:val="uk-UA"/>
        </w:rPr>
        <w:t>ом</w:t>
      </w:r>
      <w:r w:rsidRPr="00BA5C0A">
        <w:rPr>
          <w:rFonts w:ascii="Times New Roman" w:hAnsi="Times New Roman" w:cs="Times New Roman"/>
          <w:b/>
          <w:color w:val="0070C0"/>
          <w:lang w:val="uk-UA"/>
        </w:rPr>
        <w:t xml:space="preserve"> </w:t>
      </w:r>
      <w:r w:rsidR="004B557D">
        <w:rPr>
          <w:rFonts w:ascii="Times New Roman" w:hAnsi="Times New Roman" w:cs="Times New Roman"/>
          <w:b/>
          <w:color w:val="0070C0"/>
          <w:lang w:val="uk-UA"/>
        </w:rPr>
        <w:t>ВГС</w:t>
      </w:r>
    </w:p>
    <w:p w14:paraId="3D174A1F" w14:textId="77777777" w:rsidR="00BA5C0A" w:rsidRPr="00BA5C0A" w:rsidRDefault="00BA5C0A" w:rsidP="00BA5C0A">
      <w:pPr>
        <w:tabs>
          <w:tab w:val="left" w:pos="1089"/>
        </w:tabs>
        <w:jc w:val="both"/>
        <w:rPr>
          <w:rFonts w:ascii="Times New Roman" w:hAnsi="Times New Roman" w:cs="Times New Roman"/>
          <w:color w:val="000000" w:themeColor="text1"/>
          <w:lang w:val="uk-UA"/>
        </w:rPr>
      </w:pPr>
    </w:p>
    <w:p w14:paraId="418362E6" w14:textId="6E039A51"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color w:val="000000" w:themeColor="text1"/>
          <w:lang w:val="uk-UA"/>
        </w:rPr>
        <w:t xml:space="preserve">Три варіанти лікування препаратами першого ряду є доступними для пацієнтів, інфікованих </w:t>
      </w:r>
      <w:r w:rsidR="00E555BC">
        <w:rPr>
          <w:rFonts w:ascii="Times New Roman" w:hAnsi="Times New Roman" w:cs="Times New Roman"/>
          <w:color w:val="000000" w:themeColor="text1"/>
          <w:lang w:val="uk-UA"/>
        </w:rPr>
        <w:t xml:space="preserve">3 </w:t>
      </w:r>
      <w:r w:rsidRPr="00BA5C0A">
        <w:rPr>
          <w:rFonts w:ascii="Times New Roman" w:hAnsi="Times New Roman" w:cs="Times New Roman"/>
          <w:color w:val="000000" w:themeColor="text1"/>
          <w:lang w:val="uk-UA"/>
        </w:rPr>
        <w:t>генотипом ВГС (Таблиці 6, 7 і 8). Ці варіанти вважаються еквівалентними, і порядок в якому вони зазначені, не вказує ні на їх перевагу перед іншими, ні на більшу ефективність:</w:t>
      </w:r>
    </w:p>
    <w:p w14:paraId="69E1D9E4" w14:textId="77777777" w:rsidR="007C2563" w:rsidRDefault="007C2563" w:rsidP="00BA5C0A">
      <w:pPr>
        <w:tabs>
          <w:tab w:val="left" w:pos="1089"/>
        </w:tabs>
        <w:jc w:val="both"/>
        <w:rPr>
          <w:rFonts w:ascii="Times New Roman" w:hAnsi="Times New Roman" w:cs="Times New Roman"/>
          <w:color w:val="000000" w:themeColor="text1"/>
          <w:lang w:val="uk-UA"/>
        </w:rPr>
      </w:pPr>
    </w:p>
    <w:p w14:paraId="0FABE9AB" w14:textId="4FCC40E1" w:rsidR="00BA5C0A" w:rsidRPr="00BA5C0A" w:rsidRDefault="00BA5C0A" w:rsidP="00BA5C0A">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Софосбувір/велп</w:t>
      </w:r>
      <w:r w:rsidR="004B557D">
        <w:rPr>
          <w:rFonts w:ascii="Times New Roman" w:hAnsi="Times New Roman" w:cs="Times New Roman"/>
          <w:color w:val="000000" w:themeColor="text1"/>
          <w:lang w:val="uk-UA"/>
        </w:rPr>
        <w:t>а</w:t>
      </w:r>
      <w:r w:rsidRPr="00BA5C0A">
        <w:rPr>
          <w:rFonts w:ascii="Times New Roman" w:hAnsi="Times New Roman" w:cs="Times New Roman"/>
          <w:color w:val="000000" w:themeColor="text1"/>
          <w:lang w:val="uk-UA"/>
        </w:rPr>
        <w:t xml:space="preserve">тасвір </w:t>
      </w:r>
    </w:p>
    <w:p w14:paraId="1E7A8300" w14:textId="77777777" w:rsidR="004B557D" w:rsidRDefault="00BA5C0A" w:rsidP="004B557D">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Глекапревир/пібрентасвір</w:t>
      </w:r>
      <w:r w:rsidR="004B557D" w:rsidRPr="004B557D">
        <w:rPr>
          <w:rFonts w:ascii="Times New Roman" w:hAnsi="Times New Roman" w:cs="Times New Roman"/>
          <w:color w:val="000000" w:themeColor="text1"/>
          <w:lang w:val="uk-UA"/>
        </w:rPr>
        <w:t xml:space="preserve"> </w:t>
      </w:r>
    </w:p>
    <w:p w14:paraId="788AE516" w14:textId="6B79107D" w:rsidR="004B557D" w:rsidRPr="00BA5C0A" w:rsidRDefault="004B557D" w:rsidP="004B557D">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Софосбувір/велпатасвір/воксілапревір</w:t>
      </w:r>
    </w:p>
    <w:p w14:paraId="45104630" w14:textId="38142BA3" w:rsidR="00460FB3" w:rsidRDefault="00460FB3" w:rsidP="00BA5C0A">
      <w:pPr>
        <w:tabs>
          <w:tab w:val="left" w:pos="1089"/>
        </w:tabs>
        <w:jc w:val="both"/>
        <w:rPr>
          <w:rFonts w:ascii="Times New Roman" w:hAnsi="Times New Roman" w:cs="Times New Roman"/>
          <w:color w:val="000000" w:themeColor="text1"/>
          <w:lang w:val="uk-UA"/>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460FB3" w:rsidRPr="0080595E" w14:paraId="352D46B0" w14:textId="77777777" w:rsidTr="00770318">
        <w:trPr>
          <w:trHeight w:val="1440"/>
        </w:trPr>
        <w:tc>
          <w:tcPr>
            <w:tcW w:w="9918" w:type="dxa"/>
            <w:shd w:val="clear" w:color="auto" w:fill="BDD6EE" w:themeFill="accent1" w:themeFillTint="66"/>
          </w:tcPr>
          <w:p w14:paraId="798D0E20" w14:textId="77777777" w:rsidR="00460FB3" w:rsidRPr="00460FB3" w:rsidRDefault="00460FB3" w:rsidP="00770318">
            <w:pPr>
              <w:tabs>
                <w:tab w:val="left" w:pos="1089"/>
              </w:tabs>
              <w:jc w:val="both"/>
              <w:rPr>
                <w:rFonts w:ascii="Times New Roman" w:hAnsi="Times New Roman" w:cs="Times New Roman"/>
                <w:b/>
                <w:i/>
                <w:lang w:val="uk-UA"/>
              </w:rPr>
            </w:pPr>
            <w:r w:rsidRPr="00460FB3">
              <w:rPr>
                <w:rFonts w:ascii="Times New Roman" w:hAnsi="Times New Roman" w:cs="Times New Roman"/>
                <w:b/>
                <w:i/>
                <w:lang w:val="uk-UA"/>
              </w:rPr>
              <w:t>Рекомендації</w:t>
            </w:r>
          </w:p>
          <w:p w14:paraId="3363CA60" w14:textId="77777777" w:rsidR="00460FB3" w:rsidRPr="00460FB3" w:rsidRDefault="00460FB3" w:rsidP="00770318">
            <w:pPr>
              <w:tabs>
                <w:tab w:val="left" w:pos="1089"/>
              </w:tabs>
              <w:jc w:val="both"/>
              <w:rPr>
                <w:rFonts w:ascii="Times New Roman" w:hAnsi="Times New Roman" w:cs="Times New Roman"/>
                <w:color w:val="000000" w:themeColor="text1"/>
                <w:lang w:val="uk-UA"/>
              </w:rPr>
            </w:pPr>
            <w:r w:rsidRPr="00460FB3">
              <w:rPr>
                <w:rFonts w:ascii="Times New Roman" w:hAnsi="Times New Roman" w:cs="Times New Roman"/>
                <w:color w:val="000000" w:themeColor="text1"/>
                <w:lang w:val="uk-UA"/>
              </w:rPr>
              <w:t xml:space="preserve">Наступні схеми рекомендовані для лікування пацієнтів, інфікованих генотипом 3, згідно з рекомендаціями нижче (A1): </w:t>
            </w:r>
          </w:p>
          <w:p w14:paraId="16579C52" w14:textId="3E9E668E" w:rsidR="00460FB3" w:rsidRPr="00460FB3" w:rsidRDefault="00460FB3" w:rsidP="00460FB3">
            <w:pPr>
              <w:pStyle w:val="a9"/>
              <w:numPr>
                <w:ilvl w:val="0"/>
                <w:numId w:val="67"/>
              </w:numPr>
              <w:tabs>
                <w:tab w:val="left" w:pos="1089"/>
              </w:tabs>
              <w:jc w:val="both"/>
              <w:rPr>
                <w:rFonts w:ascii="Times New Roman" w:hAnsi="Times New Roman" w:cs="Times New Roman"/>
                <w:color w:val="000000" w:themeColor="text1"/>
                <w:lang w:val="uk-UA"/>
              </w:rPr>
            </w:pPr>
            <w:r w:rsidRPr="00460FB3">
              <w:rPr>
                <w:rFonts w:ascii="Times New Roman" w:hAnsi="Times New Roman" w:cs="Times New Roman"/>
                <w:color w:val="000000" w:themeColor="text1"/>
                <w:lang w:val="uk-UA"/>
              </w:rPr>
              <w:t xml:space="preserve">Комбінація софосбувіру (400 мг) і велпатасвіру (100 мг) в одній таблетці, </w:t>
            </w:r>
            <w:r w:rsidR="00770318">
              <w:rPr>
                <w:rFonts w:ascii="Times New Roman" w:hAnsi="Times New Roman" w:cs="Times New Roman"/>
                <w:color w:val="000000" w:themeColor="text1"/>
                <w:lang w:val="uk-UA"/>
              </w:rPr>
              <w:t xml:space="preserve">яка приймається </w:t>
            </w:r>
            <w:r w:rsidRPr="00460FB3">
              <w:rPr>
                <w:rFonts w:ascii="Times New Roman" w:hAnsi="Times New Roman" w:cs="Times New Roman"/>
                <w:color w:val="000000" w:themeColor="text1"/>
                <w:lang w:val="uk-UA"/>
              </w:rPr>
              <w:t>один раз на добу;</w:t>
            </w:r>
          </w:p>
          <w:p w14:paraId="2A3CFCD5" w14:textId="3768AB55" w:rsidR="00460FB3" w:rsidRDefault="00460FB3" w:rsidP="00460FB3">
            <w:pPr>
              <w:pStyle w:val="a9"/>
              <w:numPr>
                <w:ilvl w:val="0"/>
                <w:numId w:val="67"/>
              </w:numPr>
              <w:tabs>
                <w:tab w:val="left" w:pos="1089"/>
              </w:tabs>
              <w:jc w:val="both"/>
              <w:rPr>
                <w:rFonts w:ascii="Times New Roman" w:hAnsi="Times New Roman" w:cs="Times New Roman"/>
                <w:color w:val="000000" w:themeColor="text1"/>
                <w:lang w:val="uk-UA"/>
              </w:rPr>
            </w:pPr>
            <w:r w:rsidRPr="00460FB3">
              <w:rPr>
                <w:rFonts w:ascii="Times New Roman" w:hAnsi="Times New Roman" w:cs="Times New Roman"/>
                <w:color w:val="000000" w:themeColor="text1"/>
                <w:lang w:val="uk-UA"/>
              </w:rPr>
              <w:t xml:space="preserve">Комбінація глікапревіру (300 мг) та пібрентасвіру (120 мг) у трьох таблетках, </w:t>
            </w:r>
            <w:r w:rsidR="00770318">
              <w:rPr>
                <w:rFonts w:ascii="Times New Roman" w:hAnsi="Times New Roman" w:cs="Times New Roman"/>
                <w:color w:val="000000" w:themeColor="text1"/>
                <w:lang w:val="uk-UA"/>
              </w:rPr>
              <w:t>по</w:t>
            </w:r>
            <w:r w:rsidRPr="00460FB3">
              <w:rPr>
                <w:rFonts w:ascii="Times New Roman" w:hAnsi="Times New Roman" w:cs="Times New Roman"/>
                <w:color w:val="000000" w:themeColor="text1"/>
                <w:lang w:val="uk-UA"/>
              </w:rPr>
              <w:t xml:space="preserve"> 100 мг глікапревіру та 40 мг пібрентасвіру, </w:t>
            </w:r>
            <w:r w:rsidR="00770318">
              <w:rPr>
                <w:rFonts w:ascii="Times New Roman" w:hAnsi="Times New Roman" w:cs="Times New Roman"/>
                <w:color w:val="000000" w:themeColor="text1"/>
                <w:lang w:val="uk-UA"/>
              </w:rPr>
              <w:t>які</w:t>
            </w:r>
            <w:r w:rsidRPr="00460FB3">
              <w:rPr>
                <w:rFonts w:ascii="Times New Roman" w:hAnsi="Times New Roman" w:cs="Times New Roman"/>
                <w:color w:val="000000" w:themeColor="text1"/>
                <w:lang w:val="uk-UA"/>
              </w:rPr>
              <w:t xml:space="preserve"> </w:t>
            </w:r>
            <w:r w:rsidR="00770318">
              <w:rPr>
                <w:rFonts w:ascii="Times New Roman" w:hAnsi="Times New Roman" w:cs="Times New Roman"/>
                <w:color w:val="000000" w:themeColor="text1"/>
                <w:lang w:val="uk-UA"/>
              </w:rPr>
              <w:t>приймаються</w:t>
            </w:r>
            <w:r w:rsidRPr="00460FB3">
              <w:rPr>
                <w:rFonts w:ascii="Times New Roman" w:hAnsi="Times New Roman" w:cs="Times New Roman"/>
                <w:color w:val="000000" w:themeColor="text1"/>
                <w:lang w:val="uk-UA"/>
              </w:rPr>
              <w:t xml:space="preserve"> один раз на добу з їжею;</w:t>
            </w:r>
          </w:p>
          <w:p w14:paraId="4589090E" w14:textId="22714CFD" w:rsidR="00460FB3" w:rsidRPr="00460FB3" w:rsidRDefault="00460FB3" w:rsidP="00460FB3">
            <w:pPr>
              <w:pStyle w:val="a9"/>
              <w:numPr>
                <w:ilvl w:val="0"/>
                <w:numId w:val="67"/>
              </w:numPr>
              <w:tabs>
                <w:tab w:val="left" w:pos="1089"/>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К</w:t>
            </w:r>
            <w:r w:rsidRPr="00460FB3">
              <w:rPr>
                <w:rFonts w:ascii="Times New Roman" w:hAnsi="Times New Roman" w:cs="Times New Roman"/>
                <w:color w:val="000000" w:themeColor="text1"/>
                <w:lang w:val="uk-UA"/>
              </w:rPr>
              <w:t xml:space="preserve">омбінація софосбувіру (400 мг), велпатасвіру (100 мг) та воксілапревіру (100 мг) в одній таблетці, що </w:t>
            </w:r>
            <w:r w:rsidR="00770318">
              <w:rPr>
                <w:rFonts w:ascii="Times New Roman" w:hAnsi="Times New Roman" w:cs="Times New Roman"/>
                <w:color w:val="000000" w:themeColor="text1"/>
                <w:lang w:val="uk-UA"/>
              </w:rPr>
              <w:t>приймається</w:t>
            </w:r>
            <w:r w:rsidRPr="00460FB3">
              <w:rPr>
                <w:rFonts w:ascii="Times New Roman" w:hAnsi="Times New Roman" w:cs="Times New Roman"/>
                <w:color w:val="000000" w:themeColor="text1"/>
                <w:lang w:val="uk-UA"/>
              </w:rPr>
              <w:t xml:space="preserve"> один раз на добу з їжею</w:t>
            </w:r>
          </w:p>
        </w:tc>
      </w:tr>
    </w:tbl>
    <w:p w14:paraId="18F938FB" w14:textId="77777777" w:rsidR="00460FB3" w:rsidRDefault="00460FB3" w:rsidP="00BA5C0A">
      <w:pPr>
        <w:tabs>
          <w:tab w:val="left" w:pos="1089"/>
        </w:tabs>
        <w:jc w:val="both"/>
        <w:rPr>
          <w:rFonts w:ascii="Times New Roman" w:hAnsi="Times New Roman" w:cs="Times New Roman"/>
          <w:color w:val="000000" w:themeColor="text1"/>
          <w:lang w:val="uk-UA"/>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460FB3" w:rsidRPr="0080595E" w14:paraId="1A2A2176" w14:textId="77777777" w:rsidTr="00770318">
        <w:trPr>
          <w:trHeight w:val="1440"/>
        </w:trPr>
        <w:tc>
          <w:tcPr>
            <w:tcW w:w="9918" w:type="dxa"/>
            <w:shd w:val="clear" w:color="auto" w:fill="BDD6EE" w:themeFill="accent1" w:themeFillTint="66"/>
          </w:tcPr>
          <w:p w14:paraId="32BC1652" w14:textId="77777777" w:rsidR="00460FB3" w:rsidRPr="008A3473" w:rsidRDefault="00460FB3" w:rsidP="00770318">
            <w:pPr>
              <w:tabs>
                <w:tab w:val="left" w:pos="1089"/>
              </w:tabs>
              <w:jc w:val="both"/>
              <w:rPr>
                <w:rFonts w:ascii="Times New Roman" w:hAnsi="Times New Roman" w:cs="Times New Roman"/>
                <w:b/>
                <w:i/>
                <w:lang w:val="uk-UA"/>
              </w:rPr>
            </w:pPr>
            <w:r w:rsidRPr="008A3473">
              <w:rPr>
                <w:rFonts w:ascii="Times New Roman" w:hAnsi="Times New Roman" w:cs="Times New Roman"/>
                <w:b/>
                <w:i/>
                <w:lang w:val="uk-UA"/>
              </w:rPr>
              <w:t>Генотип 3, пангенотип</w:t>
            </w:r>
            <w:r>
              <w:rPr>
                <w:rFonts w:ascii="Times New Roman" w:hAnsi="Times New Roman" w:cs="Times New Roman"/>
                <w:b/>
                <w:i/>
                <w:lang w:val="uk-UA"/>
              </w:rPr>
              <w:t>на</w:t>
            </w:r>
            <w:r w:rsidRPr="008A3473">
              <w:rPr>
                <w:rFonts w:ascii="Times New Roman" w:hAnsi="Times New Roman" w:cs="Times New Roman"/>
                <w:b/>
                <w:i/>
                <w:lang w:val="uk-UA"/>
              </w:rPr>
              <w:t xml:space="preserve"> схема: софосбувір/велпатасвір</w:t>
            </w:r>
          </w:p>
          <w:p w14:paraId="74B117F6" w14:textId="77777777" w:rsidR="00460FB3" w:rsidRPr="00BA5C0A" w:rsidRDefault="00460FB3" w:rsidP="00770318">
            <w:pPr>
              <w:tabs>
                <w:tab w:val="left" w:pos="1089"/>
              </w:tabs>
              <w:ind w:left="-87"/>
              <w:jc w:val="both"/>
              <w:rPr>
                <w:rFonts w:ascii="Times New Roman" w:hAnsi="Times New Roman" w:cs="Times New Roman"/>
                <w:color w:val="000000" w:themeColor="text1"/>
                <w:lang w:val="uk-UA"/>
              </w:rPr>
            </w:pPr>
          </w:p>
          <w:p w14:paraId="2A0EB6EA" w14:textId="14A9FDCB" w:rsidR="00460FB3" w:rsidRDefault="00460FB3" w:rsidP="00460FB3">
            <w:pPr>
              <w:numPr>
                <w:ilvl w:val="0"/>
                <w:numId w:val="19"/>
              </w:numPr>
              <w:tabs>
                <w:tab w:val="left" w:pos="1089"/>
              </w:tabs>
              <w:contextualSpacing/>
              <w:jc w:val="both"/>
              <w:rPr>
                <w:rFonts w:ascii="Times New Roman" w:hAnsi="Times New Roman" w:cs="Times New Roman"/>
                <w:color w:val="000000" w:themeColor="text1"/>
                <w:lang w:val="uk-UA"/>
              </w:rPr>
            </w:pPr>
            <w:r w:rsidRPr="008C74B8">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Наївні</w:t>
            </w:r>
            <w:r w:rsidRPr="008C74B8">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 та пацієнти</w:t>
            </w:r>
            <w:r w:rsidRPr="008C74B8">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з досвідом лікування</w:t>
            </w:r>
            <w:r w:rsidRPr="00BA5C0A">
              <w:rPr>
                <w:rFonts w:ascii="Times New Roman" w:hAnsi="Times New Roman" w:cs="Times New Roman"/>
                <w:color w:val="000000" w:themeColor="text1"/>
                <w:lang w:val="uk-UA"/>
              </w:rPr>
              <w:t xml:space="preserve">, інфіковані </w:t>
            </w:r>
            <w:r>
              <w:rPr>
                <w:rFonts w:ascii="Times New Roman" w:hAnsi="Times New Roman" w:cs="Times New Roman"/>
                <w:color w:val="000000" w:themeColor="text1"/>
                <w:lang w:val="uk-UA"/>
              </w:rPr>
              <w:t xml:space="preserve">3 генотипом </w:t>
            </w:r>
            <w:r w:rsidRPr="00BA5C0A">
              <w:rPr>
                <w:rFonts w:ascii="Times New Roman" w:hAnsi="Times New Roman" w:cs="Times New Roman"/>
                <w:color w:val="000000" w:themeColor="text1"/>
                <w:lang w:val="uk-UA"/>
              </w:rPr>
              <w:t>ВГС без цирозу, повинні отримувати комбінацію софосбувіру і велпатасвіру протягом 12 тижнів (А1).</w:t>
            </w:r>
          </w:p>
          <w:p w14:paraId="655F7576" w14:textId="7A576F01" w:rsidR="00460FB3" w:rsidRPr="00E7063E" w:rsidRDefault="00460FB3" w:rsidP="00460FB3">
            <w:pPr>
              <w:numPr>
                <w:ilvl w:val="0"/>
                <w:numId w:val="19"/>
              </w:numPr>
              <w:tabs>
                <w:tab w:val="left" w:pos="1089"/>
              </w:tabs>
              <w:contextualSpacing/>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Комбінація софосбувіру і велпатасвіру не рекомендована </w:t>
            </w:r>
            <w:r w:rsidRPr="008C74B8">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наївним</w:t>
            </w:r>
            <w:r w:rsidRPr="008C74B8">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 та </w:t>
            </w:r>
            <w:r>
              <w:rPr>
                <w:rFonts w:ascii="Times New Roman" w:hAnsi="Times New Roman" w:cs="Times New Roman"/>
                <w:color w:val="000000" w:themeColor="text1"/>
                <w:lang w:val="uk-UA"/>
              </w:rPr>
              <w:t xml:space="preserve">пацієнтам з досвідом лікування, у яких </w:t>
            </w:r>
            <w:r w:rsidRPr="00BA5C0A">
              <w:rPr>
                <w:rFonts w:ascii="Times New Roman" w:hAnsi="Times New Roman" w:cs="Times New Roman"/>
                <w:color w:val="000000" w:themeColor="text1"/>
                <w:lang w:val="uk-UA"/>
              </w:rPr>
              <w:t>генотип 3, з компенсованим (Child</w:t>
            </w:r>
            <w:r>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Pugh A) цирозом, оскільки повідомлялося про субоптимальні результати </w:t>
            </w:r>
            <w:r>
              <w:rPr>
                <w:rFonts w:ascii="Times New Roman" w:hAnsi="Times New Roman" w:cs="Times New Roman"/>
                <w:color w:val="000000" w:themeColor="text1"/>
                <w:lang w:val="uk-UA"/>
              </w:rPr>
              <w:t>застосування</w:t>
            </w:r>
            <w:r w:rsidRPr="00BA5C0A">
              <w:rPr>
                <w:rFonts w:ascii="Times New Roman" w:hAnsi="Times New Roman" w:cs="Times New Roman"/>
                <w:color w:val="000000" w:themeColor="text1"/>
                <w:lang w:val="uk-UA"/>
              </w:rPr>
              <w:t xml:space="preserve"> цієї комбінації (В2</w:t>
            </w:r>
            <w:r>
              <w:rPr>
                <w:rFonts w:ascii="Times New Roman" w:hAnsi="Times New Roman" w:cs="Times New Roman"/>
                <w:color w:val="000000" w:themeColor="text1"/>
                <w:lang w:val="uk-UA"/>
              </w:rPr>
              <w:t>)</w:t>
            </w:r>
          </w:p>
        </w:tc>
      </w:tr>
    </w:tbl>
    <w:p w14:paraId="4246FAE6" w14:textId="77777777" w:rsidR="00460FB3" w:rsidRDefault="00460FB3" w:rsidP="00BA5C0A">
      <w:pPr>
        <w:tabs>
          <w:tab w:val="left" w:pos="1089"/>
        </w:tabs>
        <w:jc w:val="both"/>
        <w:rPr>
          <w:rFonts w:ascii="Times New Roman" w:hAnsi="Times New Roman" w:cs="Times New Roman"/>
          <w:color w:val="000000" w:themeColor="text1"/>
          <w:lang w:val="uk-UA"/>
        </w:rPr>
      </w:pPr>
    </w:p>
    <w:p w14:paraId="172260F6" w14:textId="393BB2CB" w:rsidR="00BA5C0A" w:rsidRPr="00BA5C0A" w:rsidRDefault="00416F36" w:rsidP="00BA5C0A">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Коментарі: Ця рекомендація базується на результатах фази III дослідження ASTRAL </w:t>
      </w:r>
      <w:r>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3 у </w:t>
      </w:r>
      <w:r w:rsidR="00BA5C0A" w:rsidRPr="00BA5C0A">
        <w:rPr>
          <w:rFonts w:ascii="Times New Roman" w:hAnsi="Times New Roman" w:cs="Times New Roman"/>
          <w:color w:val="000000" w:themeColor="text1"/>
          <w:lang w:val="uk-UA"/>
        </w:rPr>
        <w:t xml:space="preserve">пацієнтів із </w:t>
      </w:r>
      <w:r w:rsidR="00493A60">
        <w:rPr>
          <w:rFonts w:ascii="Times New Roman" w:hAnsi="Times New Roman" w:cs="Times New Roman"/>
          <w:color w:val="000000" w:themeColor="text1"/>
          <w:lang w:val="uk-UA"/>
        </w:rPr>
        <w:t xml:space="preserve">3 генотипом </w:t>
      </w:r>
      <w:r w:rsidR="00BA5C0A" w:rsidRPr="00BA5C0A">
        <w:rPr>
          <w:rFonts w:ascii="Times New Roman" w:hAnsi="Times New Roman" w:cs="Times New Roman"/>
          <w:color w:val="000000" w:themeColor="text1"/>
          <w:lang w:val="uk-UA"/>
        </w:rPr>
        <w:t xml:space="preserve">ВГС (29% з компенсованим цирозом, 74% </w:t>
      </w:r>
      <w:r w:rsidR="00FC6D8A">
        <w:rPr>
          <w:rFonts w:ascii="Times New Roman" w:hAnsi="Times New Roman" w:cs="Times New Roman"/>
          <w:color w:val="000000" w:themeColor="text1"/>
          <w:lang w:val="uk-UA"/>
        </w:rPr>
        <w:t>–</w:t>
      </w:r>
      <w:r w:rsidR="00BA5C0A" w:rsidRPr="00BA5C0A">
        <w:rPr>
          <w:rFonts w:ascii="Times New Roman" w:hAnsi="Times New Roman" w:cs="Times New Roman"/>
          <w:color w:val="000000" w:themeColor="text1"/>
          <w:lang w:val="uk-UA"/>
        </w:rPr>
        <w:t xml:space="preserve"> “наївні”, 26% </w:t>
      </w:r>
      <w:r w:rsidR="00FC6D8A">
        <w:rPr>
          <w:rFonts w:ascii="Times New Roman" w:hAnsi="Times New Roman" w:cs="Times New Roman"/>
          <w:color w:val="000000" w:themeColor="text1"/>
          <w:lang w:val="uk-UA"/>
        </w:rPr>
        <w:t>–</w:t>
      </w:r>
      <w:r w:rsidR="008C74B8" w:rsidRPr="008C74B8">
        <w:rPr>
          <w:rFonts w:ascii="Times New Roman" w:hAnsi="Times New Roman" w:cs="Times New Roman"/>
          <w:color w:val="000000" w:themeColor="text1"/>
          <w:lang w:val="uk-UA"/>
        </w:rPr>
        <w:t xml:space="preserve"> </w:t>
      </w:r>
      <w:r w:rsidR="008C74B8">
        <w:rPr>
          <w:rFonts w:ascii="Times New Roman" w:hAnsi="Times New Roman" w:cs="Times New Roman"/>
          <w:color w:val="000000" w:themeColor="text1"/>
          <w:lang w:val="uk-UA"/>
        </w:rPr>
        <w:t>з досвідом лікування</w:t>
      </w:r>
      <w:r w:rsidR="00BA5C0A" w:rsidRPr="00BA5C0A">
        <w:rPr>
          <w:rFonts w:ascii="Times New Roman" w:hAnsi="Times New Roman" w:cs="Times New Roman"/>
          <w:color w:val="000000" w:themeColor="text1"/>
          <w:lang w:val="uk-UA"/>
        </w:rPr>
        <w:t>), які отримували комбінацію з фіксованою дозою софосбувір</w:t>
      </w:r>
      <w:r w:rsidR="003F7050">
        <w:rPr>
          <w:rFonts w:ascii="Times New Roman" w:hAnsi="Times New Roman" w:cs="Times New Roman"/>
          <w:color w:val="000000" w:themeColor="text1"/>
          <w:lang w:val="uk-UA"/>
        </w:rPr>
        <w:t>у</w:t>
      </w:r>
      <w:r w:rsidR="00BA5C0A" w:rsidRPr="00BA5C0A">
        <w:rPr>
          <w:rFonts w:ascii="Times New Roman" w:hAnsi="Times New Roman" w:cs="Times New Roman"/>
          <w:color w:val="000000" w:themeColor="text1"/>
          <w:lang w:val="uk-UA"/>
        </w:rPr>
        <w:t xml:space="preserve"> і велпатасвіру протягом 12 тижнів. Частота СВВ12 становила 98% (160/163) серед “наївних” пацієнтів без цирозу. Найнижчі показники СВВ12 спостерігались у пацієнтів, які раніше отримували лікування або мали цироз печінки: загалом 90% (104/116; 12 вірусологічних невдач); 93% (40/43) серед “наївних” пацієнтів з компенсованим цирозом печінки, 91% (31/34) у </w:t>
      </w:r>
      <w:r w:rsidR="008C74B8">
        <w:rPr>
          <w:rFonts w:ascii="Times New Roman" w:hAnsi="Times New Roman" w:cs="Times New Roman"/>
          <w:color w:val="000000" w:themeColor="text1"/>
          <w:lang w:val="uk-UA"/>
        </w:rPr>
        <w:t>пацієнтів з досвідом лікування</w:t>
      </w:r>
      <w:r w:rsidR="00BA5C0A" w:rsidRPr="00BA5C0A">
        <w:rPr>
          <w:rFonts w:ascii="Times New Roman" w:hAnsi="Times New Roman" w:cs="Times New Roman"/>
          <w:color w:val="000000" w:themeColor="text1"/>
          <w:lang w:val="uk-UA"/>
        </w:rPr>
        <w:t>, які не мають цирозу, і 89% (33/37) серед пацієнтів</w:t>
      </w:r>
      <w:r w:rsidR="008C74B8">
        <w:rPr>
          <w:rFonts w:ascii="Times New Roman" w:hAnsi="Times New Roman" w:cs="Times New Roman"/>
          <w:color w:val="000000" w:themeColor="text1"/>
          <w:lang w:val="uk-UA"/>
        </w:rPr>
        <w:t xml:space="preserve"> з досвідом лікування</w:t>
      </w:r>
      <w:r w:rsidR="00BA5C0A" w:rsidRPr="00BA5C0A">
        <w:rPr>
          <w:rFonts w:ascii="Times New Roman" w:hAnsi="Times New Roman" w:cs="Times New Roman"/>
          <w:color w:val="000000" w:themeColor="text1"/>
          <w:lang w:val="uk-UA"/>
        </w:rPr>
        <w:t xml:space="preserve"> із компенсованим цирозом.</w:t>
      </w:r>
      <w:r w:rsidR="00BA5C0A" w:rsidRPr="00BA5C0A">
        <w:rPr>
          <w:rFonts w:ascii="Times New Roman" w:hAnsi="Times New Roman" w:cs="Times New Roman"/>
          <w:color w:val="000000" w:themeColor="text1"/>
          <w:vertAlign w:val="superscript"/>
          <w:lang w:val="uk-UA"/>
        </w:rPr>
        <w:t>98</w:t>
      </w:r>
      <w:r w:rsidR="00BA5C0A" w:rsidRPr="00BA5C0A">
        <w:rPr>
          <w:rFonts w:ascii="Times New Roman" w:hAnsi="Times New Roman" w:cs="Times New Roman"/>
          <w:color w:val="000000" w:themeColor="text1"/>
          <w:lang w:val="uk-UA"/>
        </w:rPr>
        <w:t xml:space="preserve"> Таким чином, до цього режиму необхідне додавання третього препарату, принаймні у пацієнтів, інфікованих генотипом 3 з компенсованим цирозом, для яких рекомендовано застосування потрійної комбінації софосбувіру, велпатасвіру та воксілапревіру (див. Нижче).</w:t>
      </w:r>
    </w:p>
    <w:p w14:paraId="1CEE726B" w14:textId="77777777" w:rsidR="00BA5C0A" w:rsidRPr="00BA5C0A" w:rsidRDefault="00BA5C0A" w:rsidP="00BA5C0A">
      <w:pPr>
        <w:tabs>
          <w:tab w:val="left" w:pos="1089"/>
        </w:tabs>
        <w:jc w:val="both"/>
        <w:rPr>
          <w:rFonts w:ascii="Times New Roman" w:hAnsi="Times New Roman" w:cs="Times New Roman"/>
          <w:color w:val="000000" w:themeColor="text1"/>
          <w:lang w:val="uk-UA"/>
        </w:rPr>
      </w:pPr>
    </w:p>
    <w:p w14:paraId="02A83D6E" w14:textId="77B1AF19" w:rsidR="00BA5C0A" w:rsidRPr="00BA5C0A" w:rsidRDefault="00BA5C0A" w:rsidP="00BA5C0A">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У дослідженні ASTRAL</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5 у пацієнтів</w:t>
      </w:r>
      <w:r w:rsidR="00525692">
        <w:rPr>
          <w:rFonts w:ascii="Times New Roman" w:hAnsi="Times New Roman" w:cs="Times New Roman"/>
          <w:color w:val="000000" w:themeColor="text1"/>
          <w:lang w:val="uk-UA"/>
        </w:rPr>
        <w:t xml:space="preserve"> із коінфекцією ВІЛ/ВГС</w:t>
      </w:r>
      <w:r w:rsidRPr="00BA5C0A">
        <w:rPr>
          <w:rFonts w:ascii="Times New Roman" w:hAnsi="Times New Roman" w:cs="Times New Roman"/>
          <w:color w:val="000000" w:themeColor="text1"/>
          <w:lang w:val="uk-UA"/>
        </w:rPr>
        <w:t xml:space="preserve"> частота СВВ12 </w:t>
      </w:r>
      <w:r w:rsidR="003F7050">
        <w:rPr>
          <w:rFonts w:ascii="Times New Roman" w:hAnsi="Times New Roman" w:cs="Times New Roman"/>
          <w:color w:val="000000" w:themeColor="text1"/>
          <w:lang w:val="uk-UA"/>
        </w:rPr>
        <w:t xml:space="preserve">при використанні зазначеної схеми </w:t>
      </w:r>
      <w:r w:rsidRPr="00BA5C0A">
        <w:rPr>
          <w:rFonts w:ascii="Times New Roman" w:hAnsi="Times New Roman" w:cs="Times New Roman"/>
          <w:color w:val="000000" w:themeColor="text1"/>
          <w:lang w:val="uk-UA"/>
        </w:rPr>
        <w:t xml:space="preserve">становила 92% (11/12) </w:t>
      </w:r>
      <w:r w:rsidRPr="00BA5C0A">
        <w:rPr>
          <w:rFonts w:ascii="Times New Roman" w:hAnsi="Times New Roman" w:cs="Times New Roman"/>
          <w:color w:val="000000" w:themeColor="text1"/>
          <w:vertAlign w:val="superscript"/>
          <w:lang w:val="uk-UA"/>
        </w:rPr>
        <w:t>.70</w:t>
      </w:r>
    </w:p>
    <w:p w14:paraId="0B494E2D" w14:textId="77777777" w:rsidR="00BA5C0A" w:rsidRPr="00BA5C0A" w:rsidRDefault="00BA5C0A" w:rsidP="00BA5C0A">
      <w:pPr>
        <w:tabs>
          <w:tab w:val="left" w:pos="1089"/>
        </w:tabs>
        <w:jc w:val="both"/>
        <w:rPr>
          <w:rFonts w:ascii="Times New Roman" w:hAnsi="Times New Roman" w:cs="Times New Roman"/>
          <w:color w:val="000000" w:themeColor="text1"/>
          <w:lang w:val="uk-UA"/>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A5C0A" w:rsidRPr="0080595E" w14:paraId="2BBF49E6" w14:textId="77777777" w:rsidTr="00E7063E">
        <w:trPr>
          <w:trHeight w:val="1440"/>
        </w:trPr>
        <w:tc>
          <w:tcPr>
            <w:tcW w:w="9918" w:type="dxa"/>
            <w:shd w:val="clear" w:color="auto" w:fill="BDD6EE" w:themeFill="accent1" w:themeFillTint="66"/>
          </w:tcPr>
          <w:p w14:paraId="009718CA" w14:textId="723661BE" w:rsidR="00BA5C0A" w:rsidRPr="008A3473" w:rsidRDefault="00BA5C0A" w:rsidP="00BA5C0A">
            <w:pPr>
              <w:tabs>
                <w:tab w:val="left" w:pos="1089"/>
              </w:tabs>
              <w:jc w:val="both"/>
              <w:rPr>
                <w:rFonts w:ascii="Times New Roman" w:hAnsi="Times New Roman" w:cs="Times New Roman"/>
                <w:b/>
                <w:i/>
                <w:lang w:val="uk-UA"/>
              </w:rPr>
            </w:pPr>
            <w:bookmarkStart w:id="3" w:name="_Hlk5718047"/>
            <w:r w:rsidRPr="008A3473">
              <w:rPr>
                <w:rFonts w:ascii="Times New Roman" w:hAnsi="Times New Roman" w:cs="Times New Roman"/>
                <w:b/>
                <w:i/>
                <w:lang w:val="uk-UA"/>
              </w:rPr>
              <w:t>Генотип 3, пангенотип</w:t>
            </w:r>
            <w:r w:rsidR="008A3473">
              <w:rPr>
                <w:rFonts w:ascii="Times New Roman" w:hAnsi="Times New Roman" w:cs="Times New Roman"/>
                <w:b/>
                <w:i/>
                <w:lang w:val="uk-UA"/>
              </w:rPr>
              <w:t>на</w:t>
            </w:r>
            <w:r w:rsidRPr="008A3473">
              <w:rPr>
                <w:rFonts w:ascii="Times New Roman" w:hAnsi="Times New Roman" w:cs="Times New Roman"/>
                <w:b/>
                <w:i/>
                <w:lang w:val="uk-UA"/>
              </w:rPr>
              <w:t xml:space="preserve"> схема: </w:t>
            </w:r>
            <w:r w:rsidR="008A3473">
              <w:rPr>
                <w:rFonts w:ascii="Times New Roman" w:hAnsi="Times New Roman" w:cs="Times New Roman"/>
                <w:b/>
                <w:i/>
                <w:lang w:val="uk-UA"/>
              </w:rPr>
              <w:t>г</w:t>
            </w:r>
            <w:r w:rsidRPr="008A3473">
              <w:rPr>
                <w:rFonts w:ascii="Times New Roman" w:hAnsi="Times New Roman" w:cs="Times New Roman"/>
                <w:b/>
                <w:i/>
                <w:lang w:val="uk-UA"/>
              </w:rPr>
              <w:t>лекапневр/пібрентасвір</w:t>
            </w:r>
          </w:p>
          <w:p w14:paraId="3F9EA655" w14:textId="77777777" w:rsidR="00BA5C0A" w:rsidRPr="00BA5C0A" w:rsidRDefault="00BA5C0A" w:rsidP="00BA5C0A">
            <w:pPr>
              <w:tabs>
                <w:tab w:val="left" w:pos="1089"/>
              </w:tabs>
              <w:jc w:val="both"/>
              <w:rPr>
                <w:rFonts w:ascii="Times New Roman" w:hAnsi="Times New Roman" w:cs="Times New Roman"/>
                <w:color w:val="000000" w:themeColor="text1"/>
                <w:lang w:val="uk-UA"/>
              </w:rPr>
            </w:pPr>
          </w:p>
          <w:p w14:paraId="445FDBC4" w14:textId="5999E893" w:rsidR="00BA5C0A" w:rsidRPr="00BA5C0A" w:rsidRDefault="00BA5C0A" w:rsidP="00015E3B">
            <w:pPr>
              <w:numPr>
                <w:ilvl w:val="0"/>
                <w:numId w:val="22"/>
              </w:numPr>
              <w:tabs>
                <w:tab w:val="left" w:pos="1089"/>
              </w:tabs>
              <w:contextualSpacing/>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“Наївні” пацієнти, інфіковані </w:t>
            </w:r>
            <w:r w:rsidR="00E7063E">
              <w:rPr>
                <w:rFonts w:ascii="Times New Roman" w:hAnsi="Times New Roman" w:cs="Times New Roman"/>
                <w:color w:val="000000" w:themeColor="text1"/>
                <w:lang w:val="uk-UA"/>
              </w:rPr>
              <w:t>3 генотипом</w:t>
            </w:r>
            <w:r w:rsidRPr="00BA5C0A">
              <w:rPr>
                <w:rFonts w:ascii="Times New Roman" w:hAnsi="Times New Roman" w:cs="Times New Roman"/>
                <w:color w:val="000000" w:themeColor="text1"/>
                <w:lang w:val="uk-UA"/>
              </w:rPr>
              <w:t xml:space="preserve"> ВГС, з відсутнім або помірним фіброзом (оцінка METAVIR F0</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F2) повинні отримувати комбінацію  глікапревіру та пібрентасвіру протягом 8 тижнів (A1).</w:t>
            </w:r>
          </w:p>
          <w:p w14:paraId="2C7EC379" w14:textId="42EF5D5B" w:rsidR="00BA5C0A" w:rsidRPr="00BA5C0A" w:rsidRDefault="00BA5C0A" w:rsidP="00015E3B">
            <w:pPr>
              <w:numPr>
                <w:ilvl w:val="0"/>
                <w:numId w:val="22"/>
              </w:numPr>
              <w:tabs>
                <w:tab w:val="left" w:pos="1089"/>
              </w:tabs>
              <w:contextualSpacing/>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lastRenderedPageBreak/>
              <w:t xml:space="preserve">“Наївних” пацієнтів, інфікованих </w:t>
            </w:r>
            <w:r w:rsidR="00E7063E">
              <w:rPr>
                <w:rFonts w:ascii="Times New Roman" w:hAnsi="Times New Roman" w:cs="Times New Roman"/>
                <w:color w:val="000000" w:themeColor="text1"/>
                <w:lang w:val="uk-UA"/>
              </w:rPr>
              <w:t xml:space="preserve">3 генотипом </w:t>
            </w:r>
            <w:r w:rsidRPr="00BA5C0A">
              <w:rPr>
                <w:rFonts w:ascii="Times New Roman" w:hAnsi="Times New Roman" w:cs="Times New Roman"/>
                <w:color w:val="000000" w:themeColor="text1"/>
                <w:lang w:val="uk-UA"/>
              </w:rPr>
              <w:t>ВГС, з фіброзом (оцінка METAVIR F3), але без цирозу, можна лікувати комбінацією глікапревіру та пібрентасвіру у фіксованому дозуванні протягом 8 тижнів (В2).</w:t>
            </w:r>
          </w:p>
          <w:p w14:paraId="161DC78F" w14:textId="2A045919" w:rsidR="00BA5C0A" w:rsidRPr="00BA5C0A" w:rsidRDefault="008C74B8" w:rsidP="00015E3B">
            <w:pPr>
              <w:numPr>
                <w:ilvl w:val="0"/>
                <w:numId w:val="22"/>
              </w:numPr>
              <w:tabs>
                <w:tab w:val="left" w:pos="1089"/>
              </w:tabs>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П</w:t>
            </w:r>
            <w:r w:rsidR="00BA5C0A" w:rsidRPr="00BA5C0A">
              <w:rPr>
                <w:rFonts w:ascii="Times New Roman" w:hAnsi="Times New Roman" w:cs="Times New Roman"/>
                <w:color w:val="000000" w:themeColor="text1"/>
                <w:lang w:val="uk-UA"/>
              </w:rPr>
              <w:t>ацієнтів</w:t>
            </w:r>
            <w:r>
              <w:rPr>
                <w:rFonts w:ascii="Times New Roman" w:hAnsi="Times New Roman" w:cs="Times New Roman"/>
                <w:color w:val="000000" w:themeColor="text1"/>
                <w:lang w:val="uk-UA"/>
              </w:rPr>
              <w:t xml:space="preserve">  з досвідом лікування</w:t>
            </w:r>
            <w:r w:rsidR="00BA5C0A" w:rsidRPr="00BA5C0A">
              <w:rPr>
                <w:rFonts w:ascii="Times New Roman" w:hAnsi="Times New Roman" w:cs="Times New Roman"/>
                <w:color w:val="000000" w:themeColor="text1"/>
                <w:lang w:val="uk-UA"/>
              </w:rPr>
              <w:t xml:space="preserve">, інфікованих </w:t>
            </w:r>
            <w:r w:rsidR="00E7063E">
              <w:rPr>
                <w:rFonts w:ascii="Times New Roman" w:hAnsi="Times New Roman" w:cs="Times New Roman"/>
                <w:color w:val="000000" w:themeColor="text1"/>
                <w:lang w:val="uk-UA"/>
              </w:rPr>
              <w:t xml:space="preserve">3 генотипом </w:t>
            </w:r>
            <w:r w:rsidR="00BA5C0A" w:rsidRPr="00BA5C0A">
              <w:rPr>
                <w:rFonts w:ascii="Times New Roman" w:hAnsi="Times New Roman" w:cs="Times New Roman"/>
                <w:color w:val="000000" w:themeColor="text1"/>
                <w:lang w:val="uk-UA"/>
              </w:rPr>
              <w:t>ВГС без цирозу, слід лікувати комбінацією глікапревіру та пібрентасвіру у фіксованому дозуванні протягом 12 тижнів (В1).</w:t>
            </w:r>
          </w:p>
          <w:p w14:paraId="0F7D812F" w14:textId="388BA712" w:rsidR="00BA5C0A" w:rsidRPr="00BA5C0A" w:rsidRDefault="00BA5C0A" w:rsidP="00015E3B">
            <w:pPr>
              <w:numPr>
                <w:ilvl w:val="0"/>
                <w:numId w:val="22"/>
              </w:numPr>
              <w:tabs>
                <w:tab w:val="left" w:pos="1089"/>
              </w:tabs>
              <w:contextualSpacing/>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“Наївних” пацієнтів, інфікованих </w:t>
            </w:r>
            <w:r w:rsidR="00E7063E">
              <w:rPr>
                <w:rFonts w:ascii="Times New Roman" w:hAnsi="Times New Roman" w:cs="Times New Roman"/>
                <w:color w:val="000000" w:themeColor="text1"/>
                <w:lang w:val="uk-UA"/>
              </w:rPr>
              <w:t xml:space="preserve">3 генотипом </w:t>
            </w:r>
            <w:r w:rsidRPr="00BA5C0A">
              <w:rPr>
                <w:rFonts w:ascii="Times New Roman" w:hAnsi="Times New Roman" w:cs="Times New Roman"/>
                <w:color w:val="000000" w:themeColor="text1"/>
                <w:lang w:val="uk-UA"/>
              </w:rPr>
              <w:t>ВГС, з компенсованим (Child</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Pugh A) цирозом печінки, </w:t>
            </w:r>
            <w:r w:rsidR="00E7063E">
              <w:rPr>
                <w:rFonts w:ascii="Times New Roman" w:hAnsi="Times New Roman" w:cs="Times New Roman"/>
                <w:color w:val="000000" w:themeColor="text1"/>
                <w:lang w:val="uk-UA"/>
              </w:rPr>
              <w:t>слід лікувати</w:t>
            </w:r>
            <w:r w:rsidRPr="00BA5C0A">
              <w:rPr>
                <w:rFonts w:ascii="Times New Roman" w:hAnsi="Times New Roman" w:cs="Times New Roman"/>
                <w:color w:val="000000" w:themeColor="text1"/>
                <w:lang w:val="uk-UA"/>
              </w:rPr>
              <w:t xml:space="preserve"> комбінацією глікапревіру та пібрентасвіру у фіксованому дозуванні протягом 12 тижнів (B1).</w:t>
            </w:r>
          </w:p>
          <w:p w14:paraId="70DEBB2B" w14:textId="7B071E54" w:rsidR="00BA5C0A" w:rsidRPr="00E7063E" w:rsidRDefault="008C74B8" w:rsidP="00015E3B">
            <w:pPr>
              <w:numPr>
                <w:ilvl w:val="0"/>
                <w:numId w:val="22"/>
              </w:numPr>
              <w:tabs>
                <w:tab w:val="left" w:pos="1089"/>
              </w:tabs>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П</w:t>
            </w:r>
            <w:r w:rsidR="00BA5C0A" w:rsidRPr="00BA5C0A">
              <w:rPr>
                <w:rFonts w:ascii="Times New Roman" w:hAnsi="Times New Roman" w:cs="Times New Roman"/>
                <w:color w:val="000000" w:themeColor="text1"/>
                <w:lang w:val="uk-UA"/>
              </w:rPr>
              <w:t>ацієнтів</w:t>
            </w:r>
            <w:r>
              <w:rPr>
                <w:rFonts w:ascii="Times New Roman" w:hAnsi="Times New Roman" w:cs="Times New Roman"/>
                <w:color w:val="000000" w:themeColor="text1"/>
                <w:lang w:val="uk-UA"/>
              </w:rPr>
              <w:t xml:space="preserve">  з досвідом лікування</w:t>
            </w:r>
            <w:r w:rsidR="00BA5C0A" w:rsidRPr="00BA5C0A">
              <w:rPr>
                <w:rFonts w:ascii="Times New Roman" w:hAnsi="Times New Roman" w:cs="Times New Roman"/>
                <w:color w:val="000000" w:themeColor="text1"/>
                <w:lang w:val="uk-UA"/>
              </w:rPr>
              <w:t xml:space="preserve">, інфікованих </w:t>
            </w:r>
            <w:r w:rsidR="00E7063E">
              <w:rPr>
                <w:rFonts w:ascii="Times New Roman" w:hAnsi="Times New Roman" w:cs="Times New Roman"/>
                <w:color w:val="000000" w:themeColor="text1"/>
                <w:lang w:val="uk-UA"/>
              </w:rPr>
              <w:t xml:space="preserve">3 генотипом </w:t>
            </w:r>
            <w:r w:rsidR="00BA5C0A" w:rsidRPr="00BA5C0A">
              <w:rPr>
                <w:rFonts w:ascii="Times New Roman" w:hAnsi="Times New Roman" w:cs="Times New Roman"/>
                <w:color w:val="000000" w:themeColor="text1"/>
                <w:lang w:val="uk-UA"/>
              </w:rPr>
              <w:t>ВГС з компенсованим (Child</w:t>
            </w:r>
            <w:r w:rsidR="00FC6D8A">
              <w:rPr>
                <w:rFonts w:ascii="Times New Roman" w:hAnsi="Times New Roman" w:cs="Times New Roman"/>
                <w:color w:val="000000" w:themeColor="text1"/>
                <w:lang w:val="uk-UA"/>
              </w:rPr>
              <w:t>–</w:t>
            </w:r>
            <w:r w:rsidR="00BA5C0A" w:rsidRPr="00BA5C0A">
              <w:rPr>
                <w:rFonts w:ascii="Times New Roman" w:hAnsi="Times New Roman" w:cs="Times New Roman"/>
                <w:color w:val="000000" w:themeColor="text1"/>
                <w:lang w:val="uk-UA"/>
              </w:rPr>
              <w:t>Pugh A) цирозом печінки, слід лікувати комбінацією глікапревіру та пібрентасвіру у фіксованому дозуванні протягом 16 тижнів (B1).</w:t>
            </w:r>
          </w:p>
        </w:tc>
      </w:tr>
      <w:bookmarkEnd w:id="3"/>
    </w:tbl>
    <w:p w14:paraId="6482B7F9" w14:textId="77777777" w:rsidR="00BA5C0A" w:rsidRPr="00BA5C0A" w:rsidRDefault="00BA5C0A" w:rsidP="00BA5C0A">
      <w:pPr>
        <w:tabs>
          <w:tab w:val="left" w:pos="1089"/>
        </w:tabs>
        <w:jc w:val="both"/>
        <w:rPr>
          <w:rFonts w:ascii="Times New Roman" w:hAnsi="Times New Roman" w:cs="Times New Roman"/>
          <w:color w:val="000000" w:themeColor="text1"/>
          <w:lang w:val="uk-UA"/>
        </w:rPr>
      </w:pPr>
    </w:p>
    <w:p w14:paraId="4B3697B5" w14:textId="787D905D" w:rsidR="00BA5C0A" w:rsidRPr="00BA5C0A" w:rsidRDefault="00BA5C0A" w:rsidP="00BA5C0A">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Коментарі: Ця рекомендація базується на результатах фази III дослідження ENDURANCE</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3, в якому було досягнуто частоту СВВ12 у 95%</w:t>
      </w:r>
      <w:r w:rsidR="00C22F34">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 xml:space="preserve">(149/157; 5 рецидивів, один вірусологічний прорив) </w:t>
      </w:r>
      <w:r w:rsidR="00652F9A" w:rsidRPr="00652F9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наївних</w:t>
      </w:r>
      <w:r w:rsidR="00652F9A" w:rsidRPr="00652F9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 пацієнтів, які не мали цирозу, інфікованих </w:t>
      </w:r>
      <w:r w:rsidR="00C22F34">
        <w:rPr>
          <w:rFonts w:ascii="Times New Roman" w:hAnsi="Times New Roman" w:cs="Times New Roman"/>
          <w:color w:val="000000" w:themeColor="text1"/>
          <w:lang w:val="uk-UA"/>
        </w:rPr>
        <w:t xml:space="preserve">3 генотипом </w:t>
      </w:r>
      <w:r w:rsidRPr="00BA5C0A">
        <w:rPr>
          <w:rFonts w:ascii="Times New Roman" w:hAnsi="Times New Roman" w:cs="Times New Roman"/>
          <w:color w:val="000000" w:themeColor="text1"/>
          <w:lang w:val="uk-UA"/>
        </w:rPr>
        <w:t xml:space="preserve">ВГС, які отримували  комбінацію з фіксованою дозою глікапревіру та пібрентасвіру протягом 8 тижнів. Проте лише 17% пацієнтів у цьому дослідженні мали </w:t>
      </w:r>
      <w:r w:rsidR="00C22F34">
        <w:rPr>
          <w:rFonts w:ascii="Times New Roman" w:hAnsi="Times New Roman" w:cs="Times New Roman"/>
          <w:color w:val="000000" w:themeColor="text1"/>
          <w:lang w:val="uk-UA"/>
        </w:rPr>
        <w:t>вир</w:t>
      </w:r>
      <w:r w:rsidR="0029510A">
        <w:rPr>
          <w:rFonts w:ascii="Times New Roman" w:hAnsi="Times New Roman" w:cs="Times New Roman"/>
          <w:color w:val="000000" w:themeColor="text1"/>
          <w:lang w:val="uk-UA"/>
        </w:rPr>
        <w:t>а</w:t>
      </w:r>
      <w:r w:rsidR="00C22F34">
        <w:rPr>
          <w:rFonts w:ascii="Times New Roman" w:hAnsi="Times New Roman" w:cs="Times New Roman"/>
          <w:color w:val="000000" w:themeColor="text1"/>
          <w:lang w:val="uk-UA"/>
        </w:rPr>
        <w:t xml:space="preserve">жений </w:t>
      </w:r>
      <w:r w:rsidRPr="00BA5C0A">
        <w:rPr>
          <w:rFonts w:ascii="Times New Roman" w:hAnsi="Times New Roman" w:cs="Times New Roman"/>
          <w:color w:val="000000" w:themeColor="text1"/>
          <w:lang w:val="uk-UA"/>
        </w:rPr>
        <w:t>фіброз (оцінка METAVIR F3), решта 83% мали легкий або помірний фіброз (F0</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F2).</w:t>
      </w:r>
      <w:r w:rsidRPr="00BA5C0A">
        <w:rPr>
          <w:rFonts w:ascii="Times New Roman" w:hAnsi="Times New Roman" w:cs="Times New Roman"/>
          <w:color w:val="000000" w:themeColor="text1"/>
          <w:vertAlign w:val="superscript"/>
          <w:lang w:val="uk-UA"/>
        </w:rPr>
        <w:t>102</w:t>
      </w:r>
      <w:r w:rsidRPr="00BA5C0A">
        <w:rPr>
          <w:rFonts w:ascii="Times New Roman" w:hAnsi="Times New Roman" w:cs="Times New Roman"/>
          <w:color w:val="000000" w:themeColor="text1"/>
          <w:lang w:val="uk-UA"/>
        </w:rPr>
        <w:t xml:space="preserve"> Отже, необхідна більша кількість даних для посилення рекомендаці</w:t>
      </w:r>
      <w:r w:rsidR="004B557D">
        <w:rPr>
          <w:rFonts w:ascii="Times New Roman" w:hAnsi="Times New Roman" w:cs="Times New Roman"/>
          <w:color w:val="000000" w:themeColor="text1"/>
          <w:lang w:val="uk-UA"/>
        </w:rPr>
        <w:t>й</w:t>
      </w:r>
      <w:r w:rsidRPr="00BA5C0A">
        <w:rPr>
          <w:rFonts w:ascii="Times New Roman" w:hAnsi="Times New Roman" w:cs="Times New Roman"/>
          <w:color w:val="000000" w:themeColor="text1"/>
          <w:lang w:val="uk-UA"/>
        </w:rPr>
        <w:t xml:space="preserve"> щодо 8</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тижневого режиму</w:t>
      </w:r>
      <w:r w:rsidR="00C22F34">
        <w:rPr>
          <w:rFonts w:ascii="Times New Roman" w:hAnsi="Times New Roman" w:cs="Times New Roman"/>
          <w:color w:val="000000" w:themeColor="text1"/>
          <w:lang w:val="uk-UA"/>
        </w:rPr>
        <w:t xml:space="preserve"> використання</w:t>
      </w:r>
      <w:r w:rsidRPr="00BA5C0A">
        <w:rPr>
          <w:rFonts w:ascii="Times New Roman" w:hAnsi="Times New Roman" w:cs="Times New Roman"/>
          <w:color w:val="000000" w:themeColor="text1"/>
          <w:lang w:val="uk-UA"/>
        </w:rPr>
        <w:t xml:space="preserve"> глікапревіру та пібрентасвіру як ідеальної тривалості лікування у </w:t>
      </w:r>
      <w:r w:rsidR="00652F9A" w:rsidRPr="00652F9A">
        <w:rPr>
          <w:rFonts w:ascii="Times New Roman" w:hAnsi="Times New Roman" w:cs="Times New Roman"/>
          <w:color w:val="000000" w:themeColor="text1"/>
          <w:lang w:val="uk-UA"/>
        </w:rPr>
        <w:t>“</w:t>
      </w:r>
      <w:r w:rsidR="00652F9A" w:rsidRPr="00BA5C0A">
        <w:rPr>
          <w:rFonts w:ascii="Times New Roman" w:hAnsi="Times New Roman" w:cs="Times New Roman"/>
          <w:color w:val="000000" w:themeColor="text1"/>
          <w:lang w:val="uk-UA"/>
        </w:rPr>
        <w:t>наївних</w:t>
      </w:r>
      <w:r w:rsidR="00652F9A" w:rsidRPr="00652F9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 пацієнтів з </w:t>
      </w:r>
      <w:r w:rsidR="00C22F34">
        <w:rPr>
          <w:rFonts w:ascii="Times New Roman" w:hAnsi="Times New Roman" w:cs="Times New Roman"/>
          <w:color w:val="000000" w:themeColor="text1"/>
          <w:lang w:val="uk-UA"/>
        </w:rPr>
        <w:t xml:space="preserve">вираженим </w:t>
      </w:r>
      <w:r w:rsidRPr="00BA5C0A">
        <w:rPr>
          <w:rFonts w:ascii="Times New Roman" w:hAnsi="Times New Roman" w:cs="Times New Roman"/>
          <w:color w:val="000000" w:themeColor="text1"/>
          <w:lang w:val="uk-UA"/>
        </w:rPr>
        <w:t>(F3) фіброзом. У дослідженні EXPEDITION</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2 частота СВВ12 становила 100% (22/22) після 8 тижнів </w:t>
      </w:r>
      <w:r w:rsidR="00C22F34">
        <w:rPr>
          <w:rFonts w:ascii="Times New Roman" w:hAnsi="Times New Roman" w:cs="Times New Roman"/>
          <w:color w:val="000000" w:themeColor="text1"/>
          <w:lang w:val="uk-UA"/>
        </w:rPr>
        <w:t xml:space="preserve">використання </w:t>
      </w:r>
      <w:r w:rsidRPr="00BA5C0A">
        <w:rPr>
          <w:rFonts w:ascii="Times New Roman" w:hAnsi="Times New Roman" w:cs="Times New Roman"/>
          <w:color w:val="000000" w:themeColor="text1"/>
          <w:lang w:val="uk-UA"/>
        </w:rPr>
        <w:t xml:space="preserve">глікапревіру/пібрентасвіру у пацієнтів з генотипом 3, </w:t>
      </w:r>
      <w:r w:rsidR="00525692">
        <w:rPr>
          <w:rFonts w:ascii="Times New Roman" w:hAnsi="Times New Roman" w:cs="Times New Roman"/>
          <w:color w:val="000000" w:themeColor="text1"/>
          <w:lang w:val="uk-UA"/>
        </w:rPr>
        <w:t xml:space="preserve">з коінфекцією ВІЛ/ВГС </w:t>
      </w:r>
      <w:r w:rsidRPr="00BA5C0A">
        <w:rPr>
          <w:rFonts w:ascii="Times New Roman" w:hAnsi="Times New Roman" w:cs="Times New Roman"/>
          <w:color w:val="000000" w:themeColor="text1"/>
          <w:lang w:val="uk-UA"/>
        </w:rPr>
        <w:t>без цирозу.</w:t>
      </w:r>
      <w:r w:rsidRPr="00BA5C0A">
        <w:rPr>
          <w:rFonts w:ascii="Times New Roman" w:hAnsi="Times New Roman" w:cs="Times New Roman"/>
          <w:color w:val="000000" w:themeColor="text1"/>
          <w:vertAlign w:val="superscript"/>
          <w:lang w:val="uk-UA"/>
        </w:rPr>
        <w:t>101</w:t>
      </w:r>
      <w:r w:rsidRPr="00BA5C0A">
        <w:rPr>
          <w:rFonts w:ascii="Times New Roman" w:hAnsi="Times New Roman" w:cs="Times New Roman"/>
          <w:color w:val="000000" w:themeColor="text1"/>
          <w:lang w:val="uk-UA"/>
        </w:rPr>
        <w:t xml:space="preserve"> Інтегрований аналіз досліджень фази II та III у пацієнтів, інфікованих генотипом 3, показав, що після 8 тижнів </w:t>
      </w:r>
      <w:r w:rsidR="00CE3357">
        <w:rPr>
          <w:rFonts w:ascii="Times New Roman" w:hAnsi="Times New Roman" w:cs="Times New Roman"/>
          <w:color w:val="000000" w:themeColor="text1"/>
          <w:lang w:val="uk-UA"/>
        </w:rPr>
        <w:t xml:space="preserve">використання </w:t>
      </w:r>
      <w:r w:rsidRPr="00BA5C0A">
        <w:rPr>
          <w:rFonts w:ascii="Times New Roman" w:hAnsi="Times New Roman" w:cs="Times New Roman"/>
          <w:color w:val="000000" w:themeColor="text1"/>
          <w:lang w:val="uk-UA"/>
        </w:rPr>
        <w:t xml:space="preserve">глікапревіру/пібрентасвіру рівень часоти </w:t>
      </w:r>
      <w:r w:rsidR="00CE3357">
        <w:rPr>
          <w:rFonts w:ascii="Times New Roman" w:hAnsi="Times New Roman" w:cs="Times New Roman"/>
          <w:color w:val="000000" w:themeColor="text1"/>
          <w:lang w:val="uk-UA"/>
        </w:rPr>
        <w:t xml:space="preserve">досягнення </w:t>
      </w:r>
      <w:r w:rsidRPr="00BA5C0A">
        <w:rPr>
          <w:rFonts w:ascii="Times New Roman" w:hAnsi="Times New Roman" w:cs="Times New Roman"/>
          <w:color w:val="000000" w:themeColor="text1"/>
          <w:lang w:val="uk-UA"/>
        </w:rPr>
        <w:t xml:space="preserve">СВВ склав 95% (198/208; 6 вірусологічних невдач) у </w:t>
      </w:r>
      <w:r w:rsidR="00652F9A" w:rsidRPr="00652F9A">
        <w:rPr>
          <w:rFonts w:ascii="Times New Roman" w:hAnsi="Times New Roman" w:cs="Times New Roman"/>
          <w:color w:val="000000" w:themeColor="text1"/>
          <w:lang w:val="uk-UA"/>
        </w:rPr>
        <w:t>“</w:t>
      </w:r>
      <w:r w:rsidR="00652F9A" w:rsidRPr="00BA5C0A">
        <w:rPr>
          <w:rFonts w:ascii="Times New Roman" w:hAnsi="Times New Roman" w:cs="Times New Roman"/>
          <w:color w:val="000000" w:themeColor="text1"/>
          <w:lang w:val="uk-UA"/>
        </w:rPr>
        <w:t>наївних</w:t>
      </w:r>
      <w:r w:rsidR="00652F9A" w:rsidRPr="00652F9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 пацієнтів, інфікованими генотипом 3 без цирозу.</w:t>
      </w:r>
      <w:r w:rsidRPr="00BA5C0A">
        <w:rPr>
          <w:rFonts w:ascii="Times New Roman" w:hAnsi="Times New Roman" w:cs="Times New Roman"/>
          <w:color w:val="000000" w:themeColor="text1"/>
          <w:vertAlign w:val="superscript"/>
          <w:lang w:val="uk-UA"/>
        </w:rPr>
        <w:t>103</w:t>
      </w:r>
    </w:p>
    <w:p w14:paraId="0866DC64" w14:textId="77777777" w:rsidR="00BA5C0A" w:rsidRPr="00BA5C0A" w:rsidRDefault="00BA5C0A" w:rsidP="00BA5C0A">
      <w:pPr>
        <w:tabs>
          <w:tab w:val="left" w:pos="1089"/>
        </w:tabs>
        <w:jc w:val="both"/>
        <w:rPr>
          <w:rFonts w:ascii="Times New Roman" w:hAnsi="Times New Roman" w:cs="Times New Roman"/>
          <w:color w:val="000000" w:themeColor="text1"/>
          <w:lang w:val="uk-UA"/>
        </w:rPr>
      </w:pPr>
    </w:p>
    <w:p w14:paraId="6D218F70" w14:textId="4FC3AAAD" w:rsidR="00BA5C0A" w:rsidRPr="00BA5C0A" w:rsidRDefault="00BA5C0A" w:rsidP="00BA5C0A">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У цьому ж інтегрованому аналізі фаз II та III досліджень, частота СВВ12 після 12 тижнів </w:t>
      </w:r>
      <w:r w:rsidR="008F37FE">
        <w:rPr>
          <w:rFonts w:ascii="Times New Roman" w:hAnsi="Times New Roman" w:cs="Times New Roman"/>
          <w:color w:val="000000" w:themeColor="text1"/>
          <w:lang w:val="uk-UA"/>
        </w:rPr>
        <w:t xml:space="preserve">використання </w:t>
      </w:r>
      <w:r w:rsidRPr="00BA5C0A">
        <w:rPr>
          <w:rFonts w:ascii="Times New Roman" w:hAnsi="Times New Roman" w:cs="Times New Roman"/>
          <w:color w:val="000000" w:themeColor="text1"/>
          <w:lang w:val="uk-UA"/>
        </w:rPr>
        <w:t xml:space="preserve">глікапревіру/пібрентасвіру у </w:t>
      </w:r>
      <w:r w:rsidR="00652F9A" w:rsidRPr="00652F9A">
        <w:rPr>
          <w:rFonts w:ascii="Times New Roman" w:hAnsi="Times New Roman" w:cs="Times New Roman"/>
          <w:color w:val="000000" w:themeColor="text1"/>
          <w:lang w:val="uk-UA"/>
        </w:rPr>
        <w:t>“</w:t>
      </w:r>
      <w:r w:rsidR="00652F9A" w:rsidRPr="00BA5C0A">
        <w:rPr>
          <w:rFonts w:ascii="Times New Roman" w:hAnsi="Times New Roman" w:cs="Times New Roman"/>
          <w:color w:val="000000" w:themeColor="text1"/>
          <w:lang w:val="uk-UA"/>
        </w:rPr>
        <w:t>наївних</w:t>
      </w:r>
      <w:r w:rsidR="00652F9A" w:rsidRPr="00652F9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 пацієнтів з цирозом, інфікованих генотипом 3, становила 97% (67/69; один вірусологічний прорив).</w:t>
      </w:r>
      <w:r w:rsidRPr="00BA5C0A">
        <w:rPr>
          <w:rFonts w:ascii="Times New Roman" w:hAnsi="Times New Roman" w:cs="Times New Roman"/>
          <w:color w:val="000000" w:themeColor="text1"/>
          <w:vertAlign w:val="superscript"/>
          <w:lang w:val="uk-UA"/>
        </w:rPr>
        <w:t>103</w:t>
      </w:r>
      <w:r w:rsidR="00416F36">
        <w:rPr>
          <w:rFonts w:ascii="Times New Roman" w:hAnsi="Times New Roman" w:cs="Times New Roman"/>
          <w:color w:val="000000" w:themeColor="text1"/>
          <w:lang w:val="uk-UA"/>
        </w:rPr>
        <w:t xml:space="preserve"> У</w:t>
      </w:r>
      <w:r w:rsidRPr="00BA5C0A">
        <w:rPr>
          <w:rFonts w:ascii="Times New Roman" w:hAnsi="Times New Roman" w:cs="Times New Roman"/>
          <w:color w:val="000000" w:themeColor="text1"/>
          <w:lang w:val="uk-UA"/>
        </w:rPr>
        <w:t>дослідженні SURVEYOR</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2 частота СВВ12 становила 91% (20/22; 2 рецидиву) і 95% (21/22; 1 рецидив) у пацієнтів</w:t>
      </w:r>
      <w:r w:rsidR="008C74B8">
        <w:rPr>
          <w:rFonts w:ascii="Times New Roman" w:hAnsi="Times New Roman" w:cs="Times New Roman"/>
          <w:color w:val="000000" w:themeColor="text1"/>
          <w:lang w:val="uk-UA"/>
        </w:rPr>
        <w:t xml:space="preserve"> з досвідом лікування</w:t>
      </w:r>
      <w:r w:rsidRPr="00BA5C0A">
        <w:rPr>
          <w:rFonts w:ascii="Times New Roman" w:hAnsi="Times New Roman" w:cs="Times New Roman"/>
          <w:color w:val="000000" w:themeColor="text1"/>
          <w:lang w:val="uk-UA"/>
        </w:rPr>
        <w:t>,</w:t>
      </w:r>
      <w:r w:rsidR="00416F36">
        <w:rPr>
          <w:rFonts w:ascii="Times New Roman" w:hAnsi="Times New Roman" w:cs="Times New Roman"/>
          <w:color w:val="000000" w:themeColor="text1"/>
          <w:lang w:val="uk-UA"/>
        </w:rPr>
        <w:t xml:space="preserve"> які не мали цирозу та</w:t>
      </w:r>
      <w:r w:rsidRPr="00BA5C0A">
        <w:rPr>
          <w:rFonts w:ascii="Times New Roman" w:hAnsi="Times New Roman" w:cs="Times New Roman"/>
          <w:color w:val="000000" w:themeColor="text1"/>
          <w:lang w:val="uk-UA"/>
        </w:rPr>
        <w:t xml:space="preserve"> приймали </w:t>
      </w:r>
      <w:r w:rsidR="00416F36">
        <w:rPr>
          <w:rFonts w:ascii="Times New Roman" w:hAnsi="Times New Roman" w:cs="Times New Roman"/>
          <w:color w:val="000000" w:themeColor="text1"/>
          <w:lang w:val="uk-UA"/>
        </w:rPr>
        <w:t>лікування</w:t>
      </w:r>
      <w:r w:rsidRPr="00BA5C0A">
        <w:rPr>
          <w:rFonts w:ascii="Times New Roman" w:hAnsi="Times New Roman" w:cs="Times New Roman"/>
          <w:color w:val="000000" w:themeColor="text1"/>
          <w:lang w:val="uk-UA"/>
        </w:rPr>
        <w:t xml:space="preserve"> 12 або 16 тижнів відповідно; 98% (39/40; без випадків відсутності вірусологічної відповіді) серед </w:t>
      </w:r>
      <w:r w:rsidR="00652F9A" w:rsidRPr="00652F9A">
        <w:rPr>
          <w:rFonts w:ascii="Times New Roman" w:hAnsi="Times New Roman" w:cs="Times New Roman"/>
          <w:color w:val="000000" w:themeColor="text1"/>
          <w:lang w:val="uk-UA"/>
        </w:rPr>
        <w:t>“</w:t>
      </w:r>
      <w:r w:rsidR="00652F9A" w:rsidRPr="00BA5C0A">
        <w:rPr>
          <w:rFonts w:ascii="Times New Roman" w:hAnsi="Times New Roman" w:cs="Times New Roman"/>
          <w:color w:val="000000" w:themeColor="text1"/>
          <w:lang w:val="uk-UA"/>
        </w:rPr>
        <w:t>наївних</w:t>
      </w:r>
      <w:r w:rsidR="00652F9A" w:rsidRPr="00652F9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 пацієнтів з цирозом, які лікувалися протягом 12 тижнів, і 96% (45/47; 2 вірусологічні невдачі) у пацієнтів</w:t>
      </w:r>
      <w:r w:rsidR="008C74B8">
        <w:rPr>
          <w:rFonts w:ascii="Times New Roman" w:hAnsi="Times New Roman" w:cs="Times New Roman"/>
          <w:color w:val="000000" w:themeColor="text1"/>
          <w:lang w:val="uk-UA"/>
        </w:rPr>
        <w:t xml:space="preserve"> з досвідом лікування</w:t>
      </w:r>
      <w:r w:rsidRPr="00BA5C0A">
        <w:rPr>
          <w:rFonts w:ascii="Times New Roman" w:hAnsi="Times New Roman" w:cs="Times New Roman"/>
          <w:color w:val="000000" w:themeColor="text1"/>
          <w:lang w:val="uk-UA"/>
        </w:rPr>
        <w:t xml:space="preserve">, з цирозом, що проходили лікування протягом 16 тижнів. </w:t>
      </w:r>
      <w:r w:rsidRPr="00BA5C0A">
        <w:rPr>
          <w:rFonts w:ascii="Times New Roman" w:hAnsi="Times New Roman" w:cs="Times New Roman"/>
          <w:color w:val="000000" w:themeColor="text1"/>
          <w:vertAlign w:val="superscript"/>
          <w:lang w:val="uk-UA"/>
        </w:rPr>
        <w:t>104</w:t>
      </w:r>
      <w:r w:rsidRPr="00BA5C0A">
        <w:rPr>
          <w:rFonts w:ascii="Times New Roman" w:hAnsi="Times New Roman" w:cs="Times New Roman"/>
          <w:color w:val="000000" w:themeColor="text1"/>
          <w:lang w:val="uk-UA"/>
        </w:rPr>
        <w:t xml:space="preserve"> Об’єднаний аналіз клінічних випробувань фази II та III </w:t>
      </w:r>
      <w:r w:rsidR="008F37FE">
        <w:rPr>
          <w:rFonts w:ascii="Times New Roman" w:hAnsi="Times New Roman" w:cs="Times New Roman"/>
          <w:color w:val="000000" w:themeColor="text1"/>
          <w:lang w:val="uk-UA"/>
        </w:rPr>
        <w:t xml:space="preserve">серед </w:t>
      </w:r>
      <w:r w:rsidRPr="00BA5C0A">
        <w:rPr>
          <w:rFonts w:ascii="Times New Roman" w:hAnsi="Times New Roman" w:cs="Times New Roman"/>
          <w:color w:val="000000" w:themeColor="text1"/>
          <w:lang w:val="uk-UA"/>
        </w:rPr>
        <w:t>пацієнтів інфікованих ге</w:t>
      </w:r>
      <w:r w:rsidR="00416F36">
        <w:rPr>
          <w:rFonts w:ascii="Times New Roman" w:hAnsi="Times New Roman" w:cs="Times New Roman"/>
          <w:color w:val="000000" w:themeColor="text1"/>
          <w:lang w:val="uk-UA"/>
        </w:rPr>
        <w:t>нотипом 3, показав, що показник</w:t>
      </w:r>
      <w:r w:rsidRPr="00BA5C0A">
        <w:rPr>
          <w:rFonts w:ascii="Times New Roman" w:hAnsi="Times New Roman" w:cs="Times New Roman"/>
          <w:color w:val="000000" w:themeColor="text1"/>
          <w:lang w:val="uk-UA"/>
        </w:rPr>
        <w:t xml:space="preserve"> частоти </w:t>
      </w:r>
      <w:r w:rsidR="008F37FE">
        <w:rPr>
          <w:rFonts w:ascii="Times New Roman" w:hAnsi="Times New Roman" w:cs="Times New Roman"/>
          <w:color w:val="000000" w:themeColor="text1"/>
          <w:lang w:val="uk-UA"/>
        </w:rPr>
        <w:t>досягнення</w:t>
      </w:r>
      <w:r w:rsidR="008F37FE" w:rsidRPr="00BA5C0A">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 xml:space="preserve">СВВ12 склав 96% (258/270) у </w:t>
      </w:r>
      <w:r w:rsidR="00416F36">
        <w:rPr>
          <w:rFonts w:ascii="Times New Roman" w:hAnsi="Times New Roman" w:cs="Times New Roman"/>
          <w:color w:val="000000" w:themeColor="text1"/>
          <w:lang w:val="it-IT"/>
        </w:rPr>
        <w:t>“</w:t>
      </w:r>
      <w:r w:rsidRPr="00BA5C0A">
        <w:rPr>
          <w:rFonts w:ascii="Times New Roman" w:hAnsi="Times New Roman" w:cs="Times New Roman"/>
          <w:color w:val="000000" w:themeColor="text1"/>
          <w:lang w:val="uk-UA"/>
        </w:rPr>
        <w:t>наївних</w:t>
      </w:r>
      <w:r w:rsidR="00416F36">
        <w:rPr>
          <w:rFonts w:ascii="Times New Roman" w:hAnsi="Times New Roman" w:cs="Times New Roman"/>
          <w:color w:val="000000" w:themeColor="text1"/>
          <w:lang w:val="it-IT"/>
        </w:rPr>
        <w:t>”</w:t>
      </w:r>
      <w:r w:rsidRPr="00BA5C0A">
        <w:rPr>
          <w:rFonts w:ascii="Times New Roman" w:hAnsi="Times New Roman" w:cs="Times New Roman"/>
          <w:color w:val="000000" w:themeColor="text1"/>
          <w:lang w:val="uk-UA"/>
        </w:rPr>
        <w:t xml:space="preserve"> пацієнтів, які не мають цирозу, які проходили лікування протягом 12 тижнів, 90% (44/49) у пацієнтів</w:t>
      </w:r>
      <w:r w:rsidR="008C74B8">
        <w:rPr>
          <w:rFonts w:ascii="Times New Roman" w:hAnsi="Times New Roman" w:cs="Times New Roman"/>
          <w:color w:val="000000" w:themeColor="text1"/>
          <w:lang w:val="uk-UA"/>
        </w:rPr>
        <w:t xml:space="preserve"> з досвідом лікування</w:t>
      </w:r>
      <w:r w:rsidRPr="00BA5C0A">
        <w:rPr>
          <w:rFonts w:ascii="Times New Roman" w:hAnsi="Times New Roman" w:cs="Times New Roman"/>
          <w:color w:val="000000" w:themeColor="text1"/>
          <w:lang w:val="uk-UA"/>
        </w:rPr>
        <w:t xml:space="preserve"> без цирозу, які лікувалися протягом 12 тижнів, 96% (21/22) у пацієнтів</w:t>
      </w:r>
      <w:r w:rsidR="008C74B8">
        <w:rPr>
          <w:rFonts w:ascii="Times New Roman" w:hAnsi="Times New Roman" w:cs="Times New Roman"/>
          <w:color w:val="000000" w:themeColor="text1"/>
          <w:lang w:val="uk-UA"/>
        </w:rPr>
        <w:t xml:space="preserve"> з досвідом лікування</w:t>
      </w:r>
      <w:r w:rsidRPr="00BA5C0A">
        <w:rPr>
          <w:rFonts w:ascii="Times New Roman" w:hAnsi="Times New Roman" w:cs="Times New Roman"/>
          <w:color w:val="000000" w:themeColor="text1"/>
          <w:lang w:val="uk-UA"/>
        </w:rPr>
        <w:t xml:space="preserve"> без цирозу, які отримували лікування протягом 16 тижнів, та 99% (64/65) у </w:t>
      </w:r>
      <w:r w:rsidR="00652F9A" w:rsidRPr="00652F9A">
        <w:rPr>
          <w:rFonts w:ascii="Times New Roman" w:hAnsi="Times New Roman" w:cs="Times New Roman"/>
          <w:color w:val="000000" w:themeColor="text1"/>
          <w:lang w:val="uk-UA"/>
        </w:rPr>
        <w:t>“</w:t>
      </w:r>
      <w:r w:rsidR="00652F9A" w:rsidRPr="00BA5C0A">
        <w:rPr>
          <w:rFonts w:ascii="Times New Roman" w:hAnsi="Times New Roman" w:cs="Times New Roman"/>
          <w:color w:val="000000" w:themeColor="text1"/>
          <w:lang w:val="uk-UA"/>
        </w:rPr>
        <w:t>наївних</w:t>
      </w:r>
      <w:r w:rsidR="00652F9A" w:rsidRPr="00652F9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 пацієн</w:t>
      </w:r>
      <w:r w:rsidR="00416F36">
        <w:rPr>
          <w:rFonts w:ascii="Times New Roman" w:hAnsi="Times New Roman" w:cs="Times New Roman"/>
          <w:color w:val="000000" w:themeColor="text1"/>
          <w:lang w:val="uk-UA"/>
        </w:rPr>
        <w:t>тів, з компенсованим цирозом, які</w:t>
      </w:r>
      <w:r w:rsidRPr="00BA5C0A">
        <w:rPr>
          <w:rFonts w:ascii="Times New Roman" w:hAnsi="Times New Roman" w:cs="Times New Roman"/>
          <w:color w:val="000000" w:themeColor="text1"/>
          <w:lang w:val="uk-UA"/>
        </w:rPr>
        <w:t xml:space="preserve"> отримували</w:t>
      </w:r>
      <w:r w:rsidR="008F37FE">
        <w:rPr>
          <w:rFonts w:ascii="Times New Roman" w:hAnsi="Times New Roman" w:cs="Times New Roman"/>
          <w:color w:val="000000" w:themeColor="text1"/>
          <w:lang w:val="uk-UA"/>
        </w:rPr>
        <w:t xml:space="preserve"> лікування</w:t>
      </w:r>
      <w:r w:rsidRPr="00BA5C0A">
        <w:rPr>
          <w:rFonts w:ascii="Times New Roman" w:hAnsi="Times New Roman" w:cs="Times New Roman"/>
          <w:color w:val="000000" w:themeColor="text1"/>
          <w:lang w:val="uk-UA"/>
        </w:rPr>
        <w:t xml:space="preserve"> протягом 12 тижнів та 94% (48/51) у пацієнтів</w:t>
      </w:r>
      <w:r w:rsidR="008C74B8">
        <w:rPr>
          <w:rFonts w:ascii="Times New Roman" w:hAnsi="Times New Roman" w:cs="Times New Roman"/>
          <w:color w:val="000000" w:themeColor="text1"/>
          <w:lang w:val="uk-UA"/>
        </w:rPr>
        <w:t xml:space="preserve"> з досвідом лікування</w:t>
      </w:r>
      <w:r w:rsidRPr="00BA5C0A">
        <w:rPr>
          <w:rFonts w:ascii="Times New Roman" w:hAnsi="Times New Roman" w:cs="Times New Roman"/>
          <w:color w:val="000000" w:themeColor="text1"/>
          <w:lang w:val="uk-UA"/>
        </w:rPr>
        <w:t xml:space="preserve"> із компенсованим цирозом, що пройшли лікування, протягом 16 тижнів.</w:t>
      </w:r>
      <w:r w:rsidRPr="00BA5C0A">
        <w:rPr>
          <w:rFonts w:ascii="Times New Roman" w:hAnsi="Times New Roman" w:cs="Times New Roman"/>
          <w:color w:val="000000" w:themeColor="text1"/>
          <w:vertAlign w:val="superscript"/>
          <w:lang w:val="uk-UA"/>
        </w:rPr>
        <w:t>105</w:t>
      </w:r>
      <w:r w:rsidR="00416F36">
        <w:rPr>
          <w:rFonts w:ascii="Times New Roman" w:hAnsi="Times New Roman" w:cs="Times New Roman"/>
          <w:color w:val="000000" w:themeColor="text1"/>
          <w:lang w:val="uk-UA"/>
        </w:rPr>
        <w:t xml:space="preserve"> Дані щодо</w:t>
      </w:r>
      <w:r w:rsidRPr="00BA5C0A">
        <w:rPr>
          <w:rFonts w:ascii="Times New Roman" w:hAnsi="Times New Roman" w:cs="Times New Roman"/>
          <w:color w:val="000000" w:themeColor="text1"/>
          <w:lang w:val="uk-UA"/>
        </w:rPr>
        <w:t xml:space="preserve"> 12</w:t>
      </w:r>
      <w:r w:rsidR="00416F36">
        <w:rPr>
          <w:rFonts w:ascii="Times New Roman" w:hAnsi="Times New Roman" w:cs="Times New Roman"/>
          <w:color w:val="000000" w:themeColor="text1"/>
          <w:lang w:val="uk-UA"/>
        </w:rPr>
        <w:t>-тижневого лікування</w:t>
      </w:r>
      <w:r w:rsidRPr="00BA5C0A">
        <w:rPr>
          <w:rFonts w:ascii="Times New Roman" w:hAnsi="Times New Roman" w:cs="Times New Roman"/>
          <w:color w:val="000000" w:themeColor="text1"/>
          <w:lang w:val="uk-UA"/>
        </w:rPr>
        <w:t xml:space="preserve"> </w:t>
      </w:r>
      <w:r w:rsidR="00416F36">
        <w:rPr>
          <w:rFonts w:ascii="Times New Roman" w:hAnsi="Times New Roman" w:cs="Times New Roman"/>
          <w:color w:val="000000" w:themeColor="text1"/>
          <w:lang w:val="uk-UA"/>
        </w:rPr>
        <w:t xml:space="preserve">із використанням </w:t>
      </w:r>
      <w:r w:rsidRPr="00BA5C0A">
        <w:rPr>
          <w:rFonts w:ascii="Times New Roman" w:hAnsi="Times New Roman" w:cs="Times New Roman"/>
          <w:color w:val="000000" w:themeColor="text1"/>
          <w:lang w:val="uk-UA"/>
        </w:rPr>
        <w:t>глікапревіру/пібрентасвіру у пацієнтів із цирозом, що пройшли лікування потребують уточнення.</w:t>
      </w:r>
    </w:p>
    <w:tbl>
      <w:tblPr>
        <w:tblpPr w:leftFromText="180" w:rightFromText="180" w:vertAnchor="text" w:tblpX="202"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BA5C0A" w:rsidRPr="0080595E" w14:paraId="6EF99D3E" w14:textId="77777777" w:rsidTr="00770318">
        <w:trPr>
          <w:trHeight w:val="1360"/>
        </w:trPr>
        <w:tc>
          <w:tcPr>
            <w:tcW w:w="9634" w:type="dxa"/>
            <w:shd w:val="clear" w:color="auto" w:fill="BDD6EE" w:themeFill="accent1" w:themeFillTint="66"/>
          </w:tcPr>
          <w:p w14:paraId="068EB7BC" w14:textId="27E4B09F" w:rsidR="00BA5C0A" w:rsidRPr="008A3473" w:rsidRDefault="00BA5C0A" w:rsidP="00BA5C0A">
            <w:pPr>
              <w:jc w:val="both"/>
              <w:rPr>
                <w:rFonts w:ascii="Times New Roman" w:hAnsi="Times New Roman" w:cs="Times New Roman"/>
                <w:b/>
                <w:i/>
                <w:lang w:val="uk-UA"/>
              </w:rPr>
            </w:pPr>
            <w:r w:rsidRPr="008A3473">
              <w:rPr>
                <w:rFonts w:ascii="Times New Roman" w:hAnsi="Times New Roman" w:cs="Times New Roman"/>
                <w:b/>
                <w:i/>
                <w:lang w:val="uk-UA"/>
              </w:rPr>
              <w:t>Генотип 3, Пангенотип</w:t>
            </w:r>
            <w:r w:rsidR="008A3473" w:rsidRPr="008A3473">
              <w:rPr>
                <w:rFonts w:ascii="Times New Roman" w:hAnsi="Times New Roman" w:cs="Times New Roman"/>
                <w:b/>
                <w:i/>
                <w:lang w:val="uk-UA"/>
              </w:rPr>
              <w:t>на</w:t>
            </w:r>
            <w:r w:rsidRPr="008A3473">
              <w:rPr>
                <w:rFonts w:ascii="Times New Roman" w:hAnsi="Times New Roman" w:cs="Times New Roman"/>
                <w:b/>
                <w:i/>
                <w:lang w:val="uk-UA"/>
              </w:rPr>
              <w:t xml:space="preserve"> схема: </w:t>
            </w:r>
            <w:r w:rsidR="008A3473" w:rsidRPr="008A3473">
              <w:rPr>
                <w:rFonts w:ascii="Times New Roman" w:hAnsi="Times New Roman" w:cs="Times New Roman"/>
                <w:b/>
                <w:i/>
                <w:lang w:val="uk-UA"/>
              </w:rPr>
              <w:t>с</w:t>
            </w:r>
            <w:r w:rsidRPr="008A3473">
              <w:rPr>
                <w:rFonts w:ascii="Times New Roman" w:hAnsi="Times New Roman" w:cs="Times New Roman"/>
                <w:b/>
                <w:i/>
                <w:lang w:val="uk-UA"/>
              </w:rPr>
              <w:t>офосбувір/велпатасвір/воксілапревір</w:t>
            </w:r>
          </w:p>
          <w:p w14:paraId="2C2B650A" w14:textId="77777777" w:rsidR="00BA5C0A" w:rsidRPr="00BA5C0A" w:rsidRDefault="00BA5C0A" w:rsidP="00770318">
            <w:pPr>
              <w:tabs>
                <w:tab w:val="left" w:pos="1089"/>
              </w:tabs>
              <w:jc w:val="both"/>
              <w:rPr>
                <w:rFonts w:ascii="Times New Roman" w:hAnsi="Times New Roman" w:cs="Times New Roman"/>
                <w:lang w:val="uk-UA"/>
              </w:rPr>
            </w:pPr>
          </w:p>
          <w:p w14:paraId="214BAB5C" w14:textId="3188516B" w:rsidR="00BA5C0A" w:rsidRPr="008F37FE" w:rsidRDefault="00BA5C0A" w:rsidP="00015E3B">
            <w:pPr>
              <w:numPr>
                <w:ilvl w:val="0"/>
                <w:numId w:val="23"/>
              </w:numPr>
              <w:contextualSpacing/>
              <w:jc w:val="both"/>
              <w:rPr>
                <w:rFonts w:ascii="Times New Roman" w:hAnsi="Times New Roman" w:cs="Times New Roman"/>
                <w:lang w:val="uk-UA"/>
              </w:rPr>
            </w:pPr>
            <w:r w:rsidRPr="00BA5C0A">
              <w:rPr>
                <w:rFonts w:ascii="Times New Roman" w:hAnsi="Times New Roman" w:cs="Times New Roman"/>
                <w:color w:val="000000" w:themeColor="text1"/>
                <w:lang w:val="uk-UA"/>
              </w:rPr>
              <w:t xml:space="preserve">“Наївні” та </w:t>
            </w:r>
            <w:r w:rsidRPr="00BA5C0A">
              <w:rPr>
                <w:rFonts w:ascii="Times New Roman" w:hAnsi="Times New Roman" w:cs="Times New Roman"/>
                <w:lang w:val="uk-UA"/>
              </w:rPr>
              <w:t>пацієнти</w:t>
            </w:r>
            <w:r w:rsidR="003943B9">
              <w:rPr>
                <w:rFonts w:ascii="Times New Roman" w:hAnsi="Times New Roman" w:cs="Times New Roman"/>
                <w:lang w:val="uk-UA"/>
              </w:rPr>
              <w:t xml:space="preserve"> </w:t>
            </w:r>
            <w:r w:rsidR="003943B9">
              <w:rPr>
                <w:rFonts w:ascii="Times New Roman" w:hAnsi="Times New Roman" w:cs="Times New Roman"/>
                <w:color w:val="000000" w:themeColor="text1"/>
                <w:lang w:val="uk-UA"/>
              </w:rPr>
              <w:t>з досвідом лікування</w:t>
            </w:r>
            <w:r w:rsidRPr="00BA5C0A">
              <w:rPr>
                <w:rFonts w:ascii="Times New Roman" w:hAnsi="Times New Roman" w:cs="Times New Roman"/>
                <w:lang w:val="uk-UA"/>
              </w:rPr>
              <w:t xml:space="preserve">, інфіковані </w:t>
            </w:r>
            <w:r w:rsidR="008F37FE">
              <w:rPr>
                <w:rFonts w:ascii="Times New Roman" w:hAnsi="Times New Roman" w:cs="Times New Roman"/>
                <w:lang w:val="uk-UA"/>
              </w:rPr>
              <w:t xml:space="preserve">3 генотипом </w:t>
            </w:r>
            <w:r w:rsidRPr="00BA5C0A">
              <w:rPr>
                <w:rFonts w:ascii="Times New Roman" w:hAnsi="Times New Roman" w:cs="Times New Roman"/>
                <w:lang w:val="uk-UA"/>
              </w:rPr>
              <w:t>ВГС з компенсованим (Child</w:t>
            </w:r>
            <w:r w:rsidR="00FC6D8A">
              <w:rPr>
                <w:rFonts w:ascii="Times New Roman" w:hAnsi="Times New Roman" w:cs="Times New Roman"/>
                <w:lang w:val="uk-UA"/>
              </w:rPr>
              <w:t>–</w:t>
            </w:r>
            <w:r w:rsidRPr="00BA5C0A">
              <w:rPr>
                <w:rFonts w:ascii="Times New Roman" w:hAnsi="Times New Roman" w:cs="Times New Roman"/>
                <w:lang w:val="uk-UA"/>
              </w:rPr>
              <w:t xml:space="preserve">Pugh A) цирозом печінки, повинні отримувати комбінацію з </w:t>
            </w:r>
            <w:r w:rsidRPr="00BA5C0A">
              <w:rPr>
                <w:rFonts w:ascii="Times New Roman" w:hAnsi="Times New Roman" w:cs="Times New Roman"/>
                <w:lang w:val="uk-UA"/>
              </w:rPr>
              <w:lastRenderedPageBreak/>
              <w:t>фіксованою дозою софосбувіру, велпатасвіру та воксілапревіру протягом 12 тижнів (В2).</w:t>
            </w:r>
          </w:p>
        </w:tc>
      </w:tr>
    </w:tbl>
    <w:p w14:paraId="791255E5" w14:textId="77777777" w:rsidR="00BA5C0A" w:rsidRPr="00BA5C0A" w:rsidRDefault="00BA5C0A" w:rsidP="00BA5C0A">
      <w:pPr>
        <w:tabs>
          <w:tab w:val="left" w:pos="1089"/>
        </w:tabs>
        <w:jc w:val="both"/>
        <w:rPr>
          <w:rFonts w:ascii="Times New Roman" w:hAnsi="Times New Roman" w:cs="Times New Roman"/>
          <w:color w:val="000000" w:themeColor="text1"/>
          <w:lang w:val="uk-UA"/>
        </w:rPr>
      </w:pPr>
    </w:p>
    <w:p w14:paraId="373BA08E" w14:textId="3CD4066E" w:rsidR="0094751F" w:rsidRDefault="00BA5C0A" w:rsidP="00BA5C0A">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Коментарі: Ця рекомендація базується на результатах випробувань фази III POLARIS</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2 та </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3. У POLARIS </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2, який включав приблизно три чверті “наївн</w:t>
      </w:r>
      <w:r w:rsidR="004B557D">
        <w:rPr>
          <w:rFonts w:ascii="Times New Roman" w:hAnsi="Times New Roman" w:cs="Times New Roman"/>
          <w:color w:val="000000" w:themeColor="text1"/>
          <w:lang w:val="uk-UA"/>
        </w:rPr>
        <w:t>их</w:t>
      </w:r>
      <w:r w:rsidRPr="00BA5C0A">
        <w:rPr>
          <w:rFonts w:ascii="Times New Roman" w:hAnsi="Times New Roman" w:cs="Times New Roman"/>
          <w:color w:val="000000" w:themeColor="text1"/>
          <w:lang w:val="uk-UA"/>
        </w:rPr>
        <w:t xml:space="preserve">” та чверть пацієнтів </w:t>
      </w:r>
      <w:r w:rsidR="00632C89">
        <w:rPr>
          <w:rFonts w:ascii="Times New Roman" w:hAnsi="Times New Roman" w:cs="Times New Roman"/>
          <w:color w:val="000000" w:themeColor="text1"/>
          <w:lang w:val="uk-UA"/>
        </w:rPr>
        <w:t>з досвідом лікування</w:t>
      </w:r>
      <w:r w:rsidR="00632C89" w:rsidRPr="00F326C6">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 xml:space="preserve">та приблизно 20% осіб з цирозом печінки, частота </w:t>
      </w:r>
      <w:r w:rsidR="001308E6">
        <w:rPr>
          <w:rFonts w:ascii="Times New Roman" w:hAnsi="Times New Roman" w:cs="Times New Roman"/>
          <w:color w:val="000000" w:themeColor="text1"/>
          <w:lang w:val="uk-UA"/>
        </w:rPr>
        <w:t xml:space="preserve">досягнення СВВ </w:t>
      </w:r>
      <w:r w:rsidRPr="00BA5C0A">
        <w:rPr>
          <w:rFonts w:ascii="Times New Roman" w:hAnsi="Times New Roman" w:cs="Times New Roman"/>
          <w:color w:val="000000" w:themeColor="text1"/>
          <w:lang w:val="uk-UA"/>
        </w:rPr>
        <w:t xml:space="preserve">становила 99% (91/92, без вірусологічних невдач) після 8 тижнів </w:t>
      </w:r>
      <w:r w:rsidR="0094751F">
        <w:rPr>
          <w:rFonts w:ascii="Times New Roman" w:hAnsi="Times New Roman" w:cs="Times New Roman"/>
          <w:color w:val="000000" w:themeColor="text1"/>
          <w:lang w:val="uk-UA"/>
        </w:rPr>
        <w:t xml:space="preserve">використання </w:t>
      </w:r>
      <w:r w:rsidRPr="00BA5C0A">
        <w:rPr>
          <w:rFonts w:ascii="Times New Roman" w:hAnsi="Times New Roman" w:cs="Times New Roman"/>
          <w:color w:val="000000" w:themeColor="text1"/>
          <w:lang w:val="uk-UA"/>
        </w:rPr>
        <w:t xml:space="preserve">потрійної комбінації софосбувіру, </w:t>
      </w:r>
      <w:r w:rsidRPr="00BA5C0A">
        <w:rPr>
          <w:rFonts w:ascii="Times New Roman" w:hAnsi="Times New Roman" w:cs="Times New Roman"/>
          <w:lang w:val="uk-UA"/>
        </w:rPr>
        <w:t>велпатасвіру та воксілапревіру</w:t>
      </w:r>
      <w:r w:rsidRPr="00BA5C0A">
        <w:rPr>
          <w:rFonts w:ascii="Times New Roman" w:hAnsi="Times New Roman" w:cs="Times New Roman"/>
          <w:color w:val="000000" w:themeColor="text1"/>
          <w:lang w:val="uk-UA"/>
        </w:rPr>
        <w:t>.</w:t>
      </w:r>
      <w:r w:rsidRPr="00BA5C0A">
        <w:rPr>
          <w:rFonts w:ascii="Times New Roman" w:hAnsi="Times New Roman" w:cs="Times New Roman"/>
          <w:color w:val="000000" w:themeColor="text1"/>
          <w:vertAlign w:val="superscript"/>
          <w:lang w:val="uk-UA"/>
        </w:rPr>
        <w:t>71</w:t>
      </w:r>
      <w:r w:rsidRPr="00BA5C0A">
        <w:rPr>
          <w:rFonts w:ascii="Times New Roman" w:hAnsi="Times New Roman" w:cs="Times New Roman"/>
          <w:color w:val="000000" w:themeColor="text1"/>
          <w:lang w:val="uk-UA"/>
        </w:rPr>
        <w:t xml:space="preserve"> У ПОЛАРІС</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3, така потрійна комбінація через 8 тижнів давала частоту СВВ12 у 96% (106/110; 2 рецидиви) “наївних” та пацієнтів </w:t>
      </w:r>
      <w:r w:rsidR="00632C89">
        <w:rPr>
          <w:rFonts w:ascii="Times New Roman" w:hAnsi="Times New Roman" w:cs="Times New Roman"/>
          <w:color w:val="000000" w:themeColor="text1"/>
          <w:lang w:val="uk-UA"/>
        </w:rPr>
        <w:t>з досвідом лікування</w:t>
      </w:r>
      <w:r w:rsidR="00632C89" w:rsidRPr="00F326C6">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з компенсован</w:t>
      </w:r>
      <w:r w:rsidR="00416F36">
        <w:rPr>
          <w:rFonts w:ascii="Times New Roman" w:hAnsi="Times New Roman" w:cs="Times New Roman"/>
          <w:color w:val="000000" w:themeColor="text1"/>
          <w:lang w:val="uk-UA"/>
        </w:rPr>
        <w:t>им цирозом. Оскільки генотип 3 важче піддається лікуванню</w:t>
      </w:r>
      <w:r w:rsidRPr="00BA5C0A">
        <w:rPr>
          <w:rFonts w:ascii="Times New Roman" w:hAnsi="Times New Roman" w:cs="Times New Roman"/>
          <w:color w:val="000000" w:themeColor="text1"/>
          <w:lang w:val="uk-UA"/>
        </w:rPr>
        <w:t xml:space="preserve">, ніж інші генотипи, і за відсутності даних </w:t>
      </w:r>
      <w:r w:rsidR="0094751F">
        <w:rPr>
          <w:rFonts w:ascii="Times New Roman" w:hAnsi="Times New Roman" w:cs="Times New Roman"/>
          <w:color w:val="000000" w:themeColor="text1"/>
          <w:lang w:val="uk-UA"/>
        </w:rPr>
        <w:t xml:space="preserve">щодо </w:t>
      </w:r>
      <w:r w:rsidR="00416F36">
        <w:rPr>
          <w:rFonts w:ascii="Times New Roman" w:hAnsi="Times New Roman" w:cs="Times New Roman"/>
          <w:color w:val="000000" w:themeColor="text1"/>
          <w:lang w:val="uk-UA"/>
        </w:rPr>
        <w:t xml:space="preserve">терапії протягом </w:t>
      </w:r>
      <w:r w:rsidRPr="00BA5C0A">
        <w:rPr>
          <w:rFonts w:ascii="Times New Roman" w:hAnsi="Times New Roman" w:cs="Times New Roman"/>
          <w:color w:val="000000" w:themeColor="text1"/>
          <w:lang w:val="uk-UA"/>
        </w:rPr>
        <w:t>12</w:t>
      </w:r>
      <w:r w:rsidR="00416F36">
        <w:rPr>
          <w:rFonts w:ascii="Times New Roman" w:hAnsi="Times New Roman" w:cs="Times New Roman"/>
          <w:color w:val="000000" w:themeColor="text1"/>
          <w:lang w:val="uk-UA"/>
        </w:rPr>
        <w:t xml:space="preserve"> тижнів, такою комбінацією безпечніше </w:t>
      </w:r>
      <w:r w:rsidRPr="00BA5C0A">
        <w:rPr>
          <w:rFonts w:ascii="Times New Roman" w:hAnsi="Times New Roman" w:cs="Times New Roman"/>
          <w:color w:val="000000" w:themeColor="text1"/>
          <w:lang w:val="uk-UA"/>
        </w:rPr>
        <w:t xml:space="preserve">лікувати пацієнтів з </w:t>
      </w:r>
      <w:r w:rsidR="00416F36">
        <w:rPr>
          <w:rFonts w:ascii="Times New Roman" w:hAnsi="Times New Roman" w:cs="Times New Roman"/>
          <w:color w:val="000000" w:themeColor="text1"/>
          <w:lang w:val="uk-UA"/>
        </w:rPr>
        <w:t>генотипом</w:t>
      </w:r>
      <w:r w:rsidRPr="00BA5C0A">
        <w:rPr>
          <w:rFonts w:ascii="Times New Roman" w:hAnsi="Times New Roman" w:cs="Times New Roman"/>
          <w:color w:val="000000" w:themeColor="text1"/>
          <w:lang w:val="uk-UA"/>
        </w:rPr>
        <w:t xml:space="preserve"> 3 та цирозом печінки протягом 12 тижнів.</w:t>
      </w:r>
    </w:p>
    <w:p w14:paraId="04C89AD2" w14:textId="058B3704" w:rsidR="00BA5C0A" w:rsidRPr="00BA5C0A" w:rsidRDefault="00BA5C0A" w:rsidP="00BA5C0A">
      <w:pPr>
        <w:tabs>
          <w:tab w:val="left" w:pos="1089"/>
        </w:tabs>
        <w:jc w:val="both"/>
        <w:rPr>
          <w:rFonts w:ascii="Times New Roman" w:hAnsi="Times New Roman" w:cs="Times New Roman"/>
          <w:color w:val="000000" w:themeColor="text1"/>
          <w:lang w:val="uk-UA"/>
        </w:rPr>
      </w:pPr>
    </w:p>
    <w:p w14:paraId="1EE823FC" w14:textId="324C8D88" w:rsidR="00BA5C0A" w:rsidRPr="00BA5C0A" w:rsidRDefault="00BA5C0A" w:rsidP="00BA5C0A">
      <w:pPr>
        <w:tabs>
          <w:tab w:val="left" w:pos="1089"/>
        </w:tabs>
        <w:jc w:val="both"/>
        <w:rPr>
          <w:rFonts w:ascii="Times New Roman" w:hAnsi="Times New Roman" w:cs="Times New Roman"/>
          <w:b/>
          <w:i/>
          <w:color w:val="0070C0"/>
          <w:lang w:val="uk-UA"/>
        </w:rPr>
      </w:pPr>
      <w:r w:rsidRPr="00BA5C0A">
        <w:rPr>
          <w:rFonts w:ascii="Times New Roman" w:hAnsi="Times New Roman" w:cs="Times New Roman"/>
          <w:b/>
          <w:i/>
          <w:color w:val="0070C0"/>
          <w:lang w:val="uk-UA"/>
        </w:rPr>
        <w:t xml:space="preserve">Лікування </w:t>
      </w:r>
      <w:r w:rsidR="004B557D">
        <w:rPr>
          <w:rFonts w:ascii="Times New Roman" w:hAnsi="Times New Roman" w:cs="Times New Roman"/>
          <w:b/>
          <w:i/>
          <w:color w:val="0070C0"/>
          <w:lang w:val="uk-UA"/>
        </w:rPr>
        <w:t>пацієнтів з 4</w:t>
      </w:r>
      <w:r w:rsidRPr="00BA5C0A">
        <w:rPr>
          <w:rFonts w:ascii="Times New Roman" w:hAnsi="Times New Roman" w:cs="Times New Roman"/>
          <w:b/>
          <w:i/>
          <w:color w:val="0070C0"/>
          <w:lang w:val="uk-UA"/>
        </w:rPr>
        <w:t xml:space="preserve"> генотип</w:t>
      </w:r>
      <w:r w:rsidR="004B557D">
        <w:rPr>
          <w:rFonts w:ascii="Times New Roman" w:hAnsi="Times New Roman" w:cs="Times New Roman"/>
          <w:b/>
          <w:i/>
          <w:color w:val="0070C0"/>
          <w:lang w:val="uk-UA"/>
        </w:rPr>
        <w:t>ом ВГС</w:t>
      </w:r>
      <w:r w:rsidRPr="00BA5C0A">
        <w:rPr>
          <w:rFonts w:ascii="Times New Roman" w:hAnsi="Times New Roman" w:cs="Times New Roman"/>
          <w:b/>
          <w:i/>
          <w:color w:val="0070C0"/>
          <w:lang w:val="uk-UA"/>
        </w:rPr>
        <w:t xml:space="preserve"> </w:t>
      </w:r>
    </w:p>
    <w:p w14:paraId="4AB94F24" w14:textId="77777777" w:rsidR="00BA5C0A" w:rsidRPr="00BA5C0A" w:rsidRDefault="00BA5C0A" w:rsidP="00BA5C0A">
      <w:pPr>
        <w:tabs>
          <w:tab w:val="left" w:pos="1089"/>
        </w:tabs>
        <w:jc w:val="both"/>
        <w:rPr>
          <w:rFonts w:ascii="Times New Roman" w:hAnsi="Times New Roman" w:cs="Times New Roman"/>
          <w:color w:val="000000" w:themeColor="text1"/>
          <w:lang w:val="uk-UA"/>
        </w:rPr>
      </w:pPr>
    </w:p>
    <w:p w14:paraId="421DF4B1" w14:textId="25E477BD" w:rsid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Чотири варіанти лікування доступні в 2018 році для пацієнтів, інфікованих </w:t>
      </w:r>
      <w:r w:rsidR="00F96A09">
        <w:rPr>
          <w:rFonts w:ascii="Times New Roman" w:hAnsi="Times New Roman" w:cs="Times New Roman"/>
          <w:color w:val="000000" w:themeColor="text1"/>
          <w:lang w:val="uk-UA"/>
        </w:rPr>
        <w:t xml:space="preserve">4 генотипом </w:t>
      </w:r>
      <w:r w:rsidRPr="00BA5C0A">
        <w:rPr>
          <w:rFonts w:ascii="Times New Roman" w:hAnsi="Times New Roman" w:cs="Times New Roman"/>
          <w:color w:val="000000" w:themeColor="text1"/>
          <w:lang w:val="uk-UA"/>
        </w:rPr>
        <w:t>ВГС (Таблиці 6, 7 і 8). Ці варіанти вважаються еквівалентними, і порядок в якому вони зазначені, не вказує ні на їх перевагу перед іншими, ні на більшу ефективність:</w:t>
      </w:r>
    </w:p>
    <w:p w14:paraId="48D25810" w14:textId="77777777" w:rsidR="00A509EB" w:rsidRPr="00BA5C0A" w:rsidRDefault="00A509EB" w:rsidP="00BA5C0A">
      <w:pPr>
        <w:jc w:val="both"/>
        <w:rPr>
          <w:rFonts w:ascii="Times New Roman" w:hAnsi="Times New Roman" w:cs="Times New Roman"/>
          <w:lang w:val="uk-UA"/>
        </w:rPr>
      </w:pPr>
    </w:p>
    <w:p w14:paraId="1240F143" w14:textId="488945D0" w:rsidR="00BA5C0A" w:rsidRPr="00BA5C0A" w:rsidRDefault="00BA5C0A" w:rsidP="00BA5C0A">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Софосбувір/велпатасвір </w:t>
      </w:r>
    </w:p>
    <w:p w14:paraId="60744B57" w14:textId="77777777" w:rsidR="00BA5C0A" w:rsidRPr="00BA5C0A" w:rsidRDefault="00BA5C0A" w:rsidP="00BA5C0A">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Глекапревір/пібрентасвір</w:t>
      </w:r>
    </w:p>
    <w:p w14:paraId="687B24B1" w14:textId="77777777" w:rsidR="00BA5C0A" w:rsidRPr="00BA5C0A" w:rsidRDefault="00BA5C0A" w:rsidP="00BA5C0A">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Софосбувір/ледіпасвір </w:t>
      </w:r>
    </w:p>
    <w:p w14:paraId="573B7D34" w14:textId="779B1ABC" w:rsidR="00BA5C0A" w:rsidRPr="00BA5C0A" w:rsidRDefault="00BA5C0A" w:rsidP="00BA5C0A">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Гразопреві</w:t>
      </w:r>
      <w:r w:rsidR="000B1E45">
        <w:rPr>
          <w:rFonts w:ascii="Times New Roman" w:hAnsi="Times New Roman" w:cs="Times New Roman"/>
          <w:color w:val="000000" w:themeColor="text1"/>
          <w:lang w:val="uk-UA"/>
        </w:rPr>
        <w:t>р</w:t>
      </w:r>
      <w:r w:rsidRPr="00BA5C0A">
        <w:rPr>
          <w:rFonts w:ascii="Times New Roman" w:hAnsi="Times New Roman" w:cs="Times New Roman"/>
          <w:color w:val="000000" w:themeColor="text1"/>
          <w:lang w:val="uk-UA"/>
        </w:rPr>
        <w:t>/ельбасвір.</w:t>
      </w:r>
    </w:p>
    <w:p w14:paraId="203F2B1B" w14:textId="77777777" w:rsidR="00BA5C0A" w:rsidRPr="00BA5C0A" w:rsidRDefault="00BA5C0A" w:rsidP="00BA5C0A">
      <w:pPr>
        <w:tabs>
          <w:tab w:val="left" w:pos="1089"/>
        </w:tabs>
        <w:jc w:val="both"/>
        <w:rPr>
          <w:rFonts w:ascii="Times New Roman" w:hAnsi="Times New Roman" w:cs="Times New Roman"/>
          <w:color w:val="000000" w:themeColor="text1"/>
          <w:lang w:val="uk-U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8"/>
      </w:tblGrid>
      <w:tr w:rsidR="00BA5C0A" w:rsidRPr="00B423FC" w14:paraId="4BE92B58" w14:textId="77777777" w:rsidTr="00770318">
        <w:trPr>
          <w:trHeight w:val="1077"/>
        </w:trPr>
        <w:tc>
          <w:tcPr>
            <w:tcW w:w="9728" w:type="dxa"/>
            <w:shd w:val="clear" w:color="auto" w:fill="BDD6EE" w:themeFill="accent1" w:themeFillTint="66"/>
          </w:tcPr>
          <w:p w14:paraId="32655DE9" w14:textId="77777777" w:rsidR="00BA5C0A" w:rsidRPr="00BA5C0A" w:rsidRDefault="00BA5C0A" w:rsidP="00BA5C0A">
            <w:pPr>
              <w:tabs>
                <w:tab w:val="left" w:pos="1089"/>
              </w:tabs>
              <w:jc w:val="both"/>
              <w:rPr>
                <w:rFonts w:ascii="Times New Roman" w:hAnsi="Times New Roman" w:cs="Times New Roman"/>
                <w:b/>
                <w:i/>
                <w:color w:val="0070C0"/>
                <w:lang w:val="uk-UA"/>
              </w:rPr>
            </w:pPr>
            <w:r w:rsidRPr="00BA5C0A">
              <w:rPr>
                <w:rFonts w:ascii="Times New Roman" w:hAnsi="Times New Roman" w:cs="Times New Roman"/>
                <w:b/>
                <w:i/>
                <w:color w:val="0070C0"/>
                <w:lang w:val="uk-UA"/>
              </w:rPr>
              <w:t>Рекомендації</w:t>
            </w:r>
          </w:p>
          <w:p w14:paraId="5C1E67BC" w14:textId="77777777" w:rsidR="00BA5C0A" w:rsidRPr="00BA5C0A" w:rsidRDefault="00BA5C0A" w:rsidP="00BA5C0A">
            <w:pPr>
              <w:tabs>
                <w:tab w:val="left" w:pos="1089"/>
              </w:tabs>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Наступні схеми рекомендовані для лікування пацієнтів, інфікованих генотипом 4, згідно з рекомендаціями нижче (A1):</w:t>
            </w:r>
          </w:p>
          <w:p w14:paraId="157E8A04" w14:textId="4FD7C06D" w:rsidR="00BA5C0A" w:rsidRPr="00BA5C0A" w:rsidRDefault="00BA5C0A" w:rsidP="00015E3B">
            <w:pPr>
              <w:numPr>
                <w:ilvl w:val="0"/>
                <w:numId w:val="24"/>
              </w:numPr>
              <w:tabs>
                <w:tab w:val="left" w:pos="1089"/>
              </w:tabs>
              <w:contextualSpacing/>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комбінація з фіксованою дозою софосбувіру (400 мг) і велпатасвір</w:t>
            </w:r>
            <w:r w:rsidR="00441551">
              <w:rPr>
                <w:rFonts w:ascii="Times New Roman" w:hAnsi="Times New Roman" w:cs="Times New Roman"/>
                <w:color w:val="000000" w:themeColor="text1"/>
                <w:lang w:val="uk-UA"/>
              </w:rPr>
              <w:t>у</w:t>
            </w:r>
            <w:r w:rsidRPr="00BA5C0A">
              <w:rPr>
                <w:rFonts w:ascii="Times New Roman" w:hAnsi="Times New Roman" w:cs="Times New Roman"/>
                <w:color w:val="000000" w:themeColor="text1"/>
                <w:lang w:val="uk-UA"/>
              </w:rPr>
              <w:t xml:space="preserve"> (100 мг) в одній таблетці, призначеній один раз на добу;</w:t>
            </w:r>
          </w:p>
          <w:p w14:paraId="32817274" w14:textId="3DDE6FFA" w:rsidR="00BA5C0A" w:rsidRPr="00BA5C0A" w:rsidRDefault="00BA5C0A" w:rsidP="00015E3B">
            <w:pPr>
              <w:numPr>
                <w:ilvl w:val="0"/>
                <w:numId w:val="24"/>
              </w:numPr>
              <w:tabs>
                <w:tab w:val="left" w:pos="1089"/>
              </w:tabs>
              <w:contextualSpacing/>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комбінація з фіксованою дозою глікапревіру (300 мг) та пібрентасвіру (120 мг) у трьох таблетках, що містять 100 мг глікапревіру та 40 мг пібрентасвіру, що </w:t>
            </w:r>
            <w:r w:rsidR="00441551">
              <w:rPr>
                <w:rFonts w:ascii="Times New Roman" w:hAnsi="Times New Roman" w:cs="Times New Roman"/>
                <w:color w:val="000000" w:themeColor="text1"/>
                <w:lang w:val="uk-UA"/>
              </w:rPr>
              <w:t>приймають</w:t>
            </w:r>
            <w:r w:rsidR="00441551" w:rsidRPr="00BA5C0A">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один раз на добу з їжею;</w:t>
            </w:r>
          </w:p>
          <w:p w14:paraId="2B108C0E" w14:textId="285A4815" w:rsidR="00BA5C0A" w:rsidRPr="00BA5C0A" w:rsidRDefault="00BA5C0A" w:rsidP="00015E3B">
            <w:pPr>
              <w:numPr>
                <w:ilvl w:val="0"/>
                <w:numId w:val="24"/>
              </w:numPr>
              <w:tabs>
                <w:tab w:val="left" w:pos="1089"/>
              </w:tabs>
              <w:contextualSpacing/>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комбінація з фіксованою дозою софосбувіру (400 мг) і ледіпасвіру (90 мг) в одній таблетці, що </w:t>
            </w:r>
            <w:r w:rsidR="00441551">
              <w:rPr>
                <w:rFonts w:ascii="Times New Roman" w:hAnsi="Times New Roman" w:cs="Times New Roman"/>
                <w:color w:val="000000" w:themeColor="text1"/>
                <w:lang w:val="uk-UA"/>
              </w:rPr>
              <w:t>приймається</w:t>
            </w:r>
            <w:r w:rsidR="00441551" w:rsidRPr="00BA5C0A">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 xml:space="preserve">один раз на </w:t>
            </w:r>
            <w:r w:rsidR="00416F36">
              <w:rPr>
                <w:rFonts w:ascii="Times New Roman" w:hAnsi="Times New Roman" w:cs="Times New Roman"/>
                <w:color w:val="000000" w:themeColor="text1"/>
                <w:lang w:val="uk-UA"/>
              </w:rPr>
              <w:t>добу</w:t>
            </w:r>
            <w:r w:rsidRPr="00BA5C0A">
              <w:rPr>
                <w:rFonts w:ascii="Times New Roman" w:hAnsi="Times New Roman" w:cs="Times New Roman"/>
                <w:color w:val="000000" w:themeColor="text1"/>
                <w:lang w:val="uk-UA"/>
              </w:rPr>
              <w:t>;</w:t>
            </w:r>
          </w:p>
          <w:p w14:paraId="228B0FC8" w14:textId="0DA3C193" w:rsidR="00BA5C0A" w:rsidRPr="00A509EB" w:rsidRDefault="00BA5C0A" w:rsidP="00015E3B">
            <w:pPr>
              <w:numPr>
                <w:ilvl w:val="0"/>
                <w:numId w:val="24"/>
              </w:numPr>
              <w:tabs>
                <w:tab w:val="left" w:pos="1089"/>
              </w:tabs>
              <w:contextualSpacing/>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комбінація з фіксованою дозою гразопревіру (100 мг) та ельбасвіру (50 мг) в одній таблетці, що </w:t>
            </w:r>
            <w:r w:rsidR="00B423FC">
              <w:rPr>
                <w:rFonts w:ascii="Times New Roman" w:hAnsi="Times New Roman" w:cs="Times New Roman"/>
                <w:color w:val="000000" w:themeColor="text1"/>
                <w:lang w:val="uk-UA"/>
              </w:rPr>
              <w:t>приймається</w:t>
            </w:r>
            <w:r w:rsidR="00B423FC" w:rsidRPr="00BA5C0A">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один раз на добу</w:t>
            </w:r>
          </w:p>
        </w:tc>
      </w:tr>
    </w:tbl>
    <w:p w14:paraId="4CAA7851" w14:textId="77777777" w:rsidR="00BA5C0A" w:rsidRPr="00BA5C0A" w:rsidRDefault="00BA5C0A" w:rsidP="00BA5C0A">
      <w:pPr>
        <w:tabs>
          <w:tab w:val="left" w:pos="1089"/>
        </w:tabs>
        <w:jc w:val="both"/>
        <w:rPr>
          <w:rFonts w:ascii="Times New Roman" w:hAnsi="Times New Roman" w:cs="Times New Roman"/>
          <w:color w:val="000000" w:themeColor="text1"/>
          <w:lang w:val="uk-UA"/>
        </w:rPr>
      </w:pPr>
    </w:p>
    <w:p w14:paraId="42D6889A" w14:textId="77777777" w:rsidR="00BA5C0A" w:rsidRPr="00BA5C0A" w:rsidRDefault="00BA5C0A" w:rsidP="00BA5C0A">
      <w:pPr>
        <w:tabs>
          <w:tab w:val="left" w:pos="1089"/>
        </w:tabs>
        <w:jc w:val="both"/>
        <w:rPr>
          <w:rFonts w:ascii="Times New Roman" w:hAnsi="Times New Roman" w:cs="Times New Roman"/>
          <w:color w:val="000000" w:themeColor="text1"/>
          <w:lang w:val="uk-UA"/>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A5C0A" w:rsidRPr="0080595E" w14:paraId="4057E9C5" w14:textId="77777777" w:rsidTr="00770318">
        <w:trPr>
          <w:trHeight w:val="715"/>
        </w:trPr>
        <w:tc>
          <w:tcPr>
            <w:tcW w:w="9639" w:type="dxa"/>
            <w:shd w:val="clear" w:color="auto" w:fill="BDD6EE" w:themeFill="accent1" w:themeFillTint="66"/>
          </w:tcPr>
          <w:p w14:paraId="3B43593B" w14:textId="7F7BF535" w:rsidR="00BA5C0A" w:rsidRPr="008A3473" w:rsidRDefault="00BA5C0A" w:rsidP="00BA5C0A">
            <w:pPr>
              <w:tabs>
                <w:tab w:val="left" w:pos="1089"/>
              </w:tabs>
              <w:jc w:val="both"/>
              <w:rPr>
                <w:rFonts w:ascii="Times New Roman" w:hAnsi="Times New Roman" w:cs="Times New Roman"/>
                <w:b/>
                <w:i/>
                <w:lang w:val="uk-UA"/>
              </w:rPr>
            </w:pPr>
            <w:r w:rsidRPr="008A3473">
              <w:rPr>
                <w:rFonts w:ascii="Times New Roman" w:hAnsi="Times New Roman" w:cs="Times New Roman"/>
                <w:b/>
                <w:i/>
                <w:lang w:val="uk-UA"/>
              </w:rPr>
              <w:t>Генотип 4, Пангенотип</w:t>
            </w:r>
            <w:r w:rsidR="008A3473">
              <w:rPr>
                <w:rFonts w:ascii="Times New Roman" w:hAnsi="Times New Roman" w:cs="Times New Roman"/>
                <w:b/>
                <w:i/>
                <w:lang w:val="uk-UA"/>
              </w:rPr>
              <w:t>на</w:t>
            </w:r>
            <w:r w:rsidRPr="008A3473">
              <w:rPr>
                <w:rFonts w:ascii="Times New Roman" w:hAnsi="Times New Roman" w:cs="Times New Roman"/>
                <w:b/>
                <w:i/>
                <w:lang w:val="uk-UA"/>
              </w:rPr>
              <w:t xml:space="preserve"> схема: </w:t>
            </w:r>
            <w:r w:rsidR="008A3473">
              <w:rPr>
                <w:rFonts w:ascii="Times New Roman" w:hAnsi="Times New Roman" w:cs="Times New Roman"/>
                <w:b/>
                <w:i/>
                <w:lang w:val="uk-UA"/>
              </w:rPr>
              <w:t>с</w:t>
            </w:r>
            <w:r w:rsidRPr="008A3473">
              <w:rPr>
                <w:rFonts w:ascii="Times New Roman" w:hAnsi="Times New Roman" w:cs="Times New Roman"/>
                <w:b/>
                <w:i/>
                <w:lang w:val="uk-UA"/>
              </w:rPr>
              <w:t>офосбувір/велпатасвір</w:t>
            </w:r>
          </w:p>
          <w:p w14:paraId="51E459DA" w14:textId="23803AB1" w:rsidR="00BA5C0A" w:rsidRPr="00AE0720" w:rsidRDefault="00BA5C0A" w:rsidP="00015E3B">
            <w:pPr>
              <w:numPr>
                <w:ilvl w:val="0"/>
                <w:numId w:val="25"/>
              </w:numPr>
              <w:tabs>
                <w:tab w:val="left" w:pos="1178"/>
              </w:tabs>
              <w:contextualSpacing/>
              <w:jc w:val="both"/>
              <w:rPr>
                <w:rFonts w:ascii="Times New Roman" w:hAnsi="Times New Roman" w:cs="Times New Roman"/>
                <w:lang w:val="uk-UA"/>
              </w:rPr>
            </w:pPr>
            <w:r w:rsidRPr="00BA5C0A">
              <w:rPr>
                <w:rFonts w:ascii="Times New Roman" w:hAnsi="Times New Roman" w:cs="Times New Roman"/>
                <w:color w:val="000000" w:themeColor="text1"/>
                <w:lang w:val="uk-UA"/>
              </w:rPr>
              <w:t>“Наївні” та пацієнти</w:t>
            </w:r>
            <w:r w:rsidR="00632C89">
              <w:rPr>
                <w:rFonts w:ascii="Times New Roman" w:hAnsi="Times New Roman" w:cs="Times New Roman"/>
                <w:color w:val="000000" w:themeColor="text1"/>
                <w:lang w:val="uk-UA"/>
              </w:rPr>
              <w:t xml:space="preserve"> з досвідом лікування</w:t>
            </w:r>
            <w:r w:rsidRPr="00BA5C0A">
              <w:rPr>
                <w:rFonts w:ascii="Times New Roman" w:hAnsi="Times New Roman" w:cs="Times New Roman"/>
                <w:color w:val="000000" w:themeColor="text1"/>
                <w:lang w:val="uk-UA"/>
              </w:rPr>
              <w:t xml:space="preserve">, інфіковані </w:t>
            </w:r>
            <w:r w:rsidR="00E70751" w:rsidRPr="00E70751">
              <w:rPr>
                <w:rFonts w:ascii="Times New Roman" w:hAnsi="Times New Roman" w:cs="Times New Roman"/>
                <w:color w:val="000000" w:themeColor="text1"/>
                <w:lang w:val="uk-UA"/>
              </w:rPr>
              <w:t xml:space="preserve">4 </w:t>
            </w:r>
            <w:r w:rsidR="00E70751">
              <w:rPr>
                <w:rFonts w:ascii="Times New Roman" w:hAnsi="Times New Roman" w:cs="Times New Roman"/>
                <w:color w:val="000000" w:themeColor="text1"/>
                <w:lang w:val="uk-UA"/>
              </w:rPr>
              <w:t xml:space="preserve">генотипом </w:t>
            </w:r>
            <w:r w:rsidRPr="00BA5C0A">
              <w:rPr>
                <w:rFonts w:ascii="Times New Roman" w:hAnsi="Times New Roman" w:cs="Times New Roman"/>
                <w:color w:val="000000" w:themeColor="text1"/>
                <w:lang w:val="uk-UA"/>
              </w:rPr>
              <w:t>ВГС, без цирозу або з компенсован</w:t>
            </w:r>
            <w:r w:rsidR="00E70751">
              <w:rPr>
                <w:rFonts w:ascii="Times New Roman" w:hAnsi="Times New Roman" w:cs="Times New Roman"/>
                <w:color w:val="000000" w:themeColor="text1"/>
                <w:lang w:val="uk-UA"/>
              </w:rPr>
              <w:t>им</w:t>
            </w:r>
            <w:r w:rsidRPr="00BA5C0A">
              <w:rPr>
                <w:rFonts w:ascii="Times New Roman" w:hAnsi="Times New Roman" w:cs="Times New Roman"/>
                <w:color w:val="000000" w:themeColor="text1"/>
                <w:lang w:val="uk-UA"/>
              </w:rPr>
              <w:t xml:space="preserve"> (Child</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Pugh A) цирозом, повинні отримувати комбінацію з фіксованою дозою софосбувіру та велпатасвіру протягом 12 тижнів (A1).</w:t>
            </w:r>
          </w:p>
        </w:tc>
      </w:tr>
    </w:tbl>
    <w:p w14:paraId="07B001C9" w14:textId="77777777" w:rsidR="00BA5C0A" w:rsidRPr="00BA5C0A" w:rsidRDefault="00BA5C0A" w:rsidP="00BA5C0A">
      <w:pPr>
        <w:tabs>
          <w:tab w:val="left" w:pos="1178"/>
        </w:tabs>
        <w:jc w:val="both"/>
        <w:rPr>
          <w:rFonts w:ascii="Times New Roman" w:hAnsi="Times New Roman" w:cs="Times New Roman"/>
          <w:lang w:val="uk-UA"/>
        </w:rPr>
      </w:pPr>
    </w:p>
    <w:p w14:paraId="1040505C" w14:textId="1320105B" w:rsidR="00BA5C0A" w:rsidRDefault="00BA5C0A" w:rsidP="00BA5C0A">
      <w:pPr>
        <w:tabs>
          <w:tab w:val="left" w:pos="1178"/>
        </w:tabs>
        <w:jc w:val="both"/>
        <w:rPr>
          <w:rFonts w:ascii="Times New Roman" w:hAnsi="Times New Roman" w:cs="Times New Roman"/>
          <w:vertAlign w:val="superscript"/>
          <w:lang w:val="uk-UA"/>
        </w:rPr>
      </w:pPr>
      <w:r w:rsidRPr="00BA5C0A">
        <w:rPr>
          <w:rFonts w:ascii="Times New Roman" w:hAnsi="Times New Roman" w:cs="Times New Roman"/>
          <w:lang w:val="uk-UA"/>
        </w:rPr>
        <w:t>Коментарі: Ця рекомендація базується на результатах фази III дослідження ASTRAL</w:t>
      </w:r>
      <w:r w:rsidR="00FC6D8A">
        <w:rPr>
          <w:rFonts w:ascii="Times New Roman" w:hAnsi="Times New Roman" w:cs="Times New Roman"/>
          <w:lang w:val="uk-UA"/>
        </w:rPr>
        <w:t>–</w:t>
      </w:r>
      <w:r w:rsidRPr="00BA5C0A">
        <w:rPr>
          <w:rFonts w:ascii="Times New Roman" w:hAnsi="Times New Roman" w:cs="Times New Roman"/>
          <w:lang w:val="uk-UA"/>
        </w:rPr>
        <w:t xml:space="preserve">1 у пацієнтів з </w:t>
      </w:r>
      <w:r w:rsidR="00E70751">
        <w:rPr>
          <w:rFonts w:ascii="Times New Roman" w:hAnsi="Times New Roman" w:cs="Times New Roman"/>
          <w:lang w:val="uk-UA"/>
        </w:rPr>
        <w:t xml:space="preserve">4 генотипом </w:t>
      </w:r>
      <w:r w:rsidRPr="00BA5C0A">
        <w:rPr>
          <w:rFonts w:ascii="Times New Roman" w:hAnsi="Times New Roman" w:cs="Times New Roman"/>
          <w:lang w:val="uk-UA"/>
        </w:rPr>
        <w:t xml:space="preserve">ВГС (23% з цирозом печінки, 55% </w:t>
      </w:r>
      <w:r w:rsidR="00FC6D8A">
        <w:rPr>
          <w:rFonts w:ascii="Times New Roman" w:hAnsi="Times New Roman" w:cs="Times New Roman"/>
          <w:lang w:val="uk-UA"/>
        </w:rPr>
        <w:t>–</w:t>
      </w:r>
      <w:r w:rsidRPr="00BA5C0A">
        <w:rPr>
          <w:rFonts w:ascii="Times New Roman" w:hAnsi="Times New Roman" w:cs="Times New Roman"/>
          <w:lang w:val="uk-UA"/>
        </w:rPr>
        <w:t xml:space="preserve"> “наївних” та 45% </w:t>
      </w:r>
      <w:r w:rsidR="00632C89">
        <w:rPr>
          <w:rFonts w:ascii="Times New Roman" w:hAnsi="Times New Roman" w:cs="Times New Roman"/>
          <w:lang w:val="uk-UA"/>
        </w:rPr>
        <w:t xml:space="preserve">пацієнтів </w:t>
      </w:r>
      <w:r w:rsidR="00632C89">
        <w:rPr>
          <w:rFonts w:ascii="Times New Roman" w:hAnsi="Times New Roman" w:cs="Times New Roman"/>
          <w:color w:val="000000" w:themeColor="text1"/>
          <w:lang w:val="uk-UA"/>
        </w:rPr>
        <w:t>з досвідом лікування</w:t>
      </w:r>
      <w:r w:rsidRPr="00BA5C0A">
        <w:rPr>
          <w:rFonts w:ascii="Times New Roman" w:hAnsi="Times New Roman" w:cs="Times New Roman"/>
          <w:lang w:val="uk-UA"/>
        </w:rPr>
        <w:t xml:space="preserve">), які отримували </w:t>
      </w:r>
      <w:r w:rsidRPr="00BA5C0A">
        <w:rPr>
          <w:rFonts w:ascii="Times New Roman" w:hAnsi="Times New Roman" w:cs="Times New Roman"/>
          <w:color w:val="000000" w:themeColor="text1"/>
          <w:lang w:val="uk-UA"/>
        </w:rPr>
        <w:t>комбінацію з фіксованою дозою софосбувіру та велпатасвіру протягом 12 тижнів</w:t>
      </w:r>
      <w:r w:rsidRPr="00BA5C0A">
        <w:rPr>
          <w:rFonts w:ascii="Times New Roman" w:hAnsi="Times New Roman" w:cs="Times New Roman"/>
          <w:lang w:val="uk-UA"/>
        </w:rPr>
        <w:t xml:space="preserve"> без рибавірину</w:t>
      </w:r>
      <w:r w:rsidR="00E70751">
        <w:rPr>
          <w:rFonts w:ascii="Times New Roman" w:hAnsi="Times New Roman" w:cs="Times New Roman"/>
          <w:lang w:val="uk-UA"/>
        </w:rPr>
        <w:t xml:space="preserve"> та </w:t>
      </w:r>
      <w:r w:rsidRPr="00BA5C0A">
        <w:rPr>
          <w:rFonts w:ascii="Times New Roman" w:hAnsi="Times New Roman" w:cs="Times New Roman"/>
          <w:lang w:val="uk-UA"/>
        </w:rPr>
        <w:t>досягли СВВ12 у 100% (116/116)</w:t>
      </w:r>
      <w:r w:rsidRPr="00BA5C0A">
        <w:rPr>
          <w:rFonts w:ascii="Times New Roman" w:hAnsi="Times New Roman" w:cs="Times New Roman"/>
          <w:vertAlign w:val="superscript"/>
          <w:lang w:val="uk-UA"/>
        </w:rPr>
        <w:t>.67</w:t>
      </w:r>
      <w:r w:rsidRPr="00BA5C0A">
        <w:rPr>
          <w:rFonts w:ascii="Times New Roman" w:hAnsi="Times New Roman" w:cs="Times New Roman"/>
          <w:lang w:val="uk-UA"/>
        </w:rPr>
        <w:t xml:space="preserve"> У </w:t>
      </w:r>
      <w:r w:rsidRPr="00BA5C0A">
        <w:rPr>
          <w:rFonts w:ascii="Times New Roman" w:hAnsi="Times New Roman" w:cs="Times New Roman"/>
          <w:lang w:val="uk-UA"/>
        </w:rPr>
        <w:lastRenderedPageBreak/>
        <w:t>дослідженні ASTRAL</w:t>
      </w:r>
      <w:r w:rsidR="00FC6D8A">
        <w:rPr>
          <w:rFonts w:ascii="Times New Roman" w:hAnsi="Times New Roman" w:cs="Times New Roman"/>
          <w:lang w:val="uk-UA"/>
        </w:rPr>
        <w:t>–</w:t>
      </w:r>
      <w:r w:rsidRPr="00BA5C0A">
        <w:rPr>
          <w:rFonts w:ascii="Times New Roman" w:hAnsi="Times New Roman" w:cs="Times New Roman"/>
          <w:lang w:val="uk-UA"/>
        </w:rPr>
        <w:t>5 у пацієнтів</w:t>
      </w:r>
      <w:r w:rsidR="00525692">
        <w:rPr>
          <w:rFonts w:ascii="Times New Roman" w:hAnsi="Times New Roman" w:cs="Times New Roman"/>
          <w:lang w:val="uk-UA"/>
        </w:rPr>
        <w:t xml:space="preserve"> із коінфекцією ВІЛ/ВГС</w:t>
      </w:r>
      <w:r w:rsidRPr="00BA5C0A">
        <w:rPr>
          <w:rFonts w:ascii="Times New Roman" w:hAnsi="Times New Roman" w:cs="Times New Roman"/>
          <w:lang w:val="uk-UA"/>
        </w:rPr>
        <w:t>, які отримували такий самий режим лікування, показник СВВ12 склав 100% (4 / 4) .</w:t>
      </w:r>
      <w:r w:rsidRPr="00BA5C0A">
        <w:rPr>
          <w:rFonts w:ascii="Times New Roman" w:hAnsi="Times New Roman" w:cs="Times New Roman"/>
          <w:vertAlign w:val="superscript"/>
          <w:lang w:val="uk-UA"/>
        </w:rPr>
        <w:t>70</w:t>
      </w:r>
    </w:p>
    <w:p w14:paraId="2585A962" w14:textId="77777777" w:rsidR="00770318" w:rsidRDefault="00770318" w:rsidP="00BA5C0A">
      <w:pPr>
        <w:tabs>
          <w:tab w:val="left" w:pos="1178"/>
        </w:tabs>
        <w:jc w:val="both"/>
        <w:rPr>
          <w:rFonts w:ascii="Times New Roman" w:hAnsi="Times New Roman" w:cs="Times New Roman"/>
          <w:lang w:val="uk-UA"/>
        </w:rPr>
      </w:pPr>
    </w:p>
    <w:tbl>
      <w:tblPr>
        <w:tblW w:w="9838"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ook w:val="0000" w:firstRow="0" w:lastRow="0" w:firstColumn="0" w:lastColumn="0" w:noHBand="0" w:noVBand="0"/>
      </w:tblPr>
      <w:tblGrid>
        <w:gridCol w:w="9838"/>
      </w:tblGrid>
      <w:tr w:rsidR="00BC0D4A" w:rsidRPr="0080595E" w14:paraId="108216E4" w14:textId="77777777" w:rsidTr="00770318">
        <w:trPr>
          <w:trHeight w:val="725"/>
        </w:trPr>
        <w:tc>
          <w:tcPr>
            <w:tcW w:w="9838" w:type="dxa"/>
            <w:shd w:val="clear" w:color="auto" w:fill="BDD6EE" w:themeFill="accent1" w:themeFillTint="66"/>
          </w:tcPr>
          <w:p w14:paraId="1465C33E" w14:textId="77777777" w:rsidR="00BC0D4A" w:rsidRPr="008A3473" w:rsidRDefault="00BC0D4A" w:rsidP="00770318">
            <w:pPr>
              <w:shd w:val="clear" w:color="auto" w:fill="BDD6EE" w:themeFill="accent1" w:themeFillTint="66"/>
              <w:tabs>
                <w:tab w:val="left" w:pos="1178"/>
              </w:tabs>
              <w:ind w:left="-87"/>
              <w:jc w:val="both"/>
              <w:rPr>
                <w:rFonts w:ascii="Times New Roman" w:hAnsi="Times New Roman" w:cs="Times New Roman"/>
                <w:b/>
                <w:i/>
                <w:lang w:val="uk-UA"/>
              </w:rPr>
            </w:pPr>
            <w:r w:rsidRPr="008A3473">
              <w:rPr>
                <w:rFonts w:ascii="Times New Roman" w:hAnsi="Times New Roman" w:cs="Times New Roman"/>
                <w:b/>
                <w:i/>
                <w:lang w:val="uk-UA"/>
              </w:rPr>
              <w:t xml:space="preserve">Генотип 4, пангенотипна схема: </w:t>
            </w:r>
            <w:r w:rsidR="008A3473">
              <w:rPr>
                <w:rFonts w:ascii="Times New Roman" w:hAnsi="Times New Roman" w:cs="Times New Roman"/>
                <w:b/>
                <w:i/>
                <w:lang w:val="uk-UA"/>
              </w:rPr>
              <w:t>г</w:t>
            </w:r>
            <w:r w:rsidRPr="008A3473">
              <w:rPr>
                <w:rFonts w:ascii="Times New Roman" w:hAnsi="Times New Roman" w:cs="Times New Roman"/>
                <w:b/>
                <w:i/>
                <w:lang w:val="uk-UA"/>
              </w:rPr>
              <w:t>лекапревір/пібрентасвір</w:t>
            </w:r>
          </w:p>
          <w:p w14:paraId="5A641299" w14:textId="79FB10EF" w:rsidR="00BC0D4A" w:rsidRPr="00BA5C0A" w:rsidRDefault="00BC0D4A" w:rsidP="00015E3B">
            <w:pPr>
              <w:numPr>
                <w:ilvl w:val="0"/>
                <w:numId w:val="26"/>
              </w:numPr>
              <w:tabs>
                <w:tab w:val="left" w:pos="1178"/>
              </w:tabs>
              <w:contextualSpacing/>
              <w:jc w:val="both"/>
              <w:rPr>
                <w:rFonts w:ascii="Times New Roman" w:hAnsi="Times New Roman" w:cs="Times New Roman"/>
                <w:lang w:val="uk-UA"/>
              </w:rPr>
            </w:pPr>
            <w:r w:rsidRPr="00BA5C0A">
              <w:rPr>
                <w:rFonts w:ascii="Times New Roman" w:hAnsi="Times New Roman" w:cs="Times New Roman"/>
                <w:color w:val="000000" w:themeColor="text1"/>
                <w:lang w:val="uk-UA"/>
              </w:rPr>
              <w:t xml:space="preserve">“Наївні” </w:t>
            </w:r>
            <w:r w:rsidR="00416F36">
              <w:rPr>
                <w:rFonts w:ascii="Times New Roman" w:hAnsi="Times New Roman" w:cs="Times New Roman"/>
                <w:color w:val="000000" w:themeColor="text1"/>
                <w:lang w:val="uk-UA"/>
              </w:rPr>
              <w:t xml:space="preserve">та </w:t>
            </w:r>
            <w:r w:rsidRPr="00BA5C0A">
              <w:rPr>
                <w:rFonts w:ascii="Times New Roman" w:hAnsi="Times New Roman" w:cs="Times New Roman"/>
                <w:color w:val="000000" w:themeColor="text1"/>
                <w:lang w:val="uk-UA"/>
              </w:rPr>
              <w:t>пацієнти</w:t>
            </w:r>
            <w:r w:rsidR="00632C89">
              <w:rPr>
                <w:rFonts w:ascii="Times New Roman" w:hAnsi="Times New Roman" w:cs="Times New Roman"/>
                <w:color w:val="000000" w:themeColor="text1"/>
                <w:lang w:val="uk-UA"/>
              </w:rPr>
              <w:t xml:space="preserve"> з досвідом лікування</w:t>
            </w:r>
            <w:r w:rsidR="001C460A">
              <w:rPr>
                <w:rFonts w:ascii="Times New Roman" w:hAnsi="Times New Roman" w:cs="Times New Roman"/>
                <w:color w:val="000000" w:themeColor="text1"/>
                <w:lang w:val="uk-UA"/>
              </w:rPr>
              <w:t xml:space="preserve"> з </w:t>
            </w:r>
            <w:r>
              <w:rPr>
                <w:rFonts w:ascii="Times New Roman" w:hAnsi="Times New Roman" w:cs="Times New Roman"/>
                <w:lang w:val="uk-UA"/>
              </w:rPr>
              <w:t xml:space="preserve">4 генотипом </w:t>
            </w:r>
            <w:r w:rsidRPr="00BA5C0A">
              <w:rPr>
                <w:rFonts w:ascii="Times New Roman" w:hAnsi="Times New Roman" w:cs="Times New Roman"/>
                <w:lang w:val="uk-UA"/>
              </w:rPr>
              <w:t xml:space="preserve">ВГС без цирозу </w:t>
            </w:r>
            <w:r w:rsidRPr="00BA5C0A">
              <w:rPr>
                <w:rFonts w:ascii="Times New Roman" w:hAnsi="Times New Roman" w:cs="Times New Roman"/>
                <w:color w:val="000000" w:themeColor="text1"/>
                <w:lang w:val="uk-UA"/>
              </w:rPr>
              <w:t>повинні отримувати комбінацію з фіксованою дозою</w:t>
            </w:r>
            <w:r w:rsidRPr="00BA5C0A">
              <w:rPr>
                <w:rFonts w:ascii="Times New Roman" w:hAnsi="Times New Roman" w:cs="Times New Roman"/>
                <w:lang w:val="uk-UA"/>
              </w:rPr>
              <w:t xml:space="preserve"> </w:t>
            </w:r>
            <w:r w:rsidR="001C460A">
              <w:rPr>
                <w:rFonts w:ascii="Times New Roman" w:hAnsi="Times New Roman" w:cs="Times New Roman"/>
                <w:color w:val="000000" w:themeColor="text1"/>
                <w:lang w:val="uk-UA"/>
              </w:rPr>
              <w:t xml:space="preserve">препаратів </w:t>
            </w:r>
            <w:r w:rsidRPr="00BA5C0A">
              <w:rPr>
                <w:rFonts w:ascii="Times New Roman" w:hAnsi="Times New Roman" w:cs="Times New Roman"/>
                <w:color w:val="000000" w:themeColor="text1"/>
                <w:lang w:val="uk-UA"/>
              </w:rPr>
              <w:t xml:space="preserve">протягом </w:t>
            </w:r>
            <w:r w:rsidR="001C460A">
              <w:rPr>
                <w:rFonts w:ascii="Times New Roman" w:hAnsi="Times New Roman" w:cs="Times New Roman"/>
                <w:color w:val="000000" w:themeColor="text1"/>
                <w:lang w:val="uk-UA"/>
              </w:rPr>
              <w:t>8</w:t>
            </w:r>
            <w:r w:rsidRPr="00BA5C0A">
              <w:rPr>
                <w:rFonts w:ascii="Times New Roman" w:hAnsi="Times New Roman" w:cs="Times New Roman"/>
                <w:lang w:val="uk-UA"/>
              </w:rPr>
              <w:t xml:space="preserve"> тижнів (</w:t>
            </w:r>
            <w:r w:rsidR="001C460A">
              <w:rPr>
                <w:rFonts w:ascii="Times New Roman" w:hAnsi="Times New Roman" w:cs="Times New Roman"/>
                <w:lang w:val="uk-UA"/>
              </w:rPr>
              <w:t>А</w:t>
            </w:r>
            <w:r w:rsidRPr="00BA5C0A">
              <w:rPr>
                <w:rFonts w:ascii="Times New Roman" w:hAnsi="Times New Roman" w:cs="Times New Roman"/>
                <w:lang w:val="uk-UA"/>
              </w:rPr>
              <w:t xml:space="preserve">1). </w:t>
            </w:r>
          </w:p>
          <w:p w14:paraId="4C2A5EC2" w14:textId="276673F6" w:rsidR="00BC0D4A" w:rsidRPr="00BC0D4A" w:rsidRDefault="001C460A" w:rsidP="00015E3B">
            <w:pPr>
              <w:numPr>
                <w:ilvl w:val="0"/>
                <w:numId w:val="26"/>
              </w:numPr>
              <w:tabs>
                <w:tab w:val="left" w:pos="1178"/>
              </w:tabs>
              <w:contextualSpacing/>
              <w:jc w:val="both"/>
              <w:rPr>
                <w:rFonts w:ascii="Times New Roman" w:hAnsi="Times New Roman" w:cs="Times New Roman"/>
                <w:lang w:val="uk-UA"/>
              </w:rPr>
            </w:pPr>
            <w:r w:rsidRPr="001C460A">
              <w:rPr>
                <w:rFonts w:ascii="Times New Roman" w:hAnsi="Times New Roman" w:cs="Times New Roman"/>
                <w:lang w:val="uk-UA"/>
              </w:rPr>
              <w:t>“Наївні” та пацієнти</w:t>
            </w:r>
            <w:r w:rsidR="00632C89">
              <w:rPr>
                <w:rFonts w:ascii="Times New Roman" w:hAnsi="Times New Roman" w:cs="Times New Roman"/>
                <w:lang w:val="uk-UA"/>
              </w:rPr>
              <w:t xml:space="preserve"> </w:t>
            </w:r>
            <w:r w:rsidR="00632C89">
              <w:rPr>
                <w:rFonts w:ascii="Times New Roman" w:hAnsi="Times New Roman" w:cs="Times New Roman"/>
                <w:color w:val="000000" w:themeColor="text1"/>
                <w:lang w:val="uk-UA"/>
              </w:rPr>
              <w:t>з досвідом лікування</w:t>
            </w:r>
            <w:r w:rsidRPr="001C460A">
              <w:rPr>
                <w:rFonts w:ascii="Times New Roman" w:hAnsi="Times New Roman" w:cs="Times New Roman"/>
                <w:lang w:val="uk-UA"/>
              </w:rPr>
              <w:t>, інфіковані 4 генотипом  з компенсованим (Child</w:t>
            </w:r>
            <w:r w:rsidR="00FC6D8A">
              <w:rPr>
                <w:rFonts w:ascii="Times New Roman" w:hAnsi="Times New Roman" w:cs="Times New Roman"/>
                <w:lang w:val="uk-UA"/>
              </w:rPr>
              <w:t>–</w:t>
            </w:r>
            <w:r w:rsidRPr="001C460A">
              <w:rPr>
                <w:rFonts w:ascii="Times New Roman" w:hAnsi="Times New Roman" w:cs="Times New Roman"/>
                <w:lang w:val="uk-UA"/>
              </w:rPr>
              <w:t>Pugh A) цирозом, повинні отримувати комбінацію з фіксованою дозою протягом 12 тижнів (A1).</w:t>
            </w:r>
          </w:p>
        </w:tc>
      </w:tr>
    </w:tbl>
    <w:p w14:paraId="6D8B6B02" w14:textId="18952A5C" w:rsidR="00BC0D4A" w:rsidRDefault="00BC0D4A" w:rsidP="00BA5C0A">
      <w:pPr>
        <w:tabs>
          <w:tab w:val="left" w:pos="1178"/>
        </w:tabs>
        <w:jc w:val="both"/>
        <w:rPr>
          <w:rFonts w:ascii="Times New Roman" w:hAnsi="Times New Roman" w:cs="Times New Roman"/>
          <w:lang w:val="uk-UA"/>
        </w:rPr>
      </w:pPr>
    </w:p>
    <w:p w14:paraId="76F0E3A8" w14:textId="50D11866" w:rsidR="00BC0D4A" w:rsidRPr="00392AA8" w:rsidRDefault="00BC0D4A" w:rsidP="00BC0D4A">
      <w:pPr>
        <w:tabs>
          <w:tab w:val="left" w:pos="1178"/>
        </w:tabs>
        <w:jc w:val="both"/>
        <w:rPr>
          <w:rFonts w:ascii="Times New Roman" w:hAnsi="Times New Roman" w:cs="Times New Roman"/>
          <w:lang w:val="uk-UA"/>
        </w:rPr>
      </w:pPr>
      <w:r w:rsidRPr="00392AA8">
        <w:rPr>
          <w:rFonts w:ascii="Times New Roman" w:hAnsi="Times New Roman" w:cs="Times New Roman"/>
          <w:lang w:val="uk-UA"/>
        </w:rPr>
        <w:t>Коментарі: Ця рекомендація частково грунтується на результатах II фази дослідження SURVEYOR</w:t>
      </w:r>
      <w:r w:rsidR="00FC6D8A">
        <w:rPr>
          <w:rFonts w:ascii="Times New Roman" w:hAnsi="Times New Roman" w:cs="Times New Roman"/>
          <w:lang w:val="uk-UA"/>
        </w:rPr>
        <w:t>–</w:t>
      </w:r>
      <w:r w:rsidRPr="00392AA8">
        <w:rPr>
          <w:rFonts w:ascii="Times New Roman" w:hAnsi="Times New Roman" w:cs="Times New Roman"/>
          <w:lang w:val="uk-UA"/>
        </w:rPr>
        <w:t xml:space="preserve">2, що показав </w:t>
      </w:r>
      <w:r w:rsidR="00B35303">
        <w:rPr>
          <w:rFonts w:ascii="Times New Roman" w:hAnsi="Times New Roman" w:cs="Times New Roman"/>
          <w:lang w:val="uk-UA"/>
        </w:rPr>
        <w:t xml:space="preserve">досягнення </w:t>
      </w:r>
      <w:r w:rsidRPr="00392AA8">
        <w:rPr>
          <w:rFonts w:ascii="Times New Roman" w:hAnsi="Times New Roman" w:cs="Times New Roman"/>
          <w:lang w:val="uk-UA"/>
        </w:rPr>
        <w:t>СВВ12 93% (43/46 без вірусологічної недостатності) у “наївних” та пацієнтів</w:t>
      </w:r>
      <w:r w:rsidR="00632C89">
        <w:rPr>
          <w:rFonts w:ascii="Times New Roman" w:hAnsi="Times New Roman" w:cs="Times New Roman"/>
          <w:lang w:val="uk-UA"/>
        </w:rPr>
        <w:t xml:space="preserve"> </w:t>
      </w:r>
      <w:r w:rsidR="00632C89">
        <w:rPr>
          <w:rFonts w:ascii="Times New Roman" w:hAnsi="Times New Roman" w:cs="Times New Roman"/>
          <w:color w:val="000000" w:themeColor="text1"/>
          <w:lang w:val="uk-UA"/>
        </w:rPr>
        <w:t>з досвідом лікування</w:t>
      </w:r>
      <w:r w:rsidRPr="00392AA8">
        <w:rPr>
          <w:rFonts w:ascii="Times New Roman" w:hAnsi="Times New Roman" w:cs="Times New Roman"/>
          <w:lang w:val="uk-UA"/>
        </w:rPr>
        <w:t>, які не мали цирозу</w:t>
      </w:r>
      <w:r w:rsidR="00B35303">
        <w:rPr>
          <w:rFonts w:ascii="Times New Roman" w:hAnsi="Times New Roman" w:cs="Times New Roman"/>
          <w:lang w:val="uk-UA"/>
        </w:rPr>
        <w:t xml:space="preserve"> </w:t>
      </w:r>
      <w:r w:rsidRPr="00392AA8">
        <w:rPr>
          <w:rFonts w:ascii="Times New Roman" w:hAnsi="Times New Roman" w:cs="Times New Roman"/>
          <w:lang w:val="uk-UA"/>
        </w:rPr>
        <w:t xml:space="preserve">та які отримували </w:t>
      </w:r>
      <w:r w:rsidRPr="00392AA8">
        <w:rPr>
          <w:rFonts w:ascii="Times New Roman" w:hAnsi="Times New Roman" w:cs="Times New Roman"/>
          <w:color w:val="000000" w:themeColor="text1"/>
          <w:lang w:val="uk-UA"/>
        </w:rPr>
        <w:t xml:space="preserve">комбінацію з фіксованою дозою </w:t>
      </w:r>
      <w:r w:rsidRPr="00392AA8">
        <w:rPr>
          <w:rFonts w:ascii="Times New Roman" w:hAnsi="Times New Roman" w:cs="Times New Roman"/>
          <w:lang w:val="uk-UA"/>
        </w:rPr>
        <w:t xml:space="preserve">глікапревіру та пібрентасвіру протягом 8 тижнів. </w:t>
      </w:r>
      <w:r w:rsidRPr="00392AA8">
        <w:rPr>
          <w:rFonts w:ascii="Times New Roman" w:hAnsi="Times New Roman" w:cs="Times New Roman"/>
          <w:vertAlign w:val="superscript"/>
          <w:lang w:val="uk-UA"/>
        </w:rPr>
        <w:t>99</w:t>
      </w:r>
      <w:r w:rsidRPr="00392AA8">
        <w:rPr>
          <w:rFonts w:ascii="Times New Roman" w:hAnsi="Times New Roman" w:cs="Times New Roman"/>
          <w:lang w:val="uk-UA"/>
        </w:rPr>
        <w:t xml:space="preserve"> У дослідженні ENDURANCE</w:t>
      </w:r>
      <w:r w:rsidR="00FC6D8A">
        <w:rPr>
          <w:rFonts w:ascii="Times New Roman" w:hAnsi="Times New Roman" w:cs="Times New Roman"/>
          <w:lang w:val="uk-UA"/>
        </w:rPr>
        <w:t>–</w:t>
      </w:r>
      <w:r w:rsidRPr="00392AA8">
        <w:rPr>
          <w:rFonts w:ascii="Times New Roman" w:hAnsi="Times New Roman" w:cs="Times New Roman"/>
          <w:lang w:val="uk-UA"/>
        </w:rPr>
        <w:t xml:space="preserve">4 пацієнти із генотипом 4 без цирозу, які отримували лікування протягом 12 тижнів, продемонстрували частоту </w:t>
      </w:r>
      <w:r w:rsidR="00B35303">
        <w:rPr>
          <w:rFonts w:ascii="Times New Roman" w:hAnsi="Times New Roman" w:cs="Times New Roman"/>
          <w:lang w:val="uk-UA"/>
        </w:rPr>
        <w:t xml:space="preserve">досягнення </w:t>
      </w:r>
      <w:r w:rsidRPr="00392AA8">
        <w:rPr>
          <w:rFonts w:ascii="Times New Roman" w:hAnsi="Times New Roman" w:cs="Times New Roman"/>
          <w:lang w:val="uk-UA"/>
        </w:rPr>
        <w:t xml:space="preserve">СВВ у 99% (75/76; без вірусологічних невдач) випадків </w:t>
      </w:r>
      <w:r w:rsidRPr="00392AA8">
        <w:rPr>
          <w:rFonts w:ascii="Times New Roman" w:hAnsi="Times New Roman" w:cs="Times New Roman"/>
          <w:vertAlign w:val="superscript"/>
          <w:lang w:val="uk-UA"/>
        </w:rPr>
        <w:t>106,</w:t>
      </w:r>
      <w:r w:rsidRPr="00392AA8">
        <w:rPr>
          <w:rFonts w:ascii="Times New Roman" w:hAnsi="Times New Roman" w:cs="Times New Roman"/>
          <w:lang w:val="uk-UA"/>
        </w:rPr>
        <w:t xml:space="preserve"> тоді як у дослідженні EXPEDITION</w:t>
      </w:r>
      <w:r w:rsidR="00FC6D8A">
        <w:rPr>
          <w:rFonts w:ascii="Times New Roman" w:hAnsi="Times New Roman" w:cs="Times New Roman"/>
          <w:lang w:val="uk-UA"/>
        </w:rPr>
        <w:t>–</w:t>
      </w:r>
      <w:r w:rsidRPr="00392AA8">
        <w:rPr>
          <w:rFonts w:ascii="Times New Roman" w:hAnsi="Times New Roman" w:cs="Times New Roman"/>
          <w:lang w:val="uk-UA"/>
        </w:rPr>
        <w:t>1, пацієнти з цирозом, досяг</w:t>
      </w:r>
      <w:r w:rsidR="00B35303">
        <w:rPr>
          <w:rFonts w:ascii="Times New Roman" w:hAnsi="Times New Roman" w:cs="Times New Roman"/>
          <w:lang w:val="uk-UA"/>
        </w:rPr>
        <w:t>ли</w:t>
      </w:r>
      <w:r w:rsidRPr="00392AA8">
        <w:rPr>
          <w:rFonts w:ascii="Times New Roman" w:hAnsi="Times New Roman" w:cs="Times New Roman"/>
          <w:lang w:val="uk-UA"/>
        </w:rPr>
        <w:t xml:space="preserve"> СВВ12 у 100% (16/16) випадків. </w:t>
      </w:r>
      <w:r w:rsidRPr="00392AA8">
        <w:rPr>
          <w:rFonts w:ascii="Times New Roman" w:hAnsi="Times New Roman" w:cs="Times New Roman"/>
          <w:vertAlign w:val="superscript"/>
          <w:lang w:val="uk-UA"/>
        </w:rPr>
        <w:t>73</w:t>
      </w:r>
    </w:p>
    <w:p w14:paraId="125A9A0C" w14:textId="77777777" w:rsidR="00BC0D4A" w:rsidRPr="00392AA8" w:rsidRDefault="00BC0D4A" w:rsidP="00BC0D4A">
      <w:pPr>
        <w:tabs>
          <w:tab w:val="left" w:pos="1178"/>
        </w:tabs>
        <w:jc w:val="both"/>
        <w:rPr>
          <w:rFonts w:ascii="Times New Roman" w:hAnsi="Times New Roman" w:cs="Times New Roman"/>
          <w:lang w:val="uk-UA"/>
        </w:rPr>
      </w:pPr>
    </w:p>
    <w:p w14:paraId="2D86BE00" w14:textId="79E80FF5" w:rsidR="00BC0D4A" w:rsidRDefault="00BC0D4A" w:rsidP="00BA5C0A">
      <w:pPr>
        <w:tabs>
          <w:tab w:val="left" w:pos="1178"/>
        </w:tabs>
        <w:jc w:val="both"/>
        <w:rPr>
          <w:rFonts w:ascii="Times New Roman" w:hAnsi="Times New Roman" w:cs="Times New Roman"/>
          <w:vertAlign w:val="superscript"/>
          <w:lang w:val="uk-UA"/>
        </w:rPr>
      </w:pPr>
      <w:r w:rsidRPr="00392AA8">
        <w:rPr>
          <w:rFonts w:ascii="Times New Roman" w:hAnsi="Times New Roman" w:cs="Times New Roman"/>
          <w:lang w:val="uk-UA"/>
        </w:rPr>
        <w:t>У дослідженні EXPEDITION 2 показник СВВ12 становив 100% (16/16) після 8 тижнів</w:t>
      </w:r>
      <w:r w:rsidR="00B35303">
        <w:rPr>
          <w:rFonts w:ascii="Times New Roman" w:hAnsi="Times New Roman" w:cs="Times New Roman"/>
          <w:lang w:val="uk-UA"/>
        </w:rPr>
        <w:t xml:space="preserve"> використання </w:t>
      </w:r>
      <w:r w:rsidRPr="00392AA8">
        <w:rPr>
          <w:rFonts w:ascii="Times New Roman" w:hAnsi="Times New Roman" w:cs="Times New Roman"/>
          <w:lang w:val="uk-UA"/>
        </w:rPr>
        <w:t xml:space="preserve"> глікапревіру/пібрентасвіру у пацієнтів з </w:t>
      </w:r>
      <w:r w:rsidR="00B35303">
        <w:rPr>
          <w:rFonts w:ascii="Times New Roman" w:hAnsi="Times New Roman" w:cs="Times New Roman"/>
          <w:lang w:val="uk-UA"/>
        </w:rPr>
        <w:t xml:space="preserve">4 генотипом </w:t>
      </w:r>
      <w:r w:rsidRPr="00392AA8">
        <w:rPr>
          <w:rFonts w:ascii="Times New Roman" w:hAnsi="Times New Roman" w:cs="Times New Roman"/>
          <w:lang w:val="uk-UA"/>
        </w:rPr>
        <w:t>ВГС, з коінфекцією ВІЛ</w:t>
      </w:r>
      <w:r w:rsidR="00525692">
        <w:rPr>
          <w:rFonts w:ascii="Times New Roman" w:hAnsi="Times New Roman" w:cs="Times New Roman"/>
          <w:lang w:val="uk-UA"/>
        </w:rPr>
        <w:t>/ВГС</w:t>
      </w:r>
      <w:r w:rsidRPr="00392AA8">
        <w:rPr>
          <w:rFonts w:ascii="Times New Roman" w:hAnsi="Times New Roman" w:cs="Times New Roman"/>
          <w:lang w:val="uk-UA"/>
        </w:rPr>
        <w:t xml:space="preserve"> </w:t>
      </w:r>
      <w:r w:rsidR="00B35303">
        <w:rPr>
          <w:rFonts w:ascii="Times New Roman" w:hAnsi="Times New Roman" w:cs="Times New Roman"/>
          <w:lang w:val="uk-UA"/>
        </w:rPr>
        <w:t xml:space="preserve">та </w:t>
      </w:r>
      <w:r w:rsidRPr="00392AA8">
        <w:rPr>
          <w:rFonts w:ascii="Times New Roman" w:hAnsi="Times New Roman" w:cs="Times New Roman"/>
          <w:lang w:val="uk-UA"/>
        </w:rPr>
        <w:t xml:space="preserve">без цирозу </w:t>
      </w:r>
      <w:r w:rsidRPr="00392AA8">
        <w:rPr>
          <w:rFonts w:ascii="Times New Roman" w:hAnsi="Times New Roman" w:cs="Times New Roman"/>
          <w:vertAlign w:val="superscript"/>
          <w:lang w:val="uk-UA"/>
        </w:rPr>
        <w:t>101.</w:t>
      </w:r>
    </w:p>
    <w:p w14:paraId="56B9345C" w14:textId="1A1A8384" w:rsidR="00770318" w:rsidRDefault="00770318" w:rsidP="00BA5C0A">
      <w:pPr>
        <w:tabs>
          <w:tab w:val="left" w:pos="1178"/>
        </w:tabs>
        <w:jc w:val="both"/>
        <w:rPr>
          <w:rFonts w:ascii="Times New Roman" w:hAnsi="Times New Roman" w:cs="Times New Roman"/>
          <w:vertAlign w:val="superscript"/>
          <w:lang w:val="uk-UA"/>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770318" w:rsidRPr="0080595E" w14:paraId="5470D879" w14:textId="77777777" w:rsidTr="00770318">
        <w:trPr>
          <w:trHeight w:val="1440"/>
        </w:trPr>
        <w:tc>
          <w:tcPr>
            <w:tcW w:w="9918" w:type="dxa"/>
            <w:shd w:val="clear" w:color="auto" w:fill="BDD6EE" w:themeFill="accent1" w:themeFillTint="66"/>
          </w:tcPr>
          <w:p w14:paraId="21318FEE" w14:textId="77777777" w:rsidR="00770318" w:rsidRPr="004E4E66" w:rsidRDefault="00770318" w:rsidP="00770318">
            <w:pPr>
              <w:shd w:val="clear" w:color="auto" w:fill="BDD6EE" w:themeFill="accent1" w:themeFillTint="66"/>
              <w:tabs>
                <w:tab w:val="left" w:pos="1178"/>
              </w:tabs>
              <w:ind w:left="-87"/>
              <w:jc w:val="both"/>
              <w:rPr>
                <w:rFonts w:ascii="Times New Roman" w:hAnsi="Times New Roman" w:cs="Times New Roman"/>
                <w:b/>
                <w:i/>
                <w:lang w:val="uk-UA"/>
              </w:rPr>
            </w:pPr>
            <w:r w:rsidRPr="004E4E66">
              <w:rPr>
                <w:rFonts w:ascii="Times New Roman" w:hAnsi="Times New Roman" w:cs="Times New Roman"/>
                <w:b/>
                <w:i/>
                <w:lang w:val="uk-UA"/>
              </w:rPr>
              <w:t xml:space="preserve">Генотип 4, специфічна до генотипу схема: </w:t>
            </w:r>
            <w:r>
              <w:rPr>
                <w:rFonts w:ascii="Times New Roman" w:hAnsi="Times New Roman" w:cs="Times New Roman"/>
                <w:b/>
                <w:i/>
                <w:lang w:val="uk-UA"/>
              </w:rPr>
              <w:t>с</w:t>
            </w:r>
            <w:r w:rsidRPr="004E4E66">
              <w:rPr>
                <w:rFonts w:ascii="Times New Roman" w:hAnsi="Times New Roman" w:cs="Times New Roman"/>
                <w:b/>
                <w:i/>
                <w:lang w:val="uk-UA"/>
              </w:rPr>
              <w:t>офосбувір/ледіпасвір</w:t>
            </w:r>
          </w:p>
          <w:p w14:paraId="056B6B9D" w14:textId="77777777" w:rsidR="00770318" w:rsidRPr="00BA5C0A" w:rsidRDefault="00770318" w:rsidP="00770318">
            <w:pPr>
              <w:shd w:val="clear" w:color="auto" w:fill="BDD6EE" w:themeFill="accent1" w:themeFillTint="66"/>
              <w:tabs>
                <w:tab w:val="left" w:pos="1178"/>
              </w:tabs>
              <w:ind w:left="-87"/>
              <w:jc w:val="both"/>
              <w:rPr>
                <w:rFonts w:ascii="Times New Roman" w:hAnsi="Times New Roman" w:cs="Times New Roman"/>
                <w:lang w:val="uk-UA"/>
              </w:rPr>
            </w:pPr>
          </w:p>
          <w:p w14:paraId="050C2AD3" w14:textId="77777777" w:rsidR="00770318" w:rsidRPr="00C76CFE" w:rsidRDefault="00770318" w:rsidP="00770318">
            <w:pPr>
              <w:numPr>
                <w:ilvl w:val="0"/>
                <w:numId w:val="26"/>
              </w:numPr>
              <w:shd w:val="clear" w:color="auto" w:fill="BDD6EE" w:themeFill="accent1" w:themeFillTint="66"/>
              <w:tabs>
                <w:tab w:val="left" w:pos="1178"/>
              </w:tabs>
              <w:contextualSpacing/>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“Наївні” пацієнти</w:t>
            </w:r>
            <w:r w:rsidRPr="00BA5C0A">
              <w:rPr>
                <w:rFonts w:ascii="Times New Roman" w:hAnsi="Times New Roman" w:cs="Times New Roman"/>
                <w:lang w:val="uk-UA"/>
              </w:rPr>
              <w:t xml:space="preserve">, інфіковані </w:t>
            </w:r>
            <w:r>
              <w:rPr>
                <w:rFonts w:ascii="Times New Roman" w:hAnsi="Times New Roman" w:cs="Times New Roman"/>
                <w:lang w:val="uk-UA"/>
              </w:rPr>
              <w:t xml:space="preserve">4 генотипом </w:t>
            </w:r>
            <w:r w:rsidRPr="00BA5C0A">
              <w:rPr>
                <w:rFonts w:ascii="Times New Roman" w:hAnsi="Times New Roman" w:cs="Times New Roman"/>
                <w:lang w:val="uk-UA"/>
              </w:rPr>
              <w:t>ВГС, без цирозу або з компенсованим (Child</w:t>
            </w:r>
            <w:r>
              <w:rPr>
                <w:rFonts w:ascii="Times New Roman" w:hAnsi="Times New Roman" w:cs="Times New Roman"/>
                <w:lang w:val="uk-UA"/>
              </w:rPr>
              <w:t>–</w:t>
            </w:r>
            <w:r w:rsidRPr="00BA5C0A">
              <w:rPr>
                <w:rFonts w:ascii="Times New Roman" w:hAnsi="Times New Roman" w:cs="Times New Roman"/>
                <w:lang w:val="uk-UA"/>
              </w:rPr>
              <w:t xml:space="preserve">Pugh A) цирозом, </w:t>
            </w:r>
            <w:r w:rsidRPr="00BA5C0A">
              <w:rPr>
                <w:rFonts w:ascii="Times New Roman" w:hAnsi="Times New Roman" w:cs="Times New Roman"/>
                <w:color w:val="000000" w:themeColor="text1"/>
                <w:lang w:val="uk-UA"/>
              </w:rPr>
              <w:t>повинні отримувати комбінацію з фіксованою дозою</w:t>
            </w:r>
            <w:r w:rsidRPr="00BA5C0A">
              <w:rPr>
                <w:rFonts w:ascii="Times New Roman" w:hAnsi="Times New Roman" w:cs="Times New Roman"/>
                <w:lang w:val="uk-UA"/>
              </w:rPr>
              <w:t xml:space="preserve"> </w:t>
            </w:r>
            <w:r w:rsidRPr="00BA5C0A">
              <w:rPr>
                <w:rFonts w:ascii="Times New Roman" w:hAnsi="Times New Roman" w:cs="Times New Roman"/>
                <w:color w:val="000000" w:themeColor="text1"/>
                <w:lang w:val="uk-UA"/>
              </w:rPr>
              <w:t xml:space="preserve">софосбувіру та ледіпасвіру протягом </w:t>
            </w:r>
            <w:r w:rsidRPr="00BA5C0A">
              <w:rPr>
                <w:rFonts w:ascii="Times New Roman" w:hAnsi="Times New Roman" w:cs="Times New Roman"/>
                <w:lang w:val="uk-UA"/>
              </w:rPr>
              <w:t xml:space="preserve">12 тижнів (B1). </w:t>
            </w:r>
          </w:p>
          <w:p w14:paraId="3ED38A63" w14:textId="77777777" w:rsidR="00770318" w:rsidRPr="00E7063E" w:rsidRDefault="00770318" w:rsidP="00770318">
            <w:pPr>
              <w:numPr>
                <w:ilvl w:val="0"/>
                <w:numId w:val="26"/>
              </w:numPr>
              <w:shd w:val="clear" w:color="auto" w:fill="BDD6EE" w:themeFill="accent1" w:themeFillTint="66"/>
              <w:tabs>
                <w:tab w:val="left" w:pos="1178"/>
              </w:tabs>
              <w:contextualSpacing/>
              <w:jc w:val="both"/>
              <w:rPr>
                <w:rFonts w:ascii="Times New Roman" w:hAnsi="Times New Roman" w:cs="Times New Roman"/>
                <w:color w:val="000000" w:themeColor="text1"/>
                <w:lang w:val="uk-UA"/>
              </w:rPr>
            </w:pPr>
            <w:r w:rsidRPr="00BA5C0A">
              <w:rPr>
                <w:rFonts w:ascii="Times New Roman" w:hAnsi="Times New Roman" w:cs="Times New Roman"/>
                <w:lang w:val="uk-UA"/>
              </w:rPr>
              <w:t xml:space="preserve">Комбінація </w:t>
            </w:r>
            <w:r w:rsidRPr="00BA5C0A">
              <w:rPr>
                <w:rFonts w:ascii="Times New Roman" w:hAnsi="Times New Roman" w:cs="Times New Roman"/>
                <w:color w:val="000000" w:themeColor="text1"/>
                <w:lang w:val="uk-UA"/>
              </w:rPr>
              <w:t>софосбувіру та ледіпасвіру</w:t>
            </w:r>
            <w:r w:rsidRPr="00BA5C0A">
              <w:rPr>
                <w:rFonts w:ascii="Times New Roman" w:hAnsi="Times New Roman" w:cs="Times New Roman"/>
                <w:lang w:val="uk-UA"/>
              </w:rPr>
              <w:t xml:space="preserve"> не рекомендується для пацієнтів</w:t>
            </w:r>
            <w:r>
              <w:rPr>
                <w:rFonts w:ascii="Times New Roman" w:hAnsi="Times New Roman" w:cs="Times New Roman"/>
                <w:lang w:val="uk-UA"/>
              </w:rPr>
              <w:t xml:space="preserve"> </w:t>
            </w:r>
            <w:r>
              <w:rPr>
                <w:rFonts w:ascii="Times New Roman" w:hAnsi="Times New Roman" w:cs="Times New Roman"/>
                <w:color w:val="000000" w:themeColor="text1"/>
                <w:lang w:val="uk-UA"/>
              </w:rPr>
              <w:t>з досвідом лікування</w:t>
            </w:r>
            <w:r w:rsidRPr="00BA5C0A">
              <w:rPr>
                <w:rFonts w:ascii="Times New Roman" w:hAnsi="Times New Roman" w:cs="Times New Roman"/>
                <w:lang w:val="uk-UA"/>
              </w:rPr>
              <w:t xml:space="preserve">, інфікованих </w:t>
            </w:r>
            <w:r>
              <w:rPr>
                <w:rFonts w:ascii="Times New Roman" w:hAnsi="Times New Roman" w:cs="Times New Roman"/>
                <w:lang w:val="uk-UA"/>
              </w:rPr>
              <w:t xml:space="preserve">4 </w:t>
            </w:r>
            <w:r w:rsidRPr="00BA5C0A">
              <w:rPr>
                <w:rFonts w:ascii="Times New Roman" w:hAnsi="Times New Roman" w:cs="Times New Roman"/>
                <w:lang w:val="uk-UA"/>
              </w:rPr>
              <w:t>генотипом (B1).</w:t>
            </w:r>
          </w:p>
        </w:tc>
      </w:tr>
    </w:tbl>
    <w:p w14:paraId="5995389E" w14:textId="4CA9FC02" w:rsidR="00770318" w:rsidRDefault="00770318" w:rsidP="00BA5C0A">
      <w:pPr>
        <w:tabs>
          <w:tab w:val="left" w:pos="1178"/>
        </w:tabs>
        <w:jc w:val="both"/>
        <w:rPr>
          <w:rFonts w:ascii="Times New Roman" w:hAnsi="Times New Roman" w:cs="Times New Roman"/>
          <w:vertAlign w:val="superscript"/>
          <w:lang w:val="uk-UA"/>
        </w:rPr>
      </w:pPr>
    </w:p>
    <w:p w14:paraId="65A9E4D5" w14:textId="55D026D7"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Коментарі: дослідження SYNERGY оцінювало ефективність та безпечність комбінації </w:t>
      </w:r>
      <w:r w:rsidRPr="00BA5C0A">
        <w:rPr>
          <w:rFonts w:ascii="Times New Roman" w:hAnsi="Times New Roman" w:cs="Times New Roman"/>
          <w:color w:val="000000" w:themeColor="text1"/>
          <w:lang w:val="uk-UA"/>
        </w:rPr>
        <w:t xml:space="preserve">софосбувіру та ледіпасвіру </w:t>
      </w:r>
      <w:r w:rsidRPr="00BA5C0A">
        <w:rPr>
          <w:rFonts w:ascii="Times New Roman" w:hAnsi="Times New Roman" w:cs="Times New Roman"/>
          <w:lang w:val="uk-UA"/>
        </w:rPr>
        <w:t xml:space="preserve">у пацієнтів з </w:t>
      </w:r>
      <w:r w:rsidR="0020289A">
        <w:rPr>
          <w:rFonts w:ascii="Times New Roman" w:hAnsi="Times New Roman" w:cs="Times New Roman"/>
          <w:lang w:val="uk-UA"/>
        </w:rPr>
        <w:t xml:space="preserve">4 генотипом </w:t>
      </w:r>
      <w:r w:rsidRPr="00BA5C0A">
        <w:rPr>
          <w:rFonts w:ascii="Times New Roman" w:hAnsi="Times New Roman" w:cs="Times New Roman"/>
          <w:lang w:val="uk-UA"/>
        </w:rPr>
        <w:t xml:space="preserve">ВГС. Після 12 тижнів терапії 95% (20/21; без вірусологічних невдач) </w:t>
      </w:r>
      <w:r w:rsidR="00BF71F3">
        <w:rPr>
          <w:rFonts w:ascii="Times New Roman" w:hAnsi="Times New Roman" w:cs="Times New Roman"/>
          <w:lang w:val="uk-UA"/>
        </w:rPr>
        <w:t xml:space="preserve">пацієнтів </w:t>
      </w:r>
      <w:r w:rsidRPr="00BA5C0A">
        <w:rPr>
          <w:rFonts w:ascii="Times New Roman" w:hAnsi="Times New Roman" w:cs="Times New Roman"/>
          <w:lang w:val="uk-UA"/>
        </w:rPr>
        <w:t>досягли СВВ</w:t>
      </w:r>
      <w:r w:rsidRPr="00BA5C0A">
        <w:rPr>
          <w:rFonts w:ascii="Times New Roman" w:hAnsi="Times New Roman" w:cs="Times New Roman"/>
          <w:vertAlign w:val="superscript"/>
          <w:lang w:val="uk-UA"/>
        </w:rPr>
        <w:t xml:space="preserve">107. </w:t>
      </w:r>
      <w:r w:rsidRPr="00BA5C0A">
        <w:rPr>
          <w:rFonts w:ascii="Times New Roman" w:hAnsi="Times New Roman" w:cs="Times New Roman"/>
          <w:lang w:val="uk-UA"/>
        </w:rPr>
        <w:t>У іншому дослідженні фази II</w:t>
      </w:r>
      <w:r w:rsidR="00BF71F3">
        <w:rPr>
          <w:rFonts w:ascii="Times New Roman" w:hAnsi="Times New Roman" w:cs="Times New Roman"/>
          <w:lang w:val="uk-UA"/>
        </w:rPr>
        <w:t>,</w:t>
      </w:r>
      <w:r w:rsidRPr="00BA5C0A">
        <w:rPr>
          <w:rFonts w:ascii="Times New Roman" w:hAnsi="Times New Roman" w:cs="Times New Roman"/>
          <w:lang w:val="uk-UA"/>
        </w:rPr>
        <w:t xml:space="preserve"> пацієнти лікувалися комбінацією </w:t>
      </w:r>
      <w:r w:rsidRPr="00BA5C0A">
        <w:rPr>
          <w:rFonts w:ascii="Times New Roman" w:hAnsi="Times New Roman" w:cs="Times New Roman"/>
          <w:color w:val="000000" w:themeColor="text1"/>
          <w:lang w:val="uk-UA"/>
        </w:rPr>
        <w:t xml:space="preserve">софосбувіру та ледіпасвіру </w:t>
      </w:r>
      <w:r w:rsidRPr="00BA5C0A">
        <w:rPr>
          <w:rFonts w:ascii="Times New Roman" w:hAnsi="Times New Roman" w:cs="Times New Roman"/>
          <w:lang w:val="uk-UA"/>
        </w:rPr>
        <w:t xml:space="preserve">протягом 12 тижнів. Частота СВВ12 склала 96% (21/22) серед </w:t>
      </w:r>
      <w:r w:rsidRPr="00BA5C0A">
        <w:rPr>
          <w:rFonts w:ascii="Times New Roman" w:hAnsi="Times New Roman" w:cs="Times New Roman"/>
          <w:color w:val="000000" w:themeColor="text1"/>
          <w:lang w:val="uk-UA"/>
        </w:rPr>
        <w:t>“наївних” пацієнтів</w:t>
      </w:r>
      <w:r w:rsidRPr="00BA5C0A">
        <w:rPr>
          <w:rFonts w:ascii="Times New Roman" w:hAnsi="Times New Roman" w:cs="Times New Roman"/>
          <w:lang w:val="uk-UA"/>
        </w:rPr>
        <w:t xml:space="preserve"> та 91% (20/22) серед</w:t>
      </w:r>
      <w:r w:rsidRPr="00BA5C0A">
        <w:rPr>
          <w:rFonts w:ascii="Times New Roman" w:hAnsi="Times New Roman" w:cs="Times New Roman"/>
          <w:color w:val="000000" w:themeColor="text1"/>
          <w:lang w:val="uk-UA"/>
        </w:rPr>
        <w:t xml:space="preserve"> </w:t>
      </w:r>
      <w:r w:rsidRPr="00BA5C0A">
        <w:rPr>
          <w:rFonts w:ascii="Times New Roman" w:hAnsi="Times New Roman" w:cs="Times New Roman"/>
          <w:lang w:val="uk-UA"/>
        </w:rPr>
        <w:t>пацієнтів</w:t>
      </w:r>
      <w:r w:rsidR="00632C89">
        <w:rPr>
          <w:rFonts w:ascii="Times New Roman" w:hAnsi="Times New Roman" w:cs="Times New Roman"/>
          <w:lang w:val="uk-UA"/>
        </w:rPr>
        <w:t xml:space="preserve"> </w:t>
      </w:r>
      <w:r w:rsidR="00632C89">
        <w:rPr>
          <w:rFonts w:ascii="Times New Roman" w:hAnsi="Times New Roman" w:cs="Times New Roman"/>
          <w:color w:val="000000" w:themeColor="text1"/>
          <w:lang w:val="uk-UA"/>
        </w:rPr>
        <w:t>з досвідом лікування</w:t>
      </w:r>
      <w:r w:rsidR="00632C89">
        <w:rPr>
          <w:rFonts w:ascii="Times New Roman" w:hAnsi="Times New Roman" w:cs="Times New Roman"/>
          <w:lang w:val="uk-UA"/>
        </w:rPr>
        <w:t>,</w:t>
      </w:r>
      <w:r w:rsidRPr="00BA5C0A">
        <w:rPr>
          <w:rFonts w:ascii="Times New Roman" w:hAnsi="Times New Roman" w:cs="Times New Roman"/>
          <w:lang w:val="uk-UA"/>
        </w:rPr>
        <w:t xml:space="preserve"> з </w:t>
      </w:r>
      <w:r w:rsidR="00632C89">
        <w:rPr>
          <w:rFonts w:ascii="Times New Roman" w:hAnsi="Times New Roman" w:cs="Times New Roman"/>
          <w:lang w:val="uk-UA"/>
        </w:rPr>
        <w:t>як</w:t>
      </w:r>
      <w:r w:rsidRPr="00BA5C0A">
        <w:rPr>
          <w:rFonts w:ascii="Times New Roman" w:hAnsi="Times New Roman" w:cs="Times New Roman"/>
          <w:lang w:val="uk-UA"/>
        </w:rPr>
        <w:t>их 91% (31/34) у хворих без цироз</w:t>
      </w:r>
      <w:r w:rsidR="00BF71F3">
        <w:rPr>
          <w:rFonts w:ascii="Times New Roman" w:hAnsi="Times New Roman" w:cs="Times New Roman"/>
          <w:lang w:val="uk-UA"/>
        </w:rPr>
        <w:t>у</w:t>
      </w:r>
      <w:r w:rsidRPr="00BA5C0A">
        <w:rPr>
          <w:rFonts w:ascii="Times New Roman" w:hAnsi="Times New Roman" w:cs="Times New Roman"/>
          <w:lang w:val="uk-UA"/>
        </w:rPr>
        <w:t xml:space="preserve"> печінки та 100% (10/10) у хворих </w:t>
      </w:r>
      <w:r w:rsidR="00BF71F3">
        <w:rPr>
          <w:rFonts w:ascii="Times New Roman" w:hAnsi="Times New Roman" w:cs="Times New Roman"/>
          <w:lang w:val="uk-UA"/>
        </w:rPr>
        <w:t>з</w:t>
      </w:r>
      <w:r w:rsidRPr="00BA5C0A">
        <w:rPr>
          <w:rFonts w:ascii="Times New Roman" w:hAnsi="Times New Roman" w:cs="Times New Roman"/>
          <w:lang w:val="uk-UA"/>
        </w:rPr>
        <w:t xml:space="preserve"> цироз</w:t>
      </w:r>
      <w:r w:rsidR="00BF71F3">
        <w:rPr>
          <w:rFonts w:ascii="Times New Roman" w:hAnsi="Times New Roman" w:cs="Times New Roman"/>
          <w:lang w:val="uk-UA"/>
        </w:rPr>
        <w:t>ом</w:t>
      </w:r>
      <w:r w:rsidRPr="00BA5C0A">
        <w:rPr>
          <w:rFonts w:ascii="Times New Roman" w:hAnsi="Times New Roman" w:cs="Times New Roman"/>
          <w:lang w:val="uk-UA"/>
        </w:rPr>
        <w:t xml:space="preserve"> печінки.</w:t>
      </w:r>
      <w:r w:rsidRPr="00BA5C0A">
        <w:rPr>
          <w:rFonts w:ascii="Times New Roman" w:hAnsi="Times New Roman" w:cs="Times New Roman"/>
          <w:vertAlign w:val="superscript"/>
          <w:lang w:val="uk-UA"/>
        </w:rPr>
        <w:t>108</w:t>
      </w:r>
    </w:p>
    <w:p w14:paraId="41BCA62E" w14:textId="77777777" w:rsidR="00BA5C0A" w:rsidRPr="00BA5C0A" w:rsidRDefault="00BA5C0A" w:rsidP="00BA5C0A">
      <w:pPr>
        <w:jc w:val="both"/>
        <w:rPr>
          <w:rFonts w:ascii="Times New Roman" w:hAnsi="Times New Roman" w:cs="Times New Roman"/>
          <w:lang w:val="uk-UA"/>
        </w:rPr>
      </w:pP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5"/>
      </w:tblGrid>
      <w:tr w:rsidR="00BA5C0A" w:rsidRPr="0080595E" w14:paraId="4171F9D7" w14:textId="77777777" w:rsidTr="00770318">
        <w:trPr>
          <w:trHeight w:val="1792"/>
        </w:trPr>
        <w:tc>
          <w:tcPr>
            <w:tcW w:w="10045" w:type="dxa"/>
            <w:shd w:val="clear" w:color="auto" w:fill="BDD6EE" w:themeFill="accent1" w:themeFillTint="66"/>
          </w:tcPr>
          <w:p w14:paraId="7D4014A4" w14:textId="1311A6F6" w:rsidR="00BA5C0A" w:rsidRPr="004E4E66" w:rsidRDefault="00BA5C0A" w:rsidP="00BA5C0A">
            <w:pPr>
              <w:jc w:val="both"/>
              <w:rPr>
                <w:rFonts w:ascii="Times New Roman" w:hAnsi="Times New Roman" w:cs="Times New Roman"/>
                <w:b/>
                <w:i/>
                <w:lang w:val="uk-UA"/>
              </w:rPr>
            </w:pPr>
            <w:r w:rsidRPr="004E4E66">
              <w:rPr>
                <w:rFonts w:ascii="Times New Roman" w:hAnsi="Times New Roman" w:cs="Times New Roman"/>
                <w:b/>
                <w:i/>
                <w:lang w:val="uk-UA"/>
              </w:rPr>
              <w:t>Генотип 4, специфічна до генотипу схема: гразопреві</w:t>
            </w:r>
            <w:r w:rsidR="00B423FC">
              <w:rPr>
                <w:rFonts w:ascii="Times New Roman" w:hAnsi="Times New Roman" w:cs="Times New Roman"/>
                <w:b/>
                <w:i/>
                <w:lang w:val="uk-UA"/>
              </w:rPr>
              <w:t>р</w:t>
            </w:r>
            <w:r w:rsidRPr="004E4E66">
              <w:rPr>
                <w:rFonts w:ascii="Times New Roman" w:hAnsi="Times New Roman" w:cs="Times New Roman"/>
                <w:b/>
                <w:i/>
                <w:lang w:val="uk-UA"/>
              </w:rPr>
              <w:t>/ельбасвір</w:t>
            </w:r>
          </w:p>
          <w:p w14:paraId="1E64C0EE" w14:textId="77777777" w:rsidR="00BA5C0A" w:rsidRPr="00BA5C0A" w:rsidRDefault="00BA5C0A" w:rsidP="00BA5C0A">
            <w:pPr>
              <w:jc w:val="both"/>
              <w:rPr>
                <w:rFonts w:ascii="Times New Roman" w:hAnsi="Times New Roman" w:cs="Times New Roman"/>
                <w:lang w:val="uk-UA"/>
              </w:rPr>
            </w:pPr>
          </w:p>
          <w:p w14:paraId="1A4A2CED" w14:textId="786F7455" w:rsidR="00BA5C0A" w:rsidRPr="00BA5C0A" w:rsidRDefault="00BA5C0A" w:rsidP="00015E3B">
            <w:pPr>
              <w:numPr>
                <w:ilvl w:val="0"/>
                <w:numId w:val="27"/>
              </w:numPr>
              <w:contextualSpacing/>
              <w:jc w:val="both"/>
              <w:rPr>
                <w:rFonts w:ascii="Times New Roman" w:hAnsi="Times New Roman" w:cs="Times New Roman"/>
                <w:lang w:val="uk-UA"/>
              </w:rPr>
            </w:pPr>
            <w:r w:rsidRPr="00BA5C0A">
              <w:rPr>
                <w:rFonts w:ascii="Times New Roman" w:hAnsi="Times New Roman" w:cs="Times New Roman"/>
                <w:color w:val="000000" w:themeColor="text1"/>
                <w:lang w:val="uk-UA"/>
              </w:rPr>
              <w:t>“Наївні” пацієнти</w:t>
            </w:r>
            <w:r w:rsidRPr="00BA5C0A">
              <w:rPr>
                <w:rFonts w:ascii="Times New Roman" w:hAnsi="Times New Roman" w:cs="Times New Roman"/>
                <w:lang w:val="uk-UA"/>
              </w:rPr>
              <w:t>, інфіковані генотипом 4, без цирозу або з компенсованим (Child</w:t>
            </w:r>
            <w:r w:rsidR="00FC6D8A">
              <w:rPr>
                <w:rFonts w:ascii="Times New Roman" w:hAnsi="Times New Roman" w:cs="Times New Roman"/>
                <w:lang w:val="uk-UA"/>
              </w:rPr>
              <w:t>–</w:t>
            </w:r>
            <w:r w:rsidRPr="00BA5C0A">
              <w:rPr>
                <w:rFonts w:ascii="Times New Roman" w:hAnsi="Times New Roman" w:cs="Times New Roman"/>
                <w:lang w:val="uk-UA"/>
              </w:rPr>
              <w:t xml:space="preserve">Pugh A) цирозом, з початковим рівнем РНК ВГС ≤ 800 000 МО/мл (5.9 Log10 IU/мл) </w:t>
            </w:r>
            <w:r w:rsidRPr="00BA5C0A">
              <w:rPr>
                <w:rFonts w:ascii="Times New Roman" w:hAnsi="Times New Roman" w:cs="Times New Roman"/>
                <w:color w:val="000000" w:themeColor="text1"/>
                <w:lang w:val="uk-UA"/>
              </w:rPr>
              <w:t>повинні отримувати комбінацію з фіксованою дозою</w:t>
            </w:r>
            <w:r w:rsidRPr="00BA5C0A">
              <w:rPr>
                <w:rFonts w:ascii="Times New Roman" w:hAnsi="Times New Roman" w:cs="Times New Roman"/>
                <w:lang w:val="uk-UA"/>
              </w:rPr>
              <w:t xml:space="preserve"> гразопревіру та ельбасвіру протягом 12 тижнів (A1).</w:t>
            </w:r>
          </w:p>
          <w:p w14:paraId="5F32F871" w14:textId="02E384D6" w:rsidR="00BA5C0A" w:rsidRPr="00DA7065" w:rsidRDefault="00BA5C0A" w:rsidP="00015E3B">
            <w:pPr>
              <w:numPr>
                <w:ilvl w:val="0"/>
                <w:numId w:val="27"/>
              </w:numPr>
              <w:contextualSpacing/>
              <w:jc w:val="both"/>
              <w:rPr>
                <w:rFonts w:ascii="Times New Roman" w:hAnsi="Times New Roman" w:cs="Times New Roman"/>
                <w:lang w:val="uk-UA"/>
              </w:rPr>
            </w:pPr>
            <w:r w:rsidRPr="00BA5C0A">
              <w:rPr>
                <w:rFonts w:ascii="Times New Roman" w:hAnsi="Times New Roman" w:cs="Times New Roman"/>
                <w:lang w:val="uk-UA"/>
              </w:rPr>
              <w:t xml:space="preserve">Комбінація гразопревіру та ельбасвіру не рекомендована </w:t>
            </w:r>
            <w:r w:rsidRPr="00BA5C0A">
              <w:rPr>
                <w:rFonts w:ascii="Times New Roman" w:hAnsi="Times New Roman" w:cs="Times New Roman"/>
                <w:color w:val="000000" w:themeColor="text1"/>
                <w:lang w:val="uk-UA"/>
              </w:rPr>
              <w:t xml:space="preserve">“наївним” </w:t>
            </w:r>
            <w:r w:rsidRPr="00BA5C0A">
              <w:rPr>
                <w:rFonts w:ascii="Times New Roman" w:hAnsi="Times New Roman" w:cs="Times New Roman"/>
                <w:lang w:val="uk-UA"/>
              </w:rPr>
              <w:t xml:space="preserve">пацієнтам, інфікованим </w:t>
            </w:r>
            <w:r w:rsidR="00B423FC">
              <w:rPr>
                <w:rFonts w:ascii="Times New Roman" w:hAnsi="Times New Roman" w:cs="Times New Roman"/>
                <w:lang w:val="uk-UA"/>
              </w:rPr>
              <w:t xml:space="preserve">4 </w:t>
            </w:r>
            <w:r w:rsidRPr="00BA5C0A">
              <w:rPr>
                <w:rFonts w:ascii="Times New Roman" w:hAnsi="Times New Roman" w:cs="Times New Roman"/>
                <w:lang w:val="uk-UA"/>
              </w:rPr>
              <w:t xml:space="preserve">генотипом </w:t>
            </w:r>
            <w:r w:rsidR="00B423FC">
              <w:rPr>
                <w:rFonts w:ascii="Times New Roman" w:hAnsi="Times New Roman" w:cs="Times New Roman"/>
                <w:lang w:val="uk-UA"/>
              </w:rPr>
              <w:t>ВГС</w:t>
            </w:r>
            <w:r w:rsidRPr="00BA5C0A">
              <w:rPr>
                <w:rFonts w:ascii="Times New Roman" w:hAnsi="Times New Roman" w:cs="Times New Roman"/>
                <w:lang w:val="uk-UA"/>
              </w:rPr>
              <w:t xml:space="preserve">, з початковим рівнем РНК ВГС&gt; 800 000 МО/мл (5,9 Log10 IU / мл) або </w:t>
            </w:r>
            <w:r w:rsidR="00416F36">
              <w:rPr>
                <w:rFonts w:ascii="Times New Roman" w:hAnsi="Times New Roman" w:cs="Times New Roman"/>
                <w:lang w:val="uk-UA"/>
              </w:rPr>
              <w:t>пацієнтам</w:t>
            </w:r>
            <w:r w:rsidR="00632C89">
              <w:rPr>
                <w:rFonts w:ascii="Times New Roman" w:hAnsi="Times New Roman" w:cs="Times New Roman"/>
                <w:lang w:val="uk-UA"/>
              </w:rPr>
              <w:t xml:space="preserve"> </w:t>
            </w:r>
            <w:r w:rsidR="00632C89">
              <w:rPr>
                <w:rFonts w:ascii="Times New Roman" w:hAnsi="Times New Roman" w:cs="Times New Roman"/>
                <w:color w:val="000000" w:themeColor="text1"/>
                <w:lang w:val="uk-UA"/>
              </w:rPr>
              <w:t>з досвідом лікування</w:t>
            </w:r>
            <w:r w:rsidRPr="00BA5C0A">
              <w:rPr>
                <w:rFonts w:ascii="Times New Roman" w:hAnsi="Times New Roman" w:cs="Times New Roman"/>
                <w:lang w:val="uk-UA"/>
              </w:rPr>
              <w:t>, незалежно від їх початкового рівня РНК ВГС (A1).</w:t>
            </w:r>
          </w:p>
        </w:tc>
      </w:tr>
    </w:tbl>
    <w:p w14:paraId="4C8A916F" w14:textId="77777777" w:rsidR="00BA5C0A" w:rsidRPr="00BA5C0A" w:rsidRDefault="00BA5C0A" w:rsidP="00BA5C0A">
      <w:pPr>
        <w:tabs>
          <w:tab w:val="left" w:pos="1299"/>
        </w:tabs>
        <w:jc w:val="both"/>
        <w:rPr>
          <w:rFonts w:ascii="Times New Roman" w:hAnsi="Times New Roman" w:cs="Times New Roman"/>
          <w:lang w:val="uk-UA"/>
        </w:rPr>
      </w:pPr>
      <w:r w:rsidRPr="00BA5C0A">
        <w:rPr>
          <w:rFonts w:ascii="Times New Roman" w:hAnsi="Times New Roman" w:cs="Times New Roman"/>
          <w:lang w:val="uk-UA"/>
        </w:rPr>
        <w:tab/>
      </w:r>
    </w:p>
    <w:p w14:paraId="7AFA317A" w14:textId="01EE21A5"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Коментарі: Ця рекомендація базується на результатах трьох досліджень фази III, включаючи невелику кількість пацієнтів, інфікованих генотипом 4, і за аналогією з даними пацієнтів, </w:t>
      </w:r>
      <w:r w:rsidRPr="00BA5C0A">
        <w:rPr>
          <w:rFonts w:ascii="Times New Roman" w:hAnsi="Times New Roman" w:cs="Times New Roman"/>
          <w:lang w:val="uk-UA"/>
        </w:rPr>
        <w:lastRenderedPageBreak/>
        <w:t>інфікованих генотипом 1. У дослідженні C</w:t>
      </w:r>
      <w:r w:rsidR="00FC6D8A">
        <w:rPr>
          <w:rFonts w:ascii="Times New Roman" w:hAnsi="Times New Roman" w:cs="Times New Roman"/>
          <w:lang w:val="uk-UA"/>
        </w:rPr>
        <w:t>–</w:t>
      </w:r>
      <w:r w:rsidRPr="00BA5C0A">
        <w:rPr>
          <w:rFonts w:ascii="Times New Roman" w:hAnsi="Times New Roman" w:cs="Times New Roman"/>
          <w:lang w:val="uk-UA"/>
        </w:rPr>
        <w:t>EDGE</w:t>
      </w:r>
      <w:r w:rsidR="00FC6D8A">
        <w:rPr>
          <w:rFonts w:ascii="Times New Roman" w:hAnsi="Times New Roman" w:cs="Times New Roman"/>
          <w:lang w:val="uk-UA"/>
        </w:rPr>
        <w:t>–</w:t>
      </w:r>
      <w:r w:rsidRPr="00BA5C0A">
        <w:rPr>
          <w:rFonts w:ascii="Times New Roman" w:hAnsi="Times New Roman" w:cs="Times New Roman"/>
          <w:lang w:val="uk-UA"/>
        </w:rPr>
        <w:t xml:space="preserve">TN показник СВВ12 склав 100% (18/18) у пацієнтів із генотипом 4, які отримували гразопревір та ельбасвір, протягом 12 тижнів (у тому числі 12% з цирозом печінки) серед </w:t>
      </w:r>
      <w:r w:rsidRPr="00BA5C0A">
        <w:rPr>
          <w:rFonts w:ascii="Times New Roman" w:hAnsi="Times New Roman" w:cs="Times New Roman"/>
          <w:color w:val="000000" w:themeColor="text1"/>
          <w:lang w:val="uk-UA"/>
        </w:rPr>
        <w:t xml:space="preserve">“наївних” </w:t>
      </w:r>
      <w:r w:rsidRPr="00BA5C0A">
        <w:rPr>
          <w:rFonts w:ascii="Times New Roman" w:hAnsi="Times New Roman" w:cs="Times New Roman"/>
          <w:lang w:val="uk-UA"/>
        </w:rPr>
        <w:t xml:space="preserve">пацієнтів. </w:t>
      </w:r>
      <w:r w:rsidRPr="00BA5C0A">
        <w:rPr>
          <w:rFonts w:ascii="Times New Roman" w:hAnsi="Times New Roman" w:cs="Times New Roman"/>
          <w:vertAlign w:val="superscript"/>
          <w:lang w:val="uk-UA"/>
        </w:rPr>
        <w:t>83</w:t>
      </w:r>
      <w:r w:rsidRPr="00BA5C0A">
        <w:rPr>
          <w:rFonts w:ascii="Times New Roman" w:hAnsi="Times New Roman" w:cs="Times New Roman"/>
          <w:lang w:val="uk-UA"/>
        </w:rPr>
        <w:t xml:space="preserve"> У відкритому дослідженні C</w:t>
      </w:r>
      <w:r w:rsidR="00FC6D8A">
        <w:rPr>
          <w:rFonts w:ascii="Times New Roman" w:hAnsi="Times New Roman" w:cs="Times New Roman"/>
          <w:lang w:val="uk-UA"/>
        </w:rPr>
        <w:t>–</w:t>
      </w:r>
      <w:r w:rsidRPr="00BA5C0A">
        <w:rPr>
          <w:rFonts w:ascii="Times New Roman" w:hAnsi="Times New Roman" w:cs="Times New Roman"/>
          <w:lang w:val="uk-UA"/>
        </w:rPr>
        <w:t>EDGE</w:t>
      </w:r>
      <w:r w:rsidR="00FC6D8A">
        <w:rPr>
          <w:rFonts w:ascii="Times New Roman" w:hAnsi="Times New Roman" w:cs="Times New Roman"/>
          <w:lang w:val="uk-UA"/>
        </w:rPr>
        <w:t>–</w:t>
      </w:r>
      <w:r w:rsidRPr="00BA5C0A">
        <w:rPr>
          <w:rFonts w:ascii="Times New Roman" w:hAnsi="Times New Roman" w:cs="Times New Roman"/>
          <w:lang w:val="uk-UA"/>
        </w:rPr>
        <w:t xml:space="preserve">COINFECTION, </w:t>
      </w:r>
      <w:r w:rsidR="00525692">
        <w:rPr>
          <w:rFonts w:ascii="Times New Roman" w:hAnsi="Times New Roman" w:cs="Times New Roman"/>
          <w:lang w:val="uk-UA"/>
        </w:rPr>
        <w:t xml:space="preserve">«наївні» пацієнти, </w:t>
      </w:r>
      <w:r w:rsidRPr="00BA5C0A">
        <w:rPr>
          <w:rFonts w:ascii="Times New Roman" w:hAnsi="Times New Roman" w:cs="Times New Roman"/>
          <w:lang w:val="uk-UA"/>
        </w:rPr>
        <w:t>з коінфекцією ВІЛ</w:t>
      </w:r>
      <w:r w:rsidR="00525692">
        <w:rPr>
          <w:rFonts w:ascii="Times New Roman" w:hAnsi="Times New Roman" w:cs="Times New Roman"/>
          <w:lang w:val="uk-UA"/>
        </w:rPr>
        <w:t>/ВГС</w:t>
      </w:r>
      <w:r w:rsidRPr="00BA5C0A">
        <w:rPr>
          <w:rFonts w:ascii="Times New Roman" w:hAnsi="Times New Roman" w:cs="Times New Roman"/>
          <w:lang w:val="uk-UA"/>
        </w:rPr>
        <w:t>, з або без компенсованого цирозу, отримували лікування гразопревіром та ельбасвіром протягом 12 тижнів. Частота СВВ12 становила 96% (27/28; один рецидив).</w:t>
      </w:r>
      <w:r w:rsidRPr="00BA5C0A">
        <w:rPr>
          <w:rFonts w:ascii="Times New Roman" w:hAnsi="Times New Roman" w:cs="Times New Roman"/>
          <w:vertAlign w:val="superscript"/>
          <w:lang w:val="uk-UA"/>
        </w:rPr>
        <w:t>84</w:t>
      </w:r>
      <w:r w:rsidRPr="00BA5C0A">
        <w:rPr>
          <w:rFonts w:ascii="Times New Roman" w:hAnsi="Times New Roman" w:cs="Times New Roman"/>
          <w:lang w:val="uk-UA"/>
        </w:rPr>
        <w:t xml:space="preserve"> У дослідженні C</w:t>
      </w:r>
      <w:r w:rsidR="00FC6D8A">
        <w:rPr>
          <w:rFonts w:ascii="Times New Roman" w:hAnsi="Times New Roman" w:cs="Times New Roman"/>
          <w:lang w:val="uk-UA"/>
        </w:rPr>
        <w:t>–</w:t>
      </w:r>
      <w:r w:rsidRPr="00BA5C0A">
        <w:rPr>
          <w:rFonts w:ascii="Times New Roman" w:hAnsi="Times New Roman" w:cs="Times New Roman"/>
          <w:lang w:val="uk-UA"/>
        </w:rPr>
        <w:t xml:space="preserve">CORAL, 3/3 </w:t>
      </w:r>
      <w:r w:rsidRPr="00BA5C0A">
        <w:rPr>
          <w:rFonts w:ascii="Times New Roman" w:hAnsi="Times New Roman" w:cs="Times New Roman"/>
          <w:color w:val="000000" w:themeColor="text1"/>
          <w:lang w:val="uk-UA"/>
        </w:rPr>
        <w:t xml:space="preserve">“наївних” </w:t>
      </w:r>
      <w:r w:rsidRPr="00BA5C0A">
        <w:rPr>
          <w:rFonts w:ascii="Times New Roman" w:hAnsi="Times New Roman" w:cs="Times New Roman"/>
          <w:lang w:val="uk-UA"/>
        </w:rPr>
        <w:t>пацієнтів</w:t>
      </w:r>
      <w:r w:rsidR="00DA7065">
        <w:rPr>
          <w:rFonts w:ascii="Times New Roman" w:hAnsi="Times New Roman" w:cs="Times New Roman"/>
          <w:lang w:val="uk-UA"/>
        </w:rPr>
        <w:t xml:space="preserve"> </w:t>
      </w:r>
      <w:r w:rsidRPr="00BA5C0A">
        <w:rPr>
          <w:rFonts w:ascii="Times New Roman" w:hAnsi="Times New Roman" w:cs="Times New Roman"/>
          <w:lang w:val="uk-UA"/>
        </w:rPr>
        <w:t xml:space="preserve">досягли СВВ 12 через 12 тижнів </w:t>
      </w:r>
      <w:r w:rsidR="00DA7065">
        <w:rPr>
          <w:rFonts w:ascii="Times New Roman" w:hAnsi="Times New Roman" w:cs="Times New Roman"/>
          <w:lang w:val="uk-UA"/>
        </w:rPr>
        <w:t xml:space="preserve">використання </w:t>
      </w:r>
      <w:r w:rsidRPr="00BA5C0A">
        <w:rPr>
          <w:rFonts w:ascii="Times New Roman" w:hAnsi="Times New Roman" w:cs="Times New Roman"/>
          <w:lang w:val="uk-UA"/>
        </w:rPr>
        <w:t>гразопревіру/елбасвіру.</w:t>
      </w:r>
      <w:r w:rsidRPr="00BA5C0A">
        <w:rPr>
          <w:rFonts w:ascii="Times New Roman" w:hAnsi="Times New Roman" w:cs="Times New Roman"/>
          <w:vertAlign w:val="superscript"/>
          <w:lang w:val="uk-UA"/>
        </w:rPr>
        <w:t xml:space="preserve">86 </w:t>
      </w:r>
      <w:r w:rsidRPr="00BA5C0A">
        <w:rPr>
          <w:rFonts w:ascii="Times New Roman" w:hAnsi="Times New Roman" w:cs="Times New Roman"/>
          <w:lang w:val="uk-UA"/>
        </w:rPr>
        <w:t xml:space="preserve">Частота </w:t>
      </w:r>
      <w:r w:rsidR="00DA7065">
        <w:rPr>
          <w:rFonts w:ascii="Times New Roman" w:hAnsi="Times New Roman" w:cs="Times New Roman"/>
          <w:lang w:val="uk-UA"/>
        </w:rPr>
        <w:t xml:space="preserve">досягнення </w:t>
      </w:r>
      <w:r w:rsidRPr="00BA5C0A">
        <w:rPr>
          <w:rFonts w:ascii="Times New Roman" w:hAnsi="Times New Roman" w:cs="Times New Roman"/>
          <w:lang w:val="uk-UA"/>
        </w:rPr>
        <w:t>СВВ 12 склала 100% (11/11) у дослідженні C</w:t>
      </w:r>
      <w:r w:rsidR="00FC6D8A">
        <w:rPr>
          <w:rFonts w:ascii="Times New Roman" w:hAnsi="Times New Roman" w:cs="Times New Roman"/>
          <w:lang w:val="uk-UA"/>
        </w:rPr>
        <w:t>–</w:t>
      </w:r>
      <w:r w:rsidRPr="00BA5C0A">
        <w:rPr>
          <w:rFonts w:ascii="Times New Roman" w:hAnsi="Times New Roman" w:cs="Times New Roman"/>
          <w:lang w:val="uk-UA"/>
        </w:rPr>
        <w:t>EDGE CO</w:t>
      </w:r>
      <w:r w:rsidR="00FC6D8A">
        <w:rPr>
          <w:rFonts w:ascii="Times New Roman" w:hAnsi="Times New Roman" w:cs="Times New Roman"/>
          <w:lang w:val="uk-UA"/>
        </w:rPr>
        <w:t>–</w:t>
      </w:r>
      <w:r w:rsidRPr="00BA5C0A">
        <w:rPr>
          <w:rFonts w:ascii="Times New Roman" w:hAnsi="Times New Roman" w:cs="Times New Roman"/>
          <w:lang w:val="uk-UA"/>
        </w:rPr>
        <w:t>STAR у ЛВІН на опіоїдній замісній терапії, які приймали таку ж схему лікування.</w:t>
      </w:r>
      <w:r w:rsidRPr="00BA5C0A">
        <w:rPr>
          <w:rFonts w:ascii="Times New Roman" w:hAnsi="Times New Roman" w:cs="Times New Roman"/>
          <w:vertAlign w:val="superscript"/>
          <w:lang w:val="uk-UA"/>
        </w:rPr>
        <w:t>109</w:t>
      </w:r>
    </w:p>
    <w:p w14:paraId="6BB61C7E" w14:textId="77777777" w:rsidR="00BA5C0A" w:rsidRPr="00BA5C0A" w:rsidRDefault="00BA5C0A" w:rsidP="00BA5C0A">
      <w:pPr>
        <w:jc w:val="both"/>
        <w:rPr>
          <w:rFonts w:ascii="Times New Roman" w:hAnsi="Times New Roman" w:cs="Times New Roman"/>
          <w:lang w:val="uk-UA"/>
        </w:rPr>
      </w:pPr>
    </w:p>
    <w:p w14:paraId="44700A4E" w14:textId="3931F454" w:rsidR="00BA5C0A" w:rsidRPr="00BA5C0A" w:rsidRDefault="00BA5C0A" w:rsidP="00BA5C0A">
      <w:pPr>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 xml:space="preserve">Лікування </w:t>
      </w:r>
      <w:r w:rsidR="00B423FC">
        <w:rPr>
          <w:rFonts w:ascii="Times New Roman" w:hAnsi="Times New Roman" w:cs="Times New Roman"/>
          <w:b/>
          <w:color w:val="4472C4" w:themeColor="accent5"/>
          <w:lang w:val="uk-UA"/>
        </w:rPr>
        <w:t>пацієнтів з 5</w:t>
      </w:r>
      <w:r w:rsidRPr="00BA5C0A">
        <w:rPr>
          <w:rFonts w:ascii="Times New Roman" w:hAnsi="Times New Roman" w:cs="Times New Roman"/>
          <w:b/>
          <w:color w:val="4472C4" w:themeColor="accent5"/>
          <w:lang w:val="uk-UA"/>
        </w:rPr>
        <w:t xml:space="preserve"> генотип</w:t>
      </w:r>
      <w:r w:rsidR="00B423FC">
        <w:rPr>
          <w:rFonts w:ascii="Times New Roman" w:hAnsi="Times New Roman" w:cs="Times New Roman"/>
          <w:b/>
          <w:color w:val="4472C4" w:themeColor="accent5"/>
          <w:lang w:val="uk-UA"/>
        </w:rPr>
        <w:t>ом ВГС</w:t>
      </w:r>
    </w:p>
    <w:p w14:paraId="194827FB" w14:textId="77777777" w:rsidR="00BA5C0A" w:rsidRPr="00BA5C0A" w:rsidRDefault="00BA5C0A" w:rsidP="00BA5C0A">
      <w:pPr>
        <w:jc w:val="both"/>
        <w:rPr>
          <w:rFonts w:ascii="Times New Roman" w:hAnsi="Times New Roman" w:cs="Times New Roman"/>
          <w:lang w:val="uk-UA"/>
        </w:rPr>
      </w:pPr>
    </w:p>
    <w:p w14:paraId="2264E7E1" w14:textId="0CA2D7C6" w:rsidR="00335409"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Три варіанти лікування доступні в 2018 році для пацієнтів, інфікованих </w:t>
      </w:r>
      <w:r w:rsidR="00335409">
        <w:rPr>
          <w:rFonts w:ascii="Times New Roman" w:hAnsi="Times New Roman" w:cs="Times New Roman"/>
          <w:lang w:val="uk-UA"/>
        </w:rPr>
        <w:t xml:space="preserve">5 генотипом </w:t>
      </w:r>
      <w:r w:rsidRPr="00BA5C0A">
        <w:rPr>
          <w:rFonts w:ascii="Times New Roman" w:hAnsi="Times New Roman" w:cs="Times New Roman"/>
          <w:lang w:val="uk-UA"/>
        </w:rPr>
        <w:t xml:space="preserve">ВГС  (Таблиці 6, 7 і 8). Проте кількість пацієнтів, інфікованих генотипом 5, які лікувалися у всіх дослідженнях, була обмежена, що ускладнює розробку серйозних рекомендацій після того, </w:t>
      </w:r>
      <w:r w:rsidR="00B423FC">
        <w:rPr>
          <w:rFonts w:ascii="Times New Roman" w:hAnsi="Times New Roman" w:cs="Times New Roman"/>
          <w:lang w:val="uk-UA"/>
        </w:rPr>
        <w:t>коли</w:t>
      </w:r>
      <w:r w:rsidRPr="00BA5C0A">
        <w:rPr>
          <w:rFonts w:ascii="Times New Roman" w:hAnsi="Times New Roman" w:cs="Times New Roman"/>
          <w:lang w:val="uk-UA"/>
        </w:rPr>
        <w:t xml:space="preserve"> дані були розділені на тих, хто має цироз та тих, хто раніше отримував лікування.</w:t>
      </w:r>
    </w:p>
    <w:p w14:paraId="3AEE073E" w14:textId="77777777" w:rsidR="00335409" w:rsidRDefault="00335409" w:rsidP="00BA5C0A">
      <w:pPr>
        <w:jc w:val="both"/>
        <w:rPr>
          <w:rFonts w:ascii="Times New Roman" w:hAnsi="Times New Roman" w:cs="Times New Roman"/>
          <w:lang w:val="uk-UA"/>
        </w:rPr>
      </w:pPr>
    </w:p>
    <w:p w14:paraId="00329344" w14:textId="5898B295"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color w:val="000000" w:themeColor="text1"/>
          <w:lang w:val="uk-UA"/>
        </w:rPr>
        <w:t>Ці варіанти вважаються еквівалентними, і порядок в якому вони зазначені, не вказує ні на їх перевагу перед іншими, ні на більшу ефективність:</w:t>
      </w:r>
    </w:p>
    <w:p w14:paraId="2F484B54" w14:textId="77777777"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Софосбувір/велпатасвір </w:t>
      </w:r>
    </w:p>
    <w:p w14:paraId="037EB521" w14:textId="77777777"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Глекапревір/пібрентасвір </w:t>
      </w:r>
    </w:p>
    <w:p w14:paraId="2EF76C29" w14:textId="77777777"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Софосбувір/ледіпасвір</w:t>
      </w:r>
    </w:p>
    <w:p w14:paraId="64FD2B12" w14:textId="77777777" w:rsidR="00BA5C0A" w:rsidRPr="00BA5C0A" w:rsidRDefault="00BA5C0A" w:rsidP="00BA5C0A">
      <w:pPr>
        <w:jc w:val="both"/>
        <w:rPr>
          <w:rFonts w:ascii="Times New Roman" w:hAnsi="Times New Roman" w:cs="Times New Roman"/>
          <w:lang w:val="uk-U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A5C0A" w:rsidRPr="00BA5C0A" w14:paraId="5A25B4FF" w14:textId="77777777" w:rsidTr="00544369">
        <w:trPr>
          <w:trHeight w:val="544"/>
        </w:trPr>
        <w:tc>
          <w:tcPr>
            <w:tcW w:w="9607" w:type="dxa"/>
            <w:shd w:val="clear" w:color="auto" w:fill="BDD6EE" w:themeFill="accent1" w:themeFillTint="66"/>
          </w:tcPr>
          <w:p w14:paraId="2CA8C6E5" w14:textId="77777777" w:rsidR="00BA5C0A" w:rsidRPr="00BA5C0A" w:rsidRDefault="00BA5C0A" w:rsidP="00BA5C0A">
            <w:pPr>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Рекомендації</w:t>
            </w:r>
          </w:p>
          <w:p w14:paraId="61E3120F" w14:textId="77777777" w:rsidR="00BA5C0A" w:rsidRPr="00BA5C0A" w:rsidRDefault="00BA5C0A" w:rsidP="00BA5C0A">
            <w:pPr>
              <w:jc w:val="both"/>
              <w:rPr>
                <w:rFonts w:ascii="Times New Roman" w:hAnsi="Times New Roman" w:cs="Times New Roman"/>
                <w:lang w:val="uk-UA"/>
              </w:rPr>
            </w:pPr>
          </w:p>
          <w:p w14:paraId="2001A453" w14:textId="50A4EF29"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Наступні схеми рекомендовані для лікування пацієнтів, інфікованих </w:t>
            </w:r>
            <w:r w:rsidR="008A6A12">
              <w:rPr>
                <w:rFonts w:ascii="Times New Roman" w:hAnsi="Times New Roman" w:cs="Times New Roman"/>
                <w:lang w:val="uk-UA"/>
              </w:rPr>
              <w:t xml:space="preserve">5 генотипом </w:t>
            </w:r>
            <w:r w:rsidRPr="00BA5C0A">
              <w:rPr>
                <w:rFonts w:ascii="Times New Roman" w:hAnsi="Times New Roman" w:cs="Times New Roman"/>
                <w:lang w:val="uk-UA"/>
              </w:rPr>
              <w:t>ВГС, згідно з рекомендаціями нижче (A1):</w:t>
            </w:r>
          </w:p>
          <w:p w14:paraId="7A09D5E5" w14:textId="77777777" w:rsidR="00BA5C0A" w:rsidRPr="00BA5C0A" w:rsidRDefault="00BA5C0A" w:rsidP="00015E3B">
            <w:pPr>
              <w:numPr>
                <w:ilvl w:val="0"/>
                <w:numId w:val="28"/>
              </w:numPr>
              <w:contextualSpacing/>
              <w:jc w:val="both"/>
              <w:rPr>
                <w:rFonts w:ascii="Times New Roman" w:hAnsi="Times New Roman" w:cs="Times New Roman"/>
                <w:lang w:val="uk-UA"/>
              </w:rPr>
            </w:pPr>
            <w:r w:rsidRPr="00BA5C0A">
              <w:rPr>
                <w:rFonts w:ascii="Times New Roman" w:hAnsi="Times New Roman" w:cs="Times New Roman"/>
                <w:lang w:val="uk-UA"/>
              </w:rPr>
              <w:t>комбінація у фіксованому дозуванні софосбувіру (400 мг) і велпатасвіру (100 мг) в одній таблетці, призначеній один раз на добу;</w:t>
            </w:r>
          </w:p>
          <w:p w14:paraId="665FB8E9" w14:textId="7AB9FF2C" w:rsidR="00BA5C0A" w:rsidRPr="00BA5C0A" w:rsidRDefault="00BA5C0A" w:rsidP="00015E3B">
            <w:pPr>
              <w:numPr>
                <w:ilvl w:val="0"/>
                <w:numId w:val="28"/>
              </w:numPr>
              <w:contextualSpacing/>
              <w:jc w:val="both"/>
              <w:rPr>
                <w:rFonts w:ascii="Times New Roman" w:hAnsi="Times New Roman" w:cs="Times New Roman"/>
                <w:lang w:val="uk-UA"/>
              </w:rPr>
            </w:pPr>
            <w:r w:rsidRPr="00BA5C0A">
              <w:rPr>
                <w:rFonts w:ascii="Times New Roman" w:hAnsi="Times New Roman" w:cs="Times New Roman"/>
                <w:lang w:val="uk-UA"/>
              </w:rPr>
              <w:t xml:space="preserve">комбінація у фіксованому дозуванні глекапревіру (300 мг) та пібрентасвіру (120 мг) у трьох таблетках, що містять 100 мг глекапревіру та 40 мг пібрентасвіру, що </w:t>
            </w:r>
            <w:r w:rsidR="00557239">
              <w:rPr>
                <w:rFonts w:ascii="Times New Roman" w:hAnsi="Times New Roman" w:cs="Times New Roman"/>
                <w:lang w:val="uk-UA"/>
              </w:rPr>
              <w:t xml:space="preserve">приймаються </w:t>
            </w:r>
            <w:r w:rsidRPr="00BA5C0A">
              <w:rPr>
                <w:rFonts w:ascii="Times New Roman" w:hAnsi="Times New Roman" w:cs="Times New Roman"/>
                <w:lang w:val="uk-UA"/>
              </w:rPr>
              <w:t>один раз на добу з їжею;</w:t>
            </w:r>
          </w:p>
          <w:p w14:paraId="69FAEB67" w14:textId="4C7AB53B" w:rsidR="00BA5C0A" w:rsidRPr="008A6A12" w:rsidRDefault="00BA5C0A" w:rsidP="00015E3B">
            <w:pPr>
              <w:numPr>
                <w:ilvl w:val="0"/>
                <w:numId w:val="28"/>
              </w:numPr>
              <w:contextualSpacing/>
              <w:jc w:val="both"/>
              <w:rPr>
                <w:rFonts w:ascii="Times New Roman" w:hAnsi="Times New Roman" w:cs="Times New Roman"/>
                <w:lang w:val="uk-UA"/>
              </w:rPr>
            </w:pPr>
            <w:r w:rsidRPr="00BA5C0A">
              <w:rPr>
                <w:rFonts w:ascii="Times New Roman" w:hAnsi="Times New Roman" w:cs="Times New Roman"/>
                <w:lang w:val="uk-UA"/>
              </w:rPr>
              <w:t xml:space="preserve">комбінація у фіксованому дозуванні софосбувіру (400 мг) і ледіпасвіру (90 мг) в одній таблетці, що вводиться один раз на </w:t>
            </w:r>
            <w:r w:rsidR="00557239">
              <w:rPr>
                <w:rFonts w:ascii="Times New Roman" w:hAnsi="Times New Roman" w:cs="Times New Roman"/>
                <w:lang w:val="uk-UA"/>
              </w:rPr>
              <w:t>добу</w:t>
            </w:r>
          </w:p>
        </w:tc>
      </w:tr>
    </w:tbl>
    <w:p w14:paraId="331B8623" w14:textId="77777777" w:rsidR="00BB513D" w:rsidRPr="00BA5C0A" w:rsidRDefault="00BB513D" w:rsidP="00BA5C0A">
      <w:pPr>
        <w:jc w:val="both"/>
        <w:rPr>
          <w:rFonts w:ascii="Times New Roman" w:hAnsi="Times New Roman" w:cs="Times New Roman"/>
          <w:lang w:val="uk-U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A5C0A" w:rsidRPr="0080595E" w14:paraId="7C0F5594" w14:textId="77777777" w:rsidTr="00544369">
        <w:trPr>
          <w:trHeight w:val="544"/>
        </w:trPr>
        <w:tc>
          <w:tcPr>
            <w:tcW w:w="9607" w:type="dxa"/>
            <w:shd w:val="clear" w:color="auto" w:fill="BDD6EE" w:themeFill="accent1" w:themeFillTint="66"/>
          </w:tcPr>
          <w:p w14:paraId="18702E69" w14:textId="20926169" w:rsidR="00BA5C0A" w:rsidRPr="004E4E66" w:rsidRDefault="00BA5C0A" w:rsidP="00BA5C0A">
            <w:pPr>
              <w:jc w:val="both"/>
              <w:rPr>
                <w:rFonts w:ascii="Times New Roman" w:hAnsi="Times New Roman" w:cs="Times New Roman"/>
                <w:b/>
                <w:i/>
                <w:lang w:val="uk-UA"/>
              </w:rPr>
            </w:pPr>
            <w:r w:rsidRPr="004E4E66">
              <w:rPr>
                <w:rFonts w:ascii="Times New Roman" w:hAnsi="Times New Roman" w:cs="Times New Roman"/>
                <w:b/>
                <w:i/>
                <w:lang w:val="uk-UA"/>
              </w:rPr>
              <w:t>Генотип 5, пангенотип</w:t>
            </w:r>
            <w:r w:rsidR="004E4E66">
              <w:rPr>
                <w:rFonts w:ascii="Times New Roman" w:hAnsi="Times New Roman" w:cs="Times New Roman"/>
                <w:b/>
                <w:i/>
                <w:lang w:val="uk-UA"/>
              </w:rPr>
              <w:t>на</w:t>
            </w:r>
            <w:r w:rsidRPr="004E4E66">
              <w:rPr>
                <w:rFonts w:ascii="Times New Roman" w:hAnsi="Times New Roman" w:cs="Times New Roman"/>
                <w:b/>
                <w:i/>
                <w:lang w:val="uk-UA"/>
              </w:rPr>
              <w:t xml:space="preserve"> схема: </w:t>
            </w:r>
            <w:r w:rsidR="004E4E66">
              <w:rPr>
                <w:rFonts w:ascii="Times New Roman" w:hAnsi="Times New Roman" w:cs="Times New Roman"/>
                <w:b/>
                <w:i/>
                <w:lang w:val="uk-UA"/>
              </w:rPr>
              <w:t>с</w:t>
            </w:r>
            <w:r w:rsidRPr="004E4E66">
              <w:rPr>
                <w:rFonts w:ascii="Times New Roman" w:hAnsi="Times New Roman" w:cs="Times New Roman"/>
                <w:b/>
                <w:i/>
                <w:lang w:val="uk-UA"/>
              </w:rPr>
              <w:t>офосбувір/велпатасвір</w:t>
            </w:r>
          </w:p>
          <w:p w14:paraId="22B13788" w14:textId="77777777" w:rsidR="00BA5C0A" w:rsidRPr="00BA5C0A" w:rsidRDefault="00BA5C0A" w:rsidP="00BA5C0A">
            <w:pPr>
              <w:jc w:val="both"/>
              <w:rPr>
                <w:rFonts w:ascii="Times New Roman" w:hAnsi="Times New Roman" w:cs="Times New Roman"/>
                <w:lang w:val="uk-UA"/>
              </w:rPr>
            </w:pPr>
          </w:p>
          <w:p w14:paraId="03AC1787" w14:textId="09F90CDB" w:rsidR="00BA5C0A" w:rsidRPr="00BA5C0A" w:rsidRDefault="00BA5C0A" w:rsidP="00015E3B">
            <w:pPr>
              <w:numPr>
                <w:ilvl w:val="0"/>
                <w:numId w:val="29"/>
              </w:numPr>
              <w:contextualSpacing/>
              <w:jc w:val="both"/>
              <w:rPr>
                <w:rFonts w:ascii="Times New Roman" w:hAnsi="Times New Roman" w:cs="Times New Roman"/>
                <w:lang w:val="uk-UA"/>
              </w:rPr>
            </w:pPr>
            <w:r w:rsidRPr="00BA5C0A">
              <w:rPr>
                <w:rFonts w:ascii="Times New Roman" w:hAnsi="Times New Roman" w:cs="Times New Roman"/>
                <w:lang w:val="uk-UA"/>
              </w:rPr>
              <w:t>“Наївні” та пацієнти</w:t>
            </w:r>
            <w:r w:rsidR="00632C89">
              <w:rPr>
                <w:rFonts w:ascii="Times New Roman" w:hAnsi="Times New Roman" w:cs="Times New Roman"/>
                <w:lang w:val="uk-UA"/>
              </w:rPr>
              <w:t xml:space="preserve"> </w:t>
            </w:r>
            <w:r w:rsidR="00632C89">
              <w:rPr>
                <w:rFonts w:ascii="Times New Roman" w:hAnsi="Times New Roman" w:cs="Times New Roman"/>
                <w:color w:val="000000" w:themeColor="text1"/>
                <w:lang w:val="uk-UA"/>
              </w:rPr>
              <w:t>з досвідом лікування</w:t>
            </w:r>
            <w:r w:rsidRPr="00BA5C0A">
              <w:rPr>
                <w:rFonts w:ascii="Times New Roman" w:hAnsi="Times New Roman" w:cs="Times New Roman"/>
                <w:lang w:val="uk-UA"/>
              </w:rPr>
              <w:t xml:space="preserve">, інфіковані </w:t>
            </w:r>
            <w:r w:rsidR="00BB513D">
              <w:rPr>
                <w:rFonts w:ascii="Times New Roman" w:hAnsi="Times New Roman" w:cs="Times New Roman"/>
                <w:lang w:val="uk-UA"/>
              </w:rPr>
              <w:t xml:space="preserve">5 генотипом </w:t>
            </w:r>
            <w:r w:rsidRPr="00BA5C0A">
              <w:rPr>
                <w:rFonts w:ascii="Times New Roman" w:hAnsi="Times New Roman" w:cs="Times New Roman"/>
                <w:lang w:val="uk-UA"/>
              </w:rPr>
              <w:t>ВГС, без цирозу або з компенсованим цирозом печінки (Child</w:t>
            </w:r>
            <w:r w:rsidR="00FC6D8A">
              <w:rPr>
                <w:rFonts w:ascii="Times New Roman" w:hAnsi="Times New Roman" w:cs="Times New Roman"/>
                <w:lang w:val="uk-UA"/>
              </w:rPr>
              <w:t>–</w:t>
            </w:r>
            <w:r w:rsidRPr="00BA5C0A">
              <w:rPr>
                <w:rFonts w:ascii="Times New Roman" w:hAnsi="Times New Roman" w:cs="Times New Roman"/>
                <w:lang w:val="uk-UA"/>
              </w:rPr>
              <w:t>Pugh A), повинні отримувати комбінацію із фіксованою дозою софосбувіру та велпатасвіру протягом 12 тижнів (B1).</w:t>
            </w:r>
          </w:p>
        </w:tc>
      </w:tr>
    </w:tbl>
    <w:p w14:paraId="7353102A" w14:textId="77777777" w:rsidR="00BA5C0A" w:rsidRPr="00BA5C0A" w:rsidRDefault="00BA5C0A" w:rsidP="00BA5C0A">
      <w:pPr>
        <w:jc w:val="both"/>
        <w:rPr>
          <w:rFonts w:ascii="Times New Roman" w:hAnsi="Times New Roman" w:cs="Times New Roman"/>
          <w:lang w:val="uk-UA"/>
        </w:rPr>
      </w:pPr>
    </w:p>
    <w:p w14:paraId="54A00FC5" w14:textId="234EB832"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Коментарі: Ця рекомендація базується на результатах III фази дослідження </w:t>
      </w:r>
      <w:r w:rsidRPr="00BA5C0A">
        <w:rPr>
          <w:rFonts w:ascii="Times New Roman" w:hAnsi="Times New Roman" w:cs="Times New Roman"/>
          <w:lang w:val="en-US"/>
        </w:rPr>
        <w:t>ASTRAL</w:t>
      </w:r>
      <w:r w:rsidR="00FC6D8A">
        <w:rPr>
          <w:rFonts w:ascii="Times New Roman" w:hAnsi="Times New Roman" w:cs="Times New Roman"/>
          <w:lang w:val="uk-UA"/>
        </w:rPr>
        <w:t>–</w:t>
      </w:r>
      <w:r w:rsidRPr="00BA5C0A">
        <w:rPr>
          <w:rFonts w:ascii="Times New Roman" w:hAnsi="Times New Roman" w:cs="Times New Roman"/>
          <w:lang w:val="uk-UA"/>
        </w:rPr>
        <w:t xml:space="preserve">1 у хворих з генотипом 5 (14% з цирозом печінки, 69% “наївних” та 31% </w:t>
      </w:r>
      <w:r w:rsidR="00632C89">
        <w:rPr>
          <w:rFonts w:ascii="Times New Roman" w:hAnsi="Times New Roman" w:cs="Times New Roman"/>
          <w:lang w:val="uk-UA"/>
        </w:rPr>
        <w:t xml:space="preserve">пацієнтів </w:t>
      </w:r>
      <w:r w:rsidR="00632C89">
        <w:rPr>
          <w:rFonts w:ascii="Times New Roman" w:hAnsi="Times New Roman" w:cs="Times New Roman"/>
          <w:color w:val="000000" w:themeColor="text1"/>
          <w:lang w:val="uk-UA"/>
        </w:rPr>
        <w:t>з досвідом лікування</w:t>
      </w:r>
      <w:r w:rsidRPr="00BA5C0A">
        <w:rPr>
          <w:rFonts w:ascii="Times New Roman" w:hAnsi="Times New Roman" w:cs="Times New Roman"/>
          <w:lang w:val="uk-UA"/>
        </w:rPr>
        <w:t xml:space="preserve">), які отримували комбінацію з фіксованою дозою софосбувіру та велпатасвіру протягом 12 тижнів, </w:t>
      </w:r>
      <w:r w:rsidR="00BB513D">
        <w:rPr>
          <w:rFonts w:ascii="Times New Roman" w:hAnsi="Times New Roman" w:cs="Times New Roman"/>
          <w:lang w:val="uk-UA"/>
        </w:rPr>
        <w:t xml:space="preserve">досягши </w:t>
      </w:r>
      <w:r w:rsidRPr="00BA5C0A">
        <w:rPr>
          <w:rFonts w:ascii="Times New Roman" w:hAnsi="Times New Roman" w:cs="Times New Roman"/>
          <w:lang w:val="uk-UA"/>
        </w:rPr>
        <w:t>СВВ12 у 97% (34/35) випадків.</w:t>
      </w:r>
      <w:r w:rsidRPr="00BA5C0A">
        <w:rPr>
          <w:rFonts w:ascii="Times New Roman" w:hAnsi="Times New Roman" w:cs="Times New Roman"/>
          <w:vertAlign w:val="superscript"/>
          <w:lang w:val="uk-UA"/>
        </w:rPr>
        <w:t>67</w:t>
      </w:r>
    </w:p>
    <w:p w14:paraId="1B89E3CB" w14:textId="77619B06" w:rsidR="00BA5C0A" w:rsidRDefault="00BA5C0A" w:rsidP="00BA5C0A">
      <w:pPr>
        <w:jc w:val="both"/>
        <w:rPr>
          <w:rFonts w:ascii="Times New Roman" w:hAnsi="Times New Roman" w:cs="Times New Roman"/>
          <w:lang w:val="uk-UA"/>
        </w:rPr>
      </w:pPr>
    </w:p>
    <w:p w14:paraId="768527BE" w14:textId="6D5299E2" w:rsidR="00770318" w:rsidRDefault="00770318" w:rsidP="00BA5C0A">
      <w:pPr>
        <w:jc w:val="both"/>
        <w:rPr>
          <w:rFonts w:ascii="Times New Roman" w:hAnsi="Times New Roman" w:cs="Times New Roman"/>
          <w:lang w:val="uk-UA"/>
        </w:rPr>
      </w:pPr>
    </w:p>
    <w:p w14:paraId="14E668AB" w14:textId="664A1B72" w:rsidR="00770318" w:rsidRDefault="00770318" w:rsidP="00BA5C0A">
      <w:pPr>
        <w:jc w:val="both"/>
        <w:rPr>
          <w:rFonts w:ascii="Times New Roman" w:hAnsi="Times New Roman" w:cs="Times New Roman"/>
          <w:lang w:val="uk-UA"/>
        </w:rPr>
      </w:pPr>
    </w:p>
    <w:p w14:paraId="440BCE83" w14:textId="77777777" w:rsidR="00770318" w:rsidRPr="00BA5C0A" w:rsidRDefault="00770318" w:rsidP="00BA5C0A">
      <w:pPr>
        <w:jc w:val="both"/>
        <w:rPr>
          <w:rFonts w:ascii="Times New Roman" w:hAnsi="Times New Roman" w:cs="Times New Roman"/>
          <w:lang w:val="uk-U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A5C0A" w:rsidRPr="0080595E" w14:paraId="19D4C195" w14:textId="77777777" w:rsidTr="00544369">
        <w:trPr>
          <w:trHeight w:val="544"/>
        </w:trPr>
        <w:tc>
          <w:tcPr>
            <w:tcW w:w="9607" w:type="dxa"/>
            <w:shd w:val="clear" w:color="auto" w:fill="BDD6EE" w:themeFill="accent1" w:themeFillTint="66"/>
          </w:tcPr>
          <w:p w14:paraId="13F49374" w14:textId="010C407E" w:rsidR="00BA5C0A" w:rsidRPr="004E4E66" w:rsidRDefault="00BA5C0A" w:rsidP="00BA5C0A">
            <w:pPr>
              <w:jc w:val="both"/>
              <w:rPr>
                <w:rFonts w:ascii="Times New Roman" w:hAnsi="Times New Roman" w:cs="Times New Roman"/>
                <w:b/>
                <w:i/>
                <w:lang w:val="uk-UA"/>
              </w:rPr>
            </w:pPr>
            <w:r w:rsidRPr="004E4E66">
              <w:rPr>
                <w:rFonts w:ascii="Times New Roman" w:hAnsi="Times New Roman" w:cs="Times New Roman"/>
                <w:b/>
                <w:i/>
                <w:lang w:val="uk-UA"/>
              </w:rPr>
              <w:lastRenderedPageBreak/>
              <w:t>Генотип 5, пангенотип</w:t>
            </w:r>
            <w:r w:rsidR="004E4E66" w:rsidRPr="004E4E66">
              <w:rPr>
                <w:rFonts w:ascii="Times New Roman" w:hAnsi="Times New Roman" w:cs="Times New Roman"/>
                <w:b/>
                <w:i/>
                <w:lang w:val="uk-UA"/>
              </w:rPr>
              <w:t>на</w:t>
            </w:r>
            <w:r w:rsidRPr="004E4E66">
              <w:rPr>
                <w:rFonts w:ascii="Times New Roman" w:hAnsi="Times New Roman" w:cs="Times New Roman"/>
                <w:b/>
                <w:i/>
                <w:lang w:val="uk-UA"/>
              </w:rPr>
              <w:t xml:space="preserve"> схема: </w:t>
            </w:r>
            <w:r w:rsidR="004E4E66" w:rsidRPr="004E4E66">
              <w:rPr>
                <w:rFonts w:ascii="Times New Roman" w:hAnsi="Times New Roman" w:cs="Times New Roman"/>
                <w:b/>
                <w:i/>
                <w:lang w:val="uk-UA"/>
              </w:rPr>
              <w:t>г</w:t>
            </w:r>
            <w:r w:rsidRPr="004E4E66">
              <w:rPr>
                <w:rFonts w:ascii="Times New Roman" w:hAnsi="Times New Roman" w:cs="Times New Roman"/>
                <w:b/>
                <w:i/>
                <w:lang w:val="uk-UA"/>
              </w:rPr>
              <w:t>лекапревір/пібрентасвір</w:t>
            </w:r>
          </w:p>
          <w:p w14:paraId="28C97F2A" w14:textId="77777777" w:rsidR="00BA5C0A" w:rsidRPr="00BA5C0A" w:rsidRDefault="00BA5C0A" w:rsidP="00BA5C0A">
            <w:pPr>
              <w:jc w:val="both"/>
              <w:rPr>
                <w:rFonts w:ascii="Times New Roman" w:hAnsi="Times New Roman" w:cs="Times New Roman"/>
                <w:lang w:val="uk-UA"/>
              </w:rPr>
            </w:pPr>
          </w:p>
          <w:p w14:paraId="552046AC" w14:textId="2DC91A60" w:rsidR="00BA5C0A" w:rsidRPr="00BA5C0A" w:rsidRDefault="00BA5C0A" w:rsidP="00015E3B">
            <w:pPr>
              <w:numPr>
                <w:ilvl w:val="0"/>
                <w:numId w:val="30"/>
              </w:numPr>
              <w:contextualSpacing/>
              <w:jc w:val="both"/>
              <w:rPr>
                <w:rFonts w:ascii="Times New Roman" w:hAnsi="Times New Roman" w:cs="Times New Roman"/>
                <w:lang w:val="uk-UA"/>
              </w:rPr>
            </w:pPr>
            <w:r w:rsidRPr="00BA5C0A">
              <w:rPr>
                <w:rFonts w:ascii="Times New Roman" w:hAnsi="Times New Roman" w:cs="Times New Roman"/>
                <w:lang w:val="uk-UA"/>
              </w:rPr>
              <w:t>“Наївні” та пацієнти</w:t>
            </w:r>
            <w:r w:rsidR="00632C89">
              <w:rPr>
                <w:rFonts w:ascii="Times New Roman" w:hAnsi="Times New Roman" w:cs="Times New Roman"/>
                <w:lang w:val="uk-UA"/>
              </w:rPr>
              <w:t xml:space="preserve"> </w:t>
            </w:r>
            <w:r w:rsidR="00632C89">
              <w:rPr>
                <w:rFonts w:ascii="Times New Roman" w:hAnsi="Times New Roman" w:cs="Times New Roman"/>
                <w:color w:val="000000" w:themeColor="text1"/>
                <w:lang w:val="uk-UA"/>
              </w:rPr>
              <w:t>з досвідом лікування</w:t>
            </w:r>
            <w:r w:rsidRPr="00BA5C0A">
              <w:rPr>
                <w:rFonts w:ascii="Times New Roman" w:hAnsi="Times New Roman" w:cs="Times New Roman"/>
                <w:lang w:val="uk-UA"/>
              </w:rPr>
              <w:t xml:space="preserve">, інфіковані </w:t>
            </w:r>
            <w:r w:rsidR="00BB513D">
              <w:rPr>
                <w:rFonts w:ascii="Times New Roman" w:hAnsi="Times New Roman" w:cs="Times New Roman"/>
                <w:lang w:val="uk-UA"/>
              </w:rPr>
              <w:t xml:space="preserve">5 генотипом </w:t>
            </w:r>
            <w:r w:rsidRPr="00BA5C0A">
              <w:rPr>
                <w:rFonts w:ascii="Times New Roman" w:hAnsi="Times New Roman" w:cs="Times New Roman"/>
                <w:lang w:val="uk-UA"/>
              </w:rPr>
              <w:t xml:space="preserve">ВГС без цирозу, повинні отримувати комбінацію із фіксованою дозою </w:t>
            </w:r>
            <w:r w:rsidRPr="00BA5C0A">
              <w:rPr>
                <w:rFonts w:ascii="Times New Roman" w:hAnsi="Times New Roman" w:cs="Times New Roman"/>
                <w:color w:val="000000" w:themeColor="text1"/>
                <w:lang w:val="uk-UA"/>
              </w:rPr>
              <w:t xml:space="preserve">глекапревіру та пібрентасвіру протягом </w:t>
            </w:r>
            <w:r w:rsidRPr="00BA5C0A">
              <w:rPr>
                <w:rFonts w:ascii="Times New Roman" w:hAnsi="Times New Roman" w:cs="Times New Roman"/>
                <w:lang w:val="uk-UA"/>
              </w:rPr>
              <w:t>8 тижнів (B1).</w:t>
            </w:r>
          </w:p>
          <w:p w14:paraId="52441B36" w14:textId="57F813BD" w:rsidR="00BA5C0A" w:rsidRPr="00BA5C0A" w:rsidRDefault="00BA5C0A" w:rsidP="00015E3B">
            <w:pPr>
              <w:numPr>
                <w:ilvl w:val="0"/>
                <w:numId w:val="30"/>
              </w:numPr>
              <w:contextualSpacing/>
              <w:jc w:val="both"/>
              <w:rPr>
                <w:rFonts w:ascii="Times New Roman" w:hAnsi="Times New Roman" w:cs="Times New Roman"/>
                <w:lang w:val="uk-UA"/>
              </w:rPr>
            </w:pPr>
            <w:r w:rsidRPr="00BA5C0A">
              <w:rPr>
                <w:rFonts w:ascii="Times New Roman" w:hAnsi="Times New Roman" w:cs="Times New Roman"/>
                <w:lang w:val="uk-UA"/>
              </w:rPr>
              <w:t>“Наївні” та пацієнти</w:t>
            </w:r>
            <w:r w:rsidR="00632C89">
              <w:rPr>
                <w:rFonts w:ascii="Times New Roman" w:hAnsi="Times New Roman" w:cs="Times New Roman"/>
                <w:lang w:val="uk-UA"/>
              </w:rPr>
              <w:t xml:space="preserve"> </w:t>
            </w:r>
            <w:r w:rsidR="00632C89">
              <w:rPr>
                <w:rFonts w:ascii="Times New Roman" w:hAnsi="Times New Roman" w:cs="Times New Roman"/>
                <w:color w:val="000000" w:themeColor="text1"/>
                <w:lang w:val="uk-UA"/>
              </w:rPr>
              <w:t>з досвідом лікування</w:t>
            </w:r>
            <w:r w:rsidRPr="00BA5C0A">
              <w:rPr>
                <w:rFonts w:ascii="Times New Roman" w:hAnsi="Times New Roman" w:cs="Times New Roman"/>
                <w:lang w:val="uk-UA"/>
              </w:rPr>
              <w:t xml:space="preserve">, інфіковані </w:t>
            </w:r>
            <w:r w:rsidR="00E24429">
              <w:rPr>
                <w:rFonts w:ascii="Times New Roman" w:hAnsi="Times New Roman" w:cs="Times New Roman"/>
                <w:lang w:val="uk-UA"/>
              </w:rPr>
              <w:t xml:space="preserve">5 генотипом </w:t>
            </w:r>
            <w:r w:rsidRPr="00BA5C0A">
              <w:rPr>
                <w:rFonts w:ascii="Times New Roman" w:hAnsi="Times New Roman" w:cs="Times New Roman"/>
                <w:lang w:val="uk-UA"/>
              </w:rPr>
              <w:t>ВГС, з компенсованим цирозом печінки (Child</w:t>
            </w:r>
            <w:r w:rsidR="00FC6D8A">
              <w:rPr>
                <w:rFonts w:ascii="Times New Roman" w:hAnsi="Times New Roman" w:cs="Times New Roman"/>
                <w:lang w:val="uk-UA"/>
              </w:rPr>
              <w:t>–</w:t>
            </w:r>
            <w:r w:rsidRPr="00BA5C0A">
              <w:rPr>
                <w:rFonts w:ascii="Times New Roman" w:hAnsi="Times New Roman" w:cs="Times New Roman"/>
                <w:lang w:val="uk-UA"/>
              </w:rPr>
              <w:t xml:space="preserve">Pugh A) повинні отримувати комбінацію із фіксованою дозою </w:t>
            </w:r>
            <w:r w:rsidRPr="00BA5C0A">
              <w:rPr>
                <w:rFonts w:ascii="Times New Roman" w:hAnsi="Times New Roman" w:cs="Times New Roman"/>
                <w:color w:val="000000" w:themeColor="text1"/>
                <w:lang w:val="uk-UA"/>
              </w:rPr>
              <w:t>глекапревіру та пібрентасвіру</w:t>
            </w:r>
            <w:r w:rsidRPr="00BA5C0A">
              <w:rPr>
                <w:rFonts w:ascii="Times New Roman" w:hAnsi="Times New Roman" w:cs="Times New Roman"/>
                <w:lang w:val="uk-UA"/>
              </w:rPr>
              <w:t xml:space="preserve"> протягом 12 тижнів (B1).</w:t>
            </w:r>
          </w:p>
        </w:tc>
      </w:tr>
    </w:tbl>
    <w:p w14:paraId="1213383D" w14:textId="77777777" w:rsidR="00BA5C0A" w:rsidRPr="00BA5C0A" w:rsidRDefault="00BA5C0A" w:rsidP="00BA5C0A">
      <w:pPr>
        <w:jc w:val="both"/>
        <w:rPr>
          <w:rFonts w:ascii="Times New Roman" w:hAnsi="Times New Roman" w:cs="Times New Roman"/>
          <w:lang w:val="uk-UA"/>
        </w:rPr>
      </w:pPr>
    </w:p>
    <w:p w14:paraId="06613E1A" w14:textId="09483D94"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Коментарі: Ця рекомендація базується на результатах II фази дослідження SURVEYOR</w:t>
      </w:r>
      <w:r w:rsidR="00FC6D8A">
        <w:rPr>
          <w:rFonts w:ascii="Times New Roman" w:hAnsi="Times New Roman" w:cs="Times New Roman"/>
          <w:lang w:val="uk-UA"/>
        </w:rPr>
        <w:t>–</w:t>
      </w:r>
      <w:r w:rsidRPr="00BA5C0A">
        <w:rPr>
          <w:rFonts w:ascii="Times New Roman" w:hAnsi="Times New Roman" w:cs="Times New Roman"/>
          <w:lang w:val="uk-UA"/>
        </w:rPr>
        <w:t xml:space="preserve">2, в якій 2/2 хворих без цирозу, інфікованих ВГС генотип 5, отримували комбінацію </w:t>
      </w:r>
      <w:r w:rsidRPr="00BA5C0A">
        <w:rPr>
          <w:rFonts w:ascii="Times New Roman" w:hAnsi="Times New Roman" w:cs="Times New Roman"/>
          <w:color w:val="000000" w:themeColor="text1"/>
          <w:lang w:val="uk-UA"/>
        </w:rPr>
        <w:t>глекапревіру та пібрентасвіру</w:t>
      </w:r>
      <w:r w:rsidRPr="00BA5C0A">
        <w:rPr>
          <w:rFonts w:ascii="Times New Roman" w:hAnsi="Times New Roman" w:cs="Times New Roman"/>
          <w:lang w:val="uk-UA"/>
        </w:rPr>
        <w:t xml:space="preserve"> протягом 8 тижнів, та досягли СВВ12.</w:t>
      </w:r>
      <w:r w:rsidRPr="00BA5C0A">
        <w:rPr>
          <w:rFonts w:ascii="Times New Roman" w:hAnsi="Times New Roman" w:cs="Times New Roman"/>
          <w:b/>
          <w:vertAlign w:val="superscript"/>
          <w:lang w:val="uk-UA"/>
        </w:rPr>
        <w:t>99</w:t>
      </w:r>
      <w:r w:rsidRPr="00BA5C0A">
        <w:rPr>
          <w:rFonts w:ascii="Times New Roman" w:hAnsi="Times New Roman" w:cs="Times New Roman"/>
          <w:lang w:val="uk-UA"/>
        </w:rPr>
        <w:t xml:space="preserve"> У ENDURANCE</w:t>
      </w:r>
      <w:r w:rsidR="00FC6D8A">
        <w:rPr>
          <w:rFonts w:ascii="Times New Roman" w:hAnsi="Times New Roman" w:cs="Times New Roman"/>
          <w:lang w:val="uk-UA"/>
        </w:rPr>
        <w:t>–</w:t>
      </w:r>
      <w:r w:rsidRPr="00BA5C0A">
        <w:rPr>
          <w:rFonts w:ascii="Times New Roman" w:hAnsi="Times New Roman" w:cs="Times New Roman"/>
          <w:lang w:val="uk-UA"/>
        </w:rPr>
        <w:t xml:space="preserve">4, пацієнти з генотипом 5 без цирозу, які лікувавалися протягом 12 тижнів, досягли СВВ у 100% (26/26) випадків, </w:t>
      </w:r>
      <w:r w:rsidRPr="00BA5C0A">
        <w:rPr>
          <w:rFonts w:ascii="Times New Roman" w:hAnsi="Times New Roman" w:cs="Times New Roman"/>
          <w:b/>
          <w:vertAlign w:val="superscript"/>
          <w:lang w:val="uk-UA"/>
        </w:rPr>
        <w:t>106</w:t>
      </w:r>
      <w:r w:rsidRPr="00BA5C0A">
        <w:rPr>
          <w:rFonts w:ascii="Times New Roman" w:hAnsi="Times New Roman" w:cs="Times New Roman"/>
          <w:lang w:val="uk-UA"/>
        </w:rPr>
        <w:t>, тоді як у EXPEDITION</w:t>
      </w:r>
      <w:r w:rsidR="00FC6D8A">
        <w:rPr>
          <w:rFonts w:ascii="Times New Roman" w:hAnsi="Times New Roman" w:cs="Times New Roman"/>
          <w:lang w:val="uk-UA"/>
        </w:rPr>
        <w:t>–</w:t>
      </w:r>
      <w:r w:rsidRPr="00BA5C0A">
        <w:rPr>
          <w:rFonts w:ascii="Times New Roman" w:hAnsi="Times New Roman" w:cs="Times New Roman"/>
          <w:lang w:val="uk-UA"/>
        </w:rPr>
        <w:t>1, 2/2 хворих, інфікованих генотипом 5 з цирозом, досягли СВВ12.</w:t>
      </w:r>
      <w:r w:rsidRPr="00BA5C0A">
        <w:rPr>
          <w:rFonts w:ascii="Times New Roman" w:hAnsi="Times New Roman" w:cs="Times New Roman"/>
          <w:vertAlign w:val="superscript"/>
          <w:lang w:val="uk-UA"/>
        </w:rPr>
        <w:t>73</w:t>
      </w:r>
    </w:p>
    <w:p w14:paraId="5B9818ED" w14:textId="77777777" w:rsidR="00BA5C0A" w:rsidRPr="00BA5C0A" w:rsidRDefault="00BA5C0A" w:rsidP="00BA5C0A">
      <w:pPr>
        <w:jc w:val="both"/>
        <w:rPr>
          <w:rFonts w:ascii="Times New Roman" w:hAnsi="Times New Roman" w:cs="Times New Roman"/>
          <w:lang w:val="uk-U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A5C0A" w:rsidRPr="0080595E" w14:paraId="643A1136" w14:textId="77777777" w:rsidTr="00544369">
        <w:trPr>
          <w:trHeight w:val="544"/>
        </w:trPr>
        <w:tc>
          <w:tcPr>
            <w:tcW w:w="9607" w:type="dxa"/>
            <w:shd w:val="clear" w:color="auto" w:fill="BDD6EE" w:themeFill="accent1" w:themeFillTint="66"/>
          </w:tcPr>
          <w:p w14:paraId="472BF8EB" w14:textId="42BCD33C" w:rsidR="00BA5C0A" w:rsidRPr="004E4E66" w:rsidRDefault="00BA5C0A" w:rsidP="00BA5C0A">
            <w:pPr>
              <w:jc w:val="both"/>
              <w:rPr>
                <w:rFonts w:ascii="Times New Roman" w:hAnsi="Times New Roman" w:cs="Times New Roman"/>
                <w:b/>
                <w:i/>
                <w:lang w:val="uk-UA"/>
              </w:rPr>
            </w:pPr>
            <w:r w:rsidRPr="004E4E66">
              <w:rPr>
                <w:rFonts w:ascii="Times New Roman" w:hAnsi="Times New Roman" w:cs="Times New Roman"/>
                <w:b/>
                <w:i/>
                <w:lang w:val="uk-UA"/>
              </w:rPr>
              <w:t xml:space="preserve">Генотип 5, специфічна до генотипу схема: </w:t>
            </w:r>
            <w:r w:rsidR="004E4E66">
              <w:rPr>
                <w:rFonts w:ascii="Times New Roman" w:hAnsi="Times New Roman" w:cs="Times New Roman"/>
                <w:b/>
                <w:i/>
                <w:lang w:val="uk-UA"/>
              </w:rPr>
              <w:t>с</w:t>
            </w:r>
            <w:r w:rsidRPr="004E4E66">
              <w:rPr>
                <w:rFonts w:ascii="Times New Roman" w:hAnsi="Times New Roman" w:cs="Times New Roman"/>
                <w:b/>
                <w:i/>
                <w:lang w:val="uk-UA"/>
              </w:rPr>
              <w:t>офосбувір/</w:t>
            </w:r>
            <w:r w:rsidR="00E24429" w:rsidRPr="004E4E66">
              <w:rPr>
                <w:rFonts w:ascii="Times New Roman" w:hAnsi="Times New Roman" w:cs="Times New Roman"/>
                <w:b/>
                <w:i/>
                <w:lang w:val="uk-UA"/>
              </w:rPr>
              <w:t>л</w:t>
            </w:r>
            <w:r w:rsidRPr="004E4E66">
              <w:rPr>
                <w:rFonts w:ascii="Times New Roman" w:hAnsi="Times New Roman" w:cs="Times New Roman"/>
                <w:b/>
                <w:i/>
                <w:lang w:val="uk-UA"/>
              </w:rPr>
              <w:t>едіпасвір</w:t>
            </w:r>
          </w:p>
          <w:p w14:paraId="31180315" w14:textId="77777777" w:rsidR="007C2A3A" w:rsidRPr="00BA5C0A" w:rsidRDefault="007C2A3A" w:rsidP="00BA5C0A">
            <w:pPr>
              <w:jc w:val="both"/>
              <w:rPr>
                <w:rFonts w:ascii="Times New Roman" w:hAnsi="Times New Roman" w:cs="Times New Roman"/>
                <w:b/>
                <w:i/>
                <w:color w:val="4472C4" w:themeColor="accent5"/>
                <w:lang w:val="uk-UA"/>
              </w:rPr>
            </w:pPr>
          </w:p>
          <w:p w14:paraId="7CF9260F" w14:textId="446D4F44" w:rsidR="00BA5C0A" w:rsidRPr="00BA5C0A" w:rsidRDefault="00BA5C0A" w:rsidP="00015E3B">
            <w:pPr>
              <w:numPr>
                <w:ilvl w:val="0"/>
                <w:numId w:val="31"/>
              </w:numPr>
              <w:contextualSpacing/>
              <w:jc w:val="both"/>
              <w:rPr>
                <w:rFonts w:ascii="Times New Roman" w:hAnsi="Times New Roman" w:cs="Times New Roman"/>
                <w:lang w:val="uk-UA"/>
              </w:rPr>
            </w:pPr>
            <w:r w:rsidRPr="00BA5C0A">
              <w:rPr>
                <w:rFonts w:ascii="Times New Roman" w:hAnsi="Times New Roman" w:cs="Times New Roman"/>
                <w:lang w:val="uk-UA"/>
              </w:rPr>
              <w:t xml:space="preserve">“Наївні” пацієнти, інфіковані </w:t>
            </w:r>
            <w:r w:rsidR="00E24429">
              <w:rPr>
                <w:rFonts w:ascii="Times New Roman" w:hAnsi="Times New Roman" w:cs="Times New Roman"/>
                <w:lang w:val="uk-UA"/>
              </w:rPr>
              <w:t xml:space="preserve">5 генотипом </w:t>
            </w:r>
            <w:r w:rsidRPr="00BA5C0A">
              <w:rPr>
                <w:rFonts w:ascii="Times New Roman" w:hAnsi="Times New Roman" w:cs="Times New Roman"/>
                <w:lang w:val="uk-UA"/>
              </w:rPr>
              <w:t>ВГС без цирозу або з компенсованим (Child</w:t>
            </w:r>
            <w:r w:rsidR="00FC6D8A">
              <w:rPr>
                <w:rFonts w:ascii="Times New Roman" w:hAnsi="Times New Roman" w:cs="Times New Roman"/>
                <w:lang w:val="uk-UA"/>
              </w:rPr>
              <w:t>–</w:t>
            </w:r>
            <w:r w:rsidRPr="00BA5C0A">
              <w:rPr>
                <w:rFonts w:ascii="Times New Roman" w:hAnsi="Times New Roman" w:cs="Times New Roman"/>
                <w:lang w:val="uk-UA"/>
              </w:rPr>
              <w:t>Pugh A) цирозом, повинні отримувати комбінацію із фіксованою дозою протягом 12 тижнів (B1).</w:t>
            </w:r>
          </w:p>
          <w:p w14:paraId="1E9F66DE" w14:textId="4B8B90D7" w:rsidR="00BA5C0A" w:rsidRPr="00046E19" w:rsidRDefault="00BA5C0A" w:rsidP="00015E3B">
            <w:pPr>
              <w:numPr>
                <w:ilvl w:val="0"/>
                <w:numId w:val="31"/>
              </w:numPr>
              <w:contextualSpacing/>
              <w:jc w:val="both"/>
              <w:rPr>
                <w:rFonts w:ascii="Times New Roman" w:hAnsi="Times New Roman" w:cs="Times New Roman"/>
                <w:lang w:val="uk-UA"/>
              </w:rPr>
            </w:pPr>
            <w:r w:rsidRPr="00BA5C0A">
              <w:rPr>
                <w:rFonts w:ascii="Times New Roman" w:hAnsi="Times New Roman" w:cs="Times New Roman"/>
                <w:lang w:val="uk-UA"/>
              </w:rPr>
              <w:t>Комбінація софосбувіру та ледіпасвіру не рекомендується</w:t>
            </w:r>
            <w:r w:rsidR="00557239">
              <w:rPr>
                <w:rFonts w:ascii="Times New Roman" w:hAnsi="Times New Roman" w:cs="Times New Roman"/>
                <w:lang w:val="uk-UA"/>
              </w:rPr>
              <w:t xml:space="preserve"> для</w:t>
            </w:r>
            <w:r w:rsidRPr="00BA5C0A">
              <w:rPr>
                <w:rFonts w:ascii="Times New Roman" w:hAnsi="Times New Roman" w:cs="Times New Roman"/>
                <w:lang w:val="uk-UA"/>
              </w:rPr>
              <w:t xml:space="preserve"> хвори</w:t>
            </w:r>
            <w:r w:rsidR="00557239">
              <w:rPr>
                <w:rFonts w:ascii="Times New Roman" w:hAnsi="Times New Roman" w:cs="Times New Roman"/>
                <w:lang w:val="uk-UA"/>
              </w:rPr>
              <w:t>х</w:t>
            </w:r>
            <w:r w:rsidRPr="00BA5C0A">
              <w:rPr>
                <w:rFonts w:ascii="Times New Roman" w:hAnsi="Times New Roman" w:cs="Times New Roman"/>
                <w:lang w:val="uk-UA"/>
              </w:rPr>
              <w:t>, інфіковани</w:t>
            </w:r>
            <w:r w:rsidR="00557239">
              <w:rPr>
                <w:rFonts w:ascii="Times New Roman" w:hAnsi="Times New Roman" w:cs="Times New Roman"/>
                <w:lang w:val="uk-UA"/>
              </w:rPr>
              <w:t>х</w:t>
            </w:r>
            <w:r w:rsidRPr="00BA5C0A">
              <w:rPr>
                <w:rFonts w:ascii="Times New Roman" w:hAnsi="Times New Roman" w:cs="Times New Roman"/>
                <w:lang w:val="uk-UA"/>
              </w:rPr>
              <w:t xml:space="preserve"> генотипом 5, які вже отримували лікування (В1).</w:t>
            </w:r>
          </w:p>
        </w:tc>
      </w:tr>
    </w:tbl>
    <w:p w14:paraId="507E33D1" w14:textId="77777777" w:rsidR="00BA5C0A" w:rsidRPr="00BA5C0A" w:rsidRDefault="00BA5C0A" w:rsidP="00BA5C0A">
      <w:pPr>
        <w:jc w:val="both"/>
        <w:rPr>
          <w:rFonts w:ascii="Times New Roman" w:hAnsi="Times New Roman" w:cs="Times New Roman"/>
          <w:lang w:val="uk-UA"/>
        </w:rPr>
      </w:pPr>
    </w:p>
    <w:p w14:paraId="1496B83D" w14:textId="257923DB"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Коментар: у II фазі дослідження, з 41 “наївн</w:t>
      </w:r>
      <w:r w:rsidR="00B423FC">
        <w:rPr>
          <w:rFonts w:ascii="Times New Roman" w:hAnsi="Times New Roman" w:cs="Times New Roman"/>
          <w:lang w:val="uk-UA"/>
        </w:rPr>
        <w:t>их</w:t>
      </w:r>
      <w:r w:rsidRPr="00BA5C0A">
        <w:rPr>
          <w:rFonts w:ascii="Times New Roman" w:hAnsi="Times New Roman" w:cs="Times New Roman"/>
          <w:lang w:val="uk-UA"/>
        </w:rPr>
        <w:t>” та пацієнтів</w:t>
      </w:r>
      <w:r w:rsidR="00632C89">
        <w:rPr>
          <w:rFonts w:ascii="Times New Roman" w:hAnsi="Times New Roman" w:cs="Times New Roman"/>
          <w:lang w:val="uk-UA"/>
        </w:rPr>
        <w:t xml:space="preserve"> </w:t>
      </w:r>
      <w:r w:rsidR="00632C89">
        <w:rPr>
          <w:rFonts w:ascii="Times New Roman" w:hAnsi="Times New Roman" w:cs="Times New Roman"/>
          <w:color w:val="000000" w:themeColor="text1"/>
          <w:lang w:val="uk-UA"/>
        </w:rPr>
        <w:t>з досвідом лікування</w:t>
      </w:r>
      <w:r w:rsidRPr="00BA5C0A">
        <w:rPr>
          <w:rFonts w:ascii="Times New Roman" w:hAnsi="Times New Roman" w:cs="Times New Roman"/>
          <w:lang w:val="uk-UA"/>
        </w:rPr>
        <w:t xml:space="preserve">, інфікованих </w:t>
      </w:r>
      <w:r w:rsidR="00046E19">
        <w:rPr>
          <w:rFonts w:ascii="Times New Roman" w:hAnsi="Times New Roman" w:cs="Times New Roman"/>
          <w:lang w:val="uk-UA"/>
        </w:rPr>
        <w:t xml:space="preserve">5 генотипом </w:t>
      </w:r>
      <w:r w:rsidRPr="00BA5C0A">
        <w:rPr>
          <w:rFonts w:ascii="Times New Roman" w:hAnsi="Times New Roman" w:cs="Times New Roman"/>
          <w:lang w:val="uk-UA"/>
        </w:rPr>
        <w:t xml:space="preserve">ВГС, у тому числі 9 із компенсованим цирозом печінки, </w:t>
      </w:r>
      <w:r w:rsidR="00046E19">
        <w:rPr>
          <w:rFonts w:ascii="Times New Roman" w:hAnsi="Times New Roman" w:cs="Times New Roman"/>
          <w:lang w:val="uk-UA"/>
        </w:rPr>
        <w:t xml:space="preserve">які </w:t>
      </w:r>
      <w:r w:rsidRPr="00BA5C0A">
        <w:rPr>
          <w:rFonts w:ascii="Times New Roman" w:hAnsi="Times New Roman" w:cs="Times New Roman"/>
          <w:lang w:val="uk-UA"/>
        </w:rPr>
        <w:t>протягом 12 тижнів отримували софосбувір та лідіпасвір без рибавірину</w:t>
      </w:r>
      <w:r w:rsidR="00046E19">
        <w:rPr>
          <w:rFonts w:ascii="Times New Roman" w:hAnsi="Times New Roman" w:cs="Times New Roman"/>
          <w:lang w:val="uk-UA"/>
        </w:rPr>
        <w:t xml:space="preserve"> у </w:t>
      </w:r>
      <w:r w:rsidRPr="00BA5C0A">
        <w:rPr>
          <w:rFonts w:ascii="Times New Roman" w:hAnsi="Times New Roman" w:cs="Times New Roman"/>
          <w:lang w:val="uk-UA"/>
        </w:rPr>
        <w:t>95% (39/41) досягнуто СВВ12.</w:t>
      </w:r>
      <w:r w:rsidRPr="00046E19">
        <w:rPr>
          <w:rFonts w:ascii="Times New Roman" w:hAnsi="Times New Roman" w:cs="Times New Roman"/>
          <w:sz w:val="16"/>
          <w:szCs w:val="16"/>
          <w:lang w:val="uk-UA"/>
        </w:rPr>
        <w:t>110</w:t>
      </w:r>
    </w:p>
    <w:p w14:paraId="7526B16E" w14:textId="77777777" w:rsidR="00BA5C0A" w:rsidRPr="00BA5C0A" w:rsidRDefault="00BA5C0A" w:rsidP="00BA5C0A">
      <w:pPr>
        <w:jc w:val="both"/>
        <w:rPr>
          <w:rFonts w:ascii="Times New Roman" w:hAnsi="Times New Roman" w:cs="Times New Roman"/>
          <w:lang w:val="uk-UA"/>
        </w:rPr>
      </w:pPr>
    </w:p>
    <w:p w14:paraId="6871CEC8" w14:textId="00D2A170" w:rsidR="00BA5C0A" w:rsidRPr="00BA5C0A" w:rsidRDefault="00BA5C0A" w:rsidP="00BA5C0A">
      <w:pPr>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 xml:space="preserve">Лікування </w:t>
      </w:r>
      <w:r w:rsidR="00B423FC">
        <w:rPr>
          <w:rFonts w:ascii="Times New Roman" w:hAnsi="Times New Roman" w:cs="Times New Roman"/>
          <w:b/>
          <w:color w:val="4472C4" w:themeColor="accent5"/>
          <w:lang w:val="uk-UA"/>
        </w:rPr>
        <w:t xml:space="preserve">пацієнтів </w:t>
      </w:r>
      <w:r w:rsidR="00E965B5">
        <w:rPr>
          <w:rFonts w:ascii="Times New Roman" w:hAnsi="Times New Roman" w:cs="Times New Roman"/>
          <w:b/>
          <w:color w:val="4472C4" w:themeColor="accent5"/>
          <w:lang w:val="uk-UA"/>
        </w:rPr>
        <w:t>і</w:t>
      </w:r>
      <w:r w:rsidR="00B423FC">
        <w:rPr>
          <w:rFonts w:ascii="Times New Roman" w:hAnsi="Times New Roman" w:cs="Times New Roman"/>
          <w:b/>
          <w:color w:val="4472C4" w:themeColor="accent5"/>
          <w:lang w:val="uk-UA"/>
        </w:rPr>
        <w:t>з 6 генотипом ВГС</w:t>
      </w:r>
    </w:p>
    <w:p w14:paraId="7116B861" w14:textId="77777777" w:rsidR="00BA5C0A" w:rsidRPr="00BA5C0A" w:rsidRDefault="00BA5C0A" w:rsidP="00BA5C0A">
      <w:pPr>
        <w:jc w:val="both"/>
        <w:rPr>
          <w:rFonts w:ascii="Times New Roman" w:hAnsi="Times New Roman" w:cs="Times New Roman"/>
          <w:lang w:val="uk-UA"/>
        </w:rPr>
      </w:pPr>
    </w:p>
    <w:p w14:paraId="0FAC4665" w14:textId="05F600C9"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Три варіанти лікування доступні в 2018 році для пацієнтів, </w:t>
      </w:r>
      <w:r w:rsidRPr="00BA5C0A">
        <w:rPr>
          <w:rFonts w:ascii="Times New Roman" w:hAnsi="Times New Roman" w:cs="Times New Roman"/>
          <w:color w:val="000000" w:themeColor="text1"/>
          <w:lang w:val="uk-UA"/>
        </w:rPr>
        <w:t xml:space="preserve">інфікованих </w:t>
      </w:r>
      <w:r w:rsidR="00046E19">
        <w:rPr>
          <w:rFonts w:ascii="Times New Roman" w:hAnsi="Times New Roman" w:cs="Times New Roman"/>
          <w:color w:val="000000" w:themeColor="text1"/>
          <w:lang w:val="uk-UA"/>
        </w:rPr>
        <w:t xml:space="preserve">6 генотипом </w:t>
      </w:r>
      <w:r w:rsidRPr="00BA5C0A">
        <w:rPr>
          <w:rFonts w:ascii="Times New Roman" w:hAnsi="Times New Roman" w:cs="Times New Roman"/>
          <w:color w:val="000000" w:themeColor="text1"/>
          <w:lang w:val="uk-UA"/>
        </w:rPr>
        <w:t xml:space="preserve">ВГС </w:t>
      </w:r>
      <w:r w:rsidRPr="00BA5C0A">
        <w:rPr>
          <w:rFonts w:ascii="Times New Roman" w:hAnsi="Times New Roman" w:cs="Times New Roman"/>
          <w:lang w:val="uk-UA"/>
        </w:rPr>
        <w:t>(Таблиці 6, 7 і 8). Проте кількість хворих, інфікованих генотипом 6, які лікувалис</w:t>
      </w:r>
      <w:r w:rsidR="00557239">
        <w:rPr>
          <w:rFonts w:ascii="Times New Roman" w:hAnsi="Times New Roman" w:cs="Times New Roman"/>
          <w:lang w:val="uk-UA"/>
        </w:rPr>
        <w:t>ь</w:t>
      </w:r>
      <w:r w:rsidRPr="00BA5C0A">
        <w:rPr>
          <w:rFonts w:ascii="Times New Roman" w:hAnsi="Times New Roman" w:cs="Times New Roman"/>
          <w:lang w:val="uk-UA"/>
        </w:rPr>
        <w:t xml:space="preserve"> у всіх випробуваннях, була обмежена</w:t>
      </w:r>
      <w:r w:rsidR="00B423FC">
        <w:rPr>
          <w:rFonts w:ascii="Times New Roman" w:hAnsi="Times New Roman" w:cs="Times New Roman"/>
          <w:lang w:val="uk-UA"/>
        </w:rPr>
        <w:t>.</w:t>
      </w:r>
      <w:r w:rsidRPr="00BA5C0A">
        <w:rPr>
          <w:rFonts w:ascii="Times New Roman" w:hAnsi="Times New Roman" w:cs="Times New Roman"/>
          <w:lang w:val="uk-UA"/>
        </w:rPr>
        <w:t xml:space="preserve"> </w:t>
      </w:r>
      <w:r w:rsidR="00B423FC">
        <w:rPr>
          <w:rFonts w:ascii="Times New Roman" w:hAnsi="Times New Roman" w:cs="Times New Roman"/>
          <w:lang w:val="uk-UA"/>
        </w:rPr>
        <w:t>В</w:t>
      </w:r>
      <w:r w:rsidRPr="00BA5C0A">
        <w:rPr>
          <w:rFonts w:ascii="Times New Roman" w:hAnsi="Times New Roman" w:cs="Times New Roman"/>
          <w:lang w:val="uk-UA"/>
        </w:rPr>
        <w:t xml:space="preserve">наслідок того, що дані були розділені за наявністю цирозу та отриманням попереднього лікуванням, </w:t>
      </w:r>
      <w:r w:rsidR="00B423FC">
        <w:rPr>
          <w:rFonts w:ascii="Times New Roman" w:hAnsi="Times New Roman" w:cs="Times New Roman"/>
          <w:lang w:val="uk-UA"/>
        </w:rPr>
        <w:t>це</w:t>
      </w:r>
      <w:r w:rsidRPr="00BA5C0A">
        <w:rPr>
          <w:rFonts w:ascii="Times New Roman" w:hAnsi="Times New Roman" w:cs="Times New Roman"/>
          <w:lang w:val="uk-UA"/>
        </w:rPr>
        <w:t xml:space="preserve"> ускладнює розробку рекомендацій. </w:t>
      </w:r>
      <w:r w:rsidRPr="00BA5C0A">
        <w:rPr>
          <w:rFonts w:ascii="Times New Roman" w:hAnsi="Times New Roman" w:cs="Times New Roman"/>
          <w:color w:val="000000" w:themeColor="text1"/>
          <w:lang w:val="uk-UA"/>
        </w:rPr>
        <w:t>Ці варіанти вважаються еквівалентними, і порядок в якому вони зазначені, не вказує ні на їх перевагу перед іншими, ні на більшу ефективність</w:t>
      </w:r>
      <w:r w:rsidRPr="00BA5C0A">
        <w:rPr>
          <w:rFonts w:ascii="Times New Roman" w:hAnsi="Times New Roman" w:cs="Times New Roman"/>
          <w:lang w:val="uk-UA"/>
        </w:rPr>
        <w:t>:</w:t>
      </w:r>
    </w:p>
    <w:p w14:paraId="5F154C8F" w14:textId="77777777" w:rsidR="00BA5C0A" w:rsidRPr="00BA5C0A" w:rsidRDefault="00BA5C0A" w:rsidP="00BA5C0A">
      <w:pPr>
        <w:jc w:val="both"/>
        <w:rPr>
          <w:rFonts w:ascii="Times New Roman" w:hAnsi="Times New Roman" w:cs="Times New Roman"/>
          <w:lang w:val="uk-UA"/>
        </w:rPr>
      </w:pPr>
    </w:p>
    <w:p w14:paraId="4F26E8CF" w14:textId="77777777"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Софосбувір/велпатасвір </w:t>
      </w:r>
    </w:p>
    <w:p w14:paraId="22BE2564" w14:textId="77777777"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Глекапревір/пібрентасвір </w:t>
      </w:r>
    </w:p>
    <w:p w14:paraId="73AD3F26" w14:textId="77777777"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Софосбувір/ледіпасвір</w:t>
      </w:r>
    </w:p>
    <w:p w14:paraId="585C7C21" w14:textId="77777777" w:rsidR="00BA5C0A" w:rsidRPr="00BA5C0A" w:rsidRDefault="00BA5C0A" w:rsidP="00BA5C0A">
      <w:pPr>
        <w:jc w:val="both"/>
        <w:rPr>
          <w:rFonts w:ascii="Times New Roman" w:hAnsi="Times New Roman" w:cs="Times New Roman"/>
          <w:lang w:val="uk-U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A5C0A" w:rsidRPr="0080595E" w14:paraId="0B1304ED" w14:textId="77777777" w:rsidTr="00544369">
        <w:trPr>
          <w:trHeight w:val="544"/>
        </w:trPr>
        <w:tc>
          <w:tcPr>
            <w:tcW w:w="9607" w:type="dxa"/>
            <w:shd w:val="clear" w:color="auto" w:fill="BDD6EE" w:themeFill="accent1" w:themeFillTint="66"/>
          </w:tcPr>
          <w:p w14:paraId="6F12EA68" w14:textId="77777777" w:rsidR="00BA5C0A" w:rsidRPr="00BA5C0A" w:rsidRDefault="00BA5C0A" w:rsidP="00BA5C0A">
            <w:pPr>
              <w:jc w:val="both"/>
              <w:rPr>
                <w:rFonts w:ascii="Times New Roman" w:hAnsi="Times New Roman" w:cs="Times New Roman"/>
                <w:b/>
                <w:i/>
                <w:color w:val="4472C4" w:themeColor="accent5"/>
                <w:lang w:val="uk-UA"/>
              </w:rPr>
            </w:pPr>
            <w:r w:rsidRPr="00BA5C0A">
              <w:rPr>
                <w:rFonts w:ascii="Times New Roman" w:hAnsi="Times New Roman" w:cs="Times New Roman"/>
                <w:b/>
                <w:i/>
                <w:color w:val="4472C4" w:themeColor="accent5"/>
                <w:lang w:val="uk-UA"/>
              </w:rPr>
              <w:t>Рекомендації</w:t>
            </w:r>
          </w:p>
          <w:p w14:paraId="43B7919D" w14:textId="77777777" w:rsidR="00BA5C0A" w:rsidRPr="00BA5C0A" w:rsidRDefault="00BA5C0A" w:rsidP="00BA5C0A">
            <w:pPr>
              <w:jc w:val="both"/>
              <w:rPr>
                <w:rFonts w:ascii="Times New Roman" w:hAnsi="Times New Roman" w:cs="Times New Roman"/>
                <w:lang w:val="uk-UA"/>
              </w:rPr>
            </w:pPr>
          </w:p>
          <w:p w14:paraId="745A1B5C" w14:textId="77777777"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Наступні схеми рекомендовані для лікування пацієнтів, інфікованих генотипом 6, відповідно до нижчезазначених рекомендацій (А1):</w:t>
            </w:r>
          </w:p>
          <w:p w14:paraId="3FD884C5" w14:textId="77777777" w:rsidR="00BA5C0A" w:rsidRPr="00BA5C0A" w:rsidRDefault="00BA5C0A" w:rsidP="00015E3B">
            <w:pPr>
              <w:numPr>
                <w:ilvl w:val="0"/>
                <w:numId w:val="32"/>
              </w:numPr>
              <w:contextualSpacing/>
              <w:jc w:val="both"/>
              <w:rPr>
                <w:rFonts w:ascii="Times New Roman" w:hAnsi="Times New Roman" w:cs="Times New Roman"/>
                <w:lang w:val="uk-UA"/>
              </w:rPr>
            </w:pPr>
            <w:r w:rsidRPr="00BA5C0A">
              <w:rPr>
                <w:rFonts w:ascii="Times New Roman" w:hAnsi="Times New Roman" w:cs="Times New Roman"/>
                <w:lang w:val="uk-UA"/>
              </w:rPr>
              <w:t>комбінація із фіксованою дозою софосбувіру (400 мг) і велпатасвір (100 мг) в одній таблетці, призначеній один раз на добу;</w:t>
            </w:r>
          </w:p>
          <w:p w14:paraId="706A4637" w14:textId="41602653" w:rsidR="00BA5C0A" w:rsidRPr="00BA5C0A" w:rsidRDefault="00BA5C0A" w:rsidP="00015E3B">
            <w:pPr>
              <w:numPr>
                <w:ilvl w:val="0"/>
                <w:numId w:val="32"/>
              </w:numPr>
              <w:contextualSpacing/>
              <w:jc w:val="both"/>
              <w:rPr>
                <w:rFonts w:ascii="Times New Roman" w:hAnsi="Times New Roman" w:cs="Times New Roman"/>
                <w:lang w:val="uk-UA"/>
              </w:rPr>
            </w:pPr>
            <w:r w:rsidRPr="00BA5C0A">
              <w:rPr>
                <w:rFonts w:ascii="Times New Roman" w:hAnsi="Times New Roman" w:cs="Times New Roman"/>
                <w:lang w:val="uk-UA"/>
              </w:rPr>
              <w:t xml:space="preserve">комбінація з фіксованою дозою глекапревіру (300 мг) та пібрентасвіру (120 мг) у трьох таблетках, що містять 100 мг глекапревіру та 40 мг пібрентасвіру, що </w:t>
            </w:r>
            <w:r w:rsidR="00216285">
              <w:rPr>
                <w:rFonts w:ascii="Times New Roman" w:hAnsi="Times New Roman" w:cs="Times New Roman"/>
                <w:lang w:val="uk-UA"/>
              </w:rPr>
              <w:t>приймаю</w:t>
            </w:r>
            <w:r w:rsidRPr="00BA5C0A">
              <w:rPr>
                <w:rFonts w:ascii="Times New Roman" w:hAnsi="Times New Roman" w:cs="Times New Roman"/>
                <w:lang w:val="uk-UA"/>
              </w:rPr>
              <w:t xml:space="preserve">ь один раз на добу </w:t>
            </w:r>
            <w:r w:rsidR="00216285">
              <w:rPr>
                <w:rFonts w:ascii="Times New Roman" w:hAnsi="Times New Roman" w:cs="Times New Roman"/>
                <w:lang w:val="uk-UA"/>
              </w:rPr>
              <w:t>і</w:t>
            </w:r>
            <w:r w:rsidRPr="00BA5C0A">
              <w:rPr>
                <w:rFonts w:ascii="Times New Roman" w:hAnsi="Times New Roman" w:cs="Times New Roman"/>
                <w:lang w:val="uk-UA"/>
              </w:rPr>
              <w:t>з їжею;</w:t>
            </w:r>
          </w:p>
          <w:p w14:paraId="3814A537" w14:textId="62FF6D46" w:rsidR="00BA5C0A" w:rsidRPr="00BA5C0A" w:rsidRDefault="00BA5C0A" w:rsidP="00015E3B">
            <w:pPr>
              <w:numPr>
                <w:ilvl w:val="0"/>
                <w:numId w:val="32"/>
              </w:numPr>
              <w:contextualSpacing/>
              <w:jc w:val="both"/>
              <w:rPr>
                <w:rFonts w:ascii="Times New Roman" w:hAnsi="Times New Roman" w:cs="Times New Roman"/>
                <w:lang w:val="uk-UA"/>
              </w:rPr>
            </w:pPr>
            <w:r w:rsidRPr="00BA5C0A">
              <w:rPr>
                <w:rFonts w:ascii="Times New Roman" w:hAnsi="Times New Roman" w:cs="Times New Roman"/>
                <w:lang w:val="uk-UA"/>
              </w:rPr>
              <w:t xml:space="preserve">комбінація з фіксованою дозою софосбувіру (400 мг) і ледіпасвіру (90 мг) в одній таблетці, що </w:t>
            </w:r>
            <w:r w:rsidR="00B423FC">
              <w:rPr>
                <w:rFonts w:ascii="Times New Roman" w:hAnsi="Times New Roman" w:cs="Times New Roman"/>
                <w:lang w:val="uk-UA"/>
              </w:rPr>
              <w:t>приймається</w:t>
            </w:r>
            <w:r w:rsidR="00B423FC" w:rsidRPr="00BA5C0A">
              <w:rPr>
                <w:rFonts w:ascii="Times New Roman" w:hAnsi="Times New Roman" w:cs="Times New Roman"/>
                <w:lang w:val="uk-UA"/>
              </w:rPr>
              <w:t xml:space="preserve"> </w:t>
            </w:r>
            <w:r w:rsidRPr="00BA5C0A">
              <w:rPr>
                <w:rFonts w:ascii="Times New Roman" w:hAnsi="Times New Roman" w:cs="Times New Roman"/>
                <w:lang w:val="uk-UA"/>
              </w:rPr>
              <w:t xml:space="preserve">один раз на </w:t>
            </w:r>
            <w:r w:rsidR="00557239">
              <w:rPr>
                <w:rFonts w:ascii="Times New Roman" w:hAnsi="Times New Roman" w:cs="Times New Roman"/>
                <w:lang w:val="uk-UA"/>
              </w:rPr>
              <w:t>добу</w:t>
            </w:r>
            <w:r w:rsidRPr="00BA5C0A">
              <w:rPr>
                <w:rFonts w:ascii="Times New Roman" w:hAnsi="Times New Roman" w:cs="Times New Roman"/>
                <w:lang w:val="uk-UA"/>
              </w:rPr>
              <w:t xml:space="preserve"> </w:t>
            </w:r>
          </w:p>
        </w:tc>
      </w:tr>
    </w:tbl>
    <w:p w14:paraId="5DAA0171" w14:textId="77777777" w:rsidR="00BA5C0A" w:rsidRPr="00BA5C0A" w:rsidRDefault="00BA5C0A" w:rsidP="00BA5C0A">
      <w:pPr>
        <w:jc w:val="both"/>
        <w:rPr>
          <w:rFonts w:ascii="Times New Roman" w:hAnsi="Times New Roman" w:cs="Times New Roman"/>
          <w:lang w:val="uk-UA"/>
        </w:rPr>
      </w:pPr>
    </w:p>
    <w:p w14:paraId="5E062D3B" w14:textId="77777777" w:rsidR="00BA5C0A" w:rsidRPr="00BA5C0A" w:rsidRDefault="00BA5C0A" w:rsidP="00BA5C0A">
      <w:pPr>
        <w:jc w:val="both"/>
        <w:rPr>
          <w:rFonts w:ascii="Times New Roman" w:hAnsi="Times New Roman" w:cs="Times New Roman"/>
          <w:lang w:val="uk-U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A5C0A" w:rsidRPr="0080595E" w14:paraId="2808CCED" w14:textId="77777777" w:rsidTr="00544369">
        <w:trPr>
          <w:trHeight w:val="544"/>
        </w:trPr>
        <w:tc>
          <w:tcPr>
            <w:tcW w:w="9607" w:type="dxa"/>
            <w:shd w:val="clear" w:color="auto" w:fill="BDD6EE" w:themeFill="accent1" w:themeFillTint="66"/>
          </w:tcPr>
          <w:p w14:paraId="2E0220D4" w14:textId="1C3B4BEF" w:rsidR="00BA5C0A" w:rsidRPr="004E4E66" w:rsidRDefault="00BA5C0A" w:rsidP="00BA5C0A">
            <w:pPr>
              <w:jc w:val="both"/>
              <w:rPr>
                <w:rFonts w:ascii="Times New Roman" w:hAnsi="Times New Roman" w:cs="Times New Roman"/>
                <w:lang w:val="uk-UA"/>
              </w:rPr>
            </w:pPr>
            <w:r w:rsidRPr="004E4E66">
              <w:rPr>
                <w:rFonts w:ascii="Times New Roman" w:hAnsi="Times New Roman" w:cs="Times New Roman"/>
                <w:b/>
                <w:i/>
                <w:lang w:val="uk-UA"/>
              </w:rPr>
              <w:t>Генотип 6, пангенотип</w:t>
            </w:r>
            <w:r w:rsidR="004E4E66">
              <w:rPr>
                <w:rFonts w:ascii="Times New Roman" w:hAnsi="Times New Roman" w:cs="Times New Roman"/>
                <w:b/>
                <w:i/>
                <w:lang w:val="uk-UA"/>
              </w:rPr>
              <w:t>на</w:t>
            </w:r>
            <w:r w:rsidRPr="004E4E66">
              <w:rPr>
                <w:rFonts w:ascii="Times New Roman" w:hAnsi="Times New Roman" w:cs="Times New Roman"/>
                <w:b/>
                <w:i/>
                <w:lang w:val="uk-UA"/>
              </w:rPr>
              <w:t xml:space="preserve"> схема: </w:t>
            </w:r>
            <w:r w:rsidR="004E4E66">
              <w:rPr>
                <w:rFonts w:ascii="Times New Roman" w:hAnsi="Times New Roman" w:cs="Times New Roman"/>
                <w:b/>
                <w:i/>
                <w:lang w:val="uk-UA"/>
              </w:rPr>
              <w:t>с</w:t>
            </w:r>
            <w:r w:rsidRPr="004E4E66">
              <w:rPr>
                <w:rFonts w:ascii="Times New Roman" w:hAnsi="Times New Roman" w:cs="Times New Roman"/>
                <w:b/>
                <w:i/>
                <w:lang w:val="uk-UA"/>
              </w:rPr>
              <w:t>офосбувір/велпатасвір</w:t>
            </w:r>
            <w:r w:rsidRPr="004E4E66">
              <w:rPr>
                <w:rFonts w:ascii="Times New Roman" w:hAnsi="Times New Roman" w:cs="Times New Roman"/>
                <w:lang w:val="uk-UA"/>
              </w:rPr>
              <w:t xml:space="preserve"> </w:t>
            </w:r>
          </w:p>
          <w:p w14:paraId="4BFD641B" w14:textId="77777777" w:rsidR="00F07F90" w:rsidRPr="00BA5C0A" w:rsidRDefault="00F07F90" w:rsidP="00BA5C0A">
            <w:pPr>
              <w:jc w:val="both"/>
              <w:rPr>
                <w:rFonts w:ascii="Times New Roman" w:hAnsi="Times New Roman" w:cs="Times New Roman"/>
                <w:lang w:val="uk-UA"/>
              </w:rPr>
            </w:pPr>
          </w:p>
          <w:p w14:paraId="22B22A2D" w14:textId="40D56F6C"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“Наївні” та пацієнти</w:t>
            </w:r>
            <w:r w:rsidR="00632C89">
              <w:rPr>
                <w:rFonts w:ascii="Times New Roman" w:hAnsi="Times New Roman" w:cs="Times New Roman"/>
                <w:lang w:val="uk-UA"/>
              </w:rPr>
              <w:t xml:space="preserve"> </w:t>
            </w:r>
            <w:r w:rsidR="00632C89">
              <w:rPr>
                <w:rFonts w:ascii="Times New Roman" w:hAnsi="Times New Roman" w:cs="Times New Roman"/>
                <w:color w:val="000000" w:themeColor="text1"/>
                <w:lang w:val="uk-UA"/>
              </w:rPr>
              <w:t>з досвідом лікування</w:t>
            </w:r>
            <w:r w:rsidRPr="00BA5C0A">
              <w:rPr>
                <w:rFonts w:ascii="Times New Roman" w:hAnsi="Times New Roman" w:cs="Times New Roman"/>
                <w:lang w:val="uk-UA"/>
              </w:rPr>
              <w:t xml:space="preserve">, інфіковані </w:t>
            </w:r>
            <w:r w:rsidR="00F07F90">
              <w:rPr>
                <w:rFonts w:ascii="Times New Roman" w:hAnsi="Times New Roman" w:cs="Times New Roman"/>
                <w:lang w:val="uk-UA"/>
              </w:rPr>
              <w:t xml:space="preserve">6 генотипом </w:t>
            </w:r>
            <w:r w:rsidRPr="00BA5C0A">
              <w:rPr>
                <w:rFonts w:ascii="Times New Roman" w:hAnsi="Times New Roman" w:cs="Times New Roman"/>
                <w:lang w:val="uk-UA"/>
              </w:rPr>
              <w:t>ВГС без цирозу або з компенсованим (Child</w:t>
            </w:r>
            <w:r w:rsidR="00FC6D8A">
              <w:rPr>
                <w:rFonts w:ascii="Times New Roman" w:hAnsi="Times New Roman" w:cs="Times New Roman"/>
                <w:lang w:val="uk-UA"/>
              </w:rPr>
              <w:t>–</w:t>
            </w:r>
            <w:r w:rsidRPr="00BA5C0A">
              <w:rPr>
                <w:rFonts w:ascii="Times New Roman" w:hAnsi="Times New Roman" w:cs="Times New Roman"/>
                <w:lang w:val="uk-UA"/>
              </w:rPr>
              <w:t>Pugh A) цирозом, повинні отримувати комбінацію із фіксованою дозою софосбувіру та велпатасвіру протягом 12 тижнів (B1)</w:t>
            </w:r>
          </w:p>
        </w:tc>
      </w:tr>
    </w:tbl>
    <w:p w14:paraId="74AA6BFF" w14:textId="77777777" w:rsidR="00BA5C0A" w:rsidRPr="00BA5C0A" w:rsidRDefault="00BA5C0A" w:rsidP="00BA5C0A">
      <w:pPr>
        <w:tabs>
          <w:tab w:val="left" w:pos="517"/>
        </w:tabs>
        <w:jc w:val="both"/>
        <w:rPr>
          <w:rFonts w:ascii="Times New Roman" w:hAnsi="Times New Roman" w:cs="Times New Roman"/>
          <w:lang w:val="uk-UA"/>
        </w:rPr>
      </w:pPr>
    </w:p>
    <w:p w14:paraId="48FE15EA" w14:textId="151F69B7" w:rsidR="00BA5C0A" w:rsidRPr="00BA5C0A" w:rsidRDefault="00BA5C0A" w:rsidP="00BA5C0A">
      <w:pPr>
        <w:tabs>
          <w:tab w:val="left" w:pos="517"/>
        </w:tabs>
        <w:jc w:val="both"/>
        <w:rPr>
          <w:rFonts w:ascii="Times New Roman" w:hAnsi="Times New Roman" w:cs="Times New Roman"/>
          <w:lang w:val="uk-UA"/>
        </w:rPr>
      </w:pPr>
      <w:r w:rsidRPr="00BA5C0A">
        <w:rPr>
          <w:rFonts w:ascii="Times New Roman" w:hAnsi="Times New Roman" w:cs="Times New Roman"/>
          <w:lang w:val="uk-UA"/>
        </w:rPr>
        <w:t xml:space="preserve">Коментарі: Ця рекомендація базується на результатах фази III дослідження </w:t>
      </w:r>
      <w:r w:rsidRPr="00BA5C0A">
        <w:rPr>
          <w:rFonts w:ascii="Times New Roman" w:hAnsi="Times New Roman" w:cs="Times New Roman"/>
          <w:lang w:val="en-US"/>
        </w:rPr>
        <w:t>ASTRAL</w:t>
      </w:r>
      <w:r w:rsidR="00FC6D8A">
        <w:rPr>
          <w:rFonts w:ascii="Times New Roman" w:hAnsi="Times New Roman" w:cs="Times New Roman"/>
          <w:lang w:val="uk-UA"/>
        </w:rPr>
        <w:t>–</w:t>
      </w:r>
      <w:r w:rsidRPr="00BA5C0A">
        <w:rPr>
          <w:rFonts w:ascii="Times New Roman" w:hAnsi="Times New Roman" w:cs="Times New Roman"/>
          <w:lang w:val="uk-UA"/>
        </w:rPr>
        <w:t xml:space="preserve">1 у пацієнтів із </w:t>
      </w:r>
      <w:r w:rsidR="00F07F90">
        <w:rPr>
          <w:rFonts w:ascii="Times New Roman" w:hAnsi="Times New Roman" w:cs="Times New Roman"/>
          <w:lang w:val="uk-UA"/>
        </w:rPr>
        <w:t xml:space="preserve">6 генотипом </w:t>
      </w:r>
      <w:r w:rsidRPr="00BA5C0A">
        <w:rPr>
          <w:rFonts w:ascii="Times New Roman" w:hAnsi="Times New Roman" w:cs="Times New Roman"/>
          <w:lang w:val="uk-UA"/>
        </w:rPr>
        <w:t xml:space="preserve">ВГС (15% з цирозом печінки, 93% “наївних” та 17% </w:t>
      </w:r>
      <w:r w:rsidR="00632C89">
        <w:rPr>
          <w:rFonts w:ascii="Times New Roman" w:hAnsi="Times New Roman" w:cs="Times New Roman"/>
          <w:lang w:val="uk-UA"/>
        </w:rPr>
        <w:t xml:space="preserve">пацієнтів </w:t>
      </w:r>
      <w:r w:rsidR="00632C89">
        <w:rPr>
          <w:rFonts w:ascii="Times New Roman" w:hAnsi="Times New Roman" w:cs="Times New Roman"/>
          <w:color w:val="000000" w:themeColor="text1"/>
          <w:lang w:val="uk-UA"/>
        </w:rPr>
        <w:t>з досвідом лікування</w:t>
      </w:r>
      <w:r w:rsidR="00F07F90">
        <w:rPr>
          <w:rFonts w:ascii="Times New Roman" w:hAnsi="Times New Roman" w:cs="Times New Roman"/>
          <w:lang w:val="uk-UA"/>
        </w:rPr>
        <w:t>)</w:t>
      </w:r>
      <w:r w:rsidRPr="00BA5C0A">
        <w:rPr>
          <w:rFonts w:ascii="Times New Roman" w:hAnsi="Times New Roman" w:cs="Times New Roman"/>
          <w:lang w:val="uk-UA"/>
        </w:rPr>
        <w:t xml:space="preserve"> які отримували комбінацію з фіксованою дозою софосбувіру і велпатасвіру протягом 12 тижнів без рибавірину, з яких </w:t>
      </w:r>
      <w:r w:rsidR="00F07F90">
        <w:rPr>
          <w:rFonts w:ascii="Times New Roman" w:hAnsi="Times New Roman" w:cs="Times New Roman"/>
          <w:lang w:val="uk-UA"/>
        </w:rPr>
        <w:t xml:space="preserve">у </w:t>
      </w:r>
      <w:r w:rsidRPr="00BA5C0A">
        <w:rPr>
          <w:rFonts w:ascii="Times New Roman" w:hAnsi="Times New Roman" w:cs="Times New Roman"/>
          <w:lang w:val="uk-UA"/>
        </w:rPr>
        <w:t>100% (41/41) досягну</w:t>
      </w:r>
      <w:r w:rsidR="00216285">
        <w:rPr>
          <w:rFonts w:ascii="Times New Roman" w:hAnsi="Times New Roman" w:cs="Times New Roman"/>
          <w:lang w:val="uk-UA"/>
        </w:rPr>
        <w:t>т</w:t>
      </w:r>
      <w:r w:rsidRPr="00BA5C0A">
        <w:rPr>
          <w:rFonts w:ascii="Times New Roman" w:hAnsi="Times New Roman" w:cs="Times New Roman"/>
          <w:lang w:val="uk-UA"/>
        </w:rPr>
        <w:t xml:space="preserve">о СВВ12 </w:t>
      </w:r>
      <w:r w:rsidRPr="00BA5C0A">
        <w:rPr>
          <w:rFonts w:ascii="Times New Roman" w:hAnsi="Times New Roman" w:cs="Times New Roman"/>
          <w:b/>
          <w:vertAlign w:val="superscript"/>
          <w:lang w:val="uk-UA"/>
        </w:rPr>
        <w:t>67</w:t>
      </w:r>
      <w:r w:rsidRPr="00BA5C0A">
        <w:rPr>
          <w:rFonts w:ascii="Times New Roman" w:hAnsi="Times New Roman" w:cs="Times New Roman"/>
          <w:lang w:val="uk-UA"/>
        </w:rPr>
        <w:t>. Ці результати були підтверджені в дослідженні ІІІ фази  серед пацієнтів, інфікованих генотипом 6 із Сінгапуру, Малайзії, Таїланду та В'єтнаму, які показали рівень СВВ 97 % (35/36; один рецидив)</w:t>
      </w:r>
      <w:r w:rsidRPr="00BA5C0A">
        <w:rPr>
          <w:rFonts w:ascii="Times New Roman" w:hAnsi="Times New Roman" w:cs="Times New Roman"/>
          <w:b/>
          <w:vertAlign w:val="superscript"/>
          <w:lang w:val="uk-UA"/>
        </w:rPr>
        <w:t>111</w:t>
      </w:r>
      <w:r w:rsidRPr="00BA5C0A">
        <w:rPr>
          <w:rFonts w:ascii="Times New Roman" w:hAnsi="Times New Roman" w:cs="Times New Roman"/>
          <w:lang w:val="uk-UA"/>
        </w:rPr>
        <w:t xml:space="preserve">. </w:t>
      </w:r>
    </w:p>
    <w:p w14:paraId="569B8AA6" w14:textId="77777777" w:rsidR="00BA5C0A" w:rsidRPr="00BA5C0A" w:rsidRDefault="00BA5C0A" w:rsidP="00BA5C0A">
      <w:pPr>
        <w:jc w:val="both"/>
        <w:rPr>
          <w:rFonts w:ascii="Times New Roman" w:hAnsi="Times New Roman" w:cs="Times New Roman"/>
          <w:lang w:val="uk-U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A5C0A" w:rsidRPr="0080595E" w14:paraId="66299A65" w14:textId="77777777" w:rsidTr="00544369">
        <w:trPr>
          <w:trHeight w:val="544"/>
        </w:trPr>
        <w:tc>
          <w:tcPr>
            <w:tcW w:w="9607" w:type="dxa"/>
            <w:shd w:val="clear" w:color="auto" w:fill="BDD6EE" w:themeFill="accent1" w:themeFillTint="66"/>
          </w:tcPr>
          <w:p w14:paraId="2822D793" w14:textId="57B9C5BB" w:rsidR="00BA5C0A" w:rsidRPr="004E4E66" w:rsidRDefault="00BA5C0A" w:rsidP="00BA5C0A">
            <w:pPr>
              <w:jc w:val="both"/>
              <w:rPr>
                <w:rFonts w:ascii="Times New Roman" w:hAnsi="Times New Roman" w:cs="Times New Roman"/>
                <w:b/>
                <w:i/>
                <w:lang w:val="uk-UA"/>
              </w:rPr>
            </w:pPr>
            <w:r w:rsidRPr="004E4E66">
              <w:rPr>
                <w:rFonts w:ascii="Times New Roman" w:hAnsi="Times New Roman" w:cs="Times New Roman"/>
                <w:b/>
                <w:i/>
                <w:lang w:val="uk-UA"/>
              </w:rPr>
              <w:t>Генотип 6, пангенотип</w:t>
            </w:r>
            <w:r w:rsidR="004E4E66" w:rsidRPr="004E4E66">
              <w:rPr>
                <w:rFonts w:ascii="Times New Roman" w:hAnsi="Times New Roman" w:cs="Times New Roman"/>
                <w:b/>
                <w:i/>
                <w:lang w:val="uk-UA"/>
              </w:rPr>
              <w:t>на</w:t>
            </w:r>
            <w:r w:rsidRPr="004E4E66">
              <w:rPr>
                <w:rFonts w:ascii="Times New Roman" w:hAnsi="Times New Roman" w:cs="Times New Roman"/>
                <w:b/>
                <w:i/>
                <w:lang w:val="uk-UA"/>
              </w:rPr>
              <w:t xml:space="preserve"> схема: </w:t>
            </w:r>
            <w:r w:rsidR="004E4E66" w:rsidRPr="004E4E66">
              <w:rPr>
                <w:rFonts w:ascii="Times New Roman" w:hAnsi="Times New Roman" w:cs="Times New Roman"/>
                <w:b/>
                <w:i/>
                <w:lang w:val="uk-UA"/>
              </w:rPr>
              <w:t>г</w:t>
            </w:r>
            <w:r w:rsidRPr="004E4E66">
              <w:rPr>
                <w:rFonts w:ascii="Times New Roman" w:hAnsi="Times New Roman" w:cs="Times New Roman"/>
                <w:b/>
                <w:i/>
                <w:lang w:val="uk-UA"/>
              </w:rPr>
              <w:t>лекапревір/</w:t>
            </w:r>
            <w:r w:rsidR="004E4E66" w:rsidRPr="004E4E66">
              <w:rPr>
                <w:rFonts w:ascii="Times New Roman" w:hAnsi="Times New Roman" w:cs="Times New Roman"/>
                <w:b/>
                <w:i/>
                <w:lang w:val="uk-UA"/>
              </w:rPr>
              <w:t>п</w:t>
            </w:r>
            <w:r w:rsidRPr="004E4E66">
              <w:rPr>
                <w:rFonts w:ascii="Times New Roman" w:hAnsi="Times New Roman" w:cs="Times New Roman"/>
                <w:b/>
                <w:i/>
                <w:lang w:val="uk-UA"/>
              </w:rPr>
              <w:t>ібрентасвір</w:t>
            </w:r>
          </w:p>
          <w:p w14:paraId="5BB4F100" w14:textId="77777777" w:rsidR="00BA5C0A" w:rsidRPr="00BA5C0A" w:rsidRDefault="00BA5C0A" w:rsidP="00BA5C0A">
            <w:pPr>
              <w:jc w:val="both"/>
              <w:rPr>
                <w:rFonts w:ascii="Times New Roman" w:hAnsi="Times New Roman" w:cs="Times New Roman"/>
                <w:lang w:val="uk-UA"/>
              </w:rPr>
            </w:pPr>
          </w:p>
          <w:p w14:paraId="478E7B98" w14:textId="53218687" w:rsidR="00BA5C0A" w:rsidRPr="00F07F90" w:rsidRDefault="00BA5C0A" w:rsidP="00015E3B">
            <w:pPr>
              <w:pStyle w:val="a9"/>
              <w:numPr>
                <w:ilvl w:val="0"/>
                <w:numId w:val="61"/>
              </w:numPr>
              <w:jc w:val="both"/>
              <w:rPr>
                <w:rFonts w:ascii="Times New Roman" w:hAnsi="Times New Roman" w:cs="Times New Roman"/>
                <w:lang w:val="uk-UA"/>
              </w:rPr>
            </w:pPr>
            <w:r w:rsidRPr="00F07F90">
              <w:rPr>
                <w:rFonts w:ascii="Times New Roman" w:hAnsi="Times New Roman" w:cs="Times New Roman"/>
                <w:lang w:val="uk-UA"/>
              </w:rPr>
              <w:t>“Наївні” та пацієнти</w:t>
            </w:r>
            <w:r w:rsidR="00632C89">
              <w:rPr>
                <w:rFonts w:ascii="Times New Roman" w:hAnsi="Times New Roman" w:cs="Times New Roman"/>
                <w:lang w:val="uk-UA"/>
              </w:rPr>
              <w:t xml:space="preserve"> </w:t>
            </w:r>
            <w:r w:rsidR="00632C89">
              <w:rPr>
                <w:rFonts w:ascii="Times New Roman" w:hAnsi="Times New Roman" w:cs="Times New Roman"/>
                <w:color w:val="000000" w:themeColor="text1"/>
                <w:lang w:val="uk-UA"/>
              </w:rPr>
              <w:t>з досвідом лікування</w:t>
            </w:r>
            <w:r w:rsidRPr="00F07F90">
              <w:rPr>
                <w:rFonts w:ascii="Times New Roman" w:hAnsi="Times New Roman" w:cs="Times New Roman"/>
                <w:lang w:val="uk-UA"/>
              </w:rPr>
              <w:t xml:space="preserve">, інфіковані </w:t>
            </w:r>
            <w:r w:rsidR="00F07F90" w:rsidRPr="00F07F90">
              <w:rPr>
                <w:rFonts w:ascii="Times New Roman" w:hAnsi="Times New Roman" w:cs="Times New Roman"/>
                <w:lang w:val="uk-UA"/>
              </w:rPr>
              <w:t xml:space="preserve">6 генотипом </w:t>
            </w:r>
            <w:r w:rsidRPr="00F07F90">
              <w:rPr>
                <w:rFonts w:ascii="Times New Roman" w:hAnsi="Times New Roman" w:cs="Times New Roman"/>
                <w:lang w:val="uk-UA"/>
              </w:rPr>
              <w:t>ВГС без цирозу, повинні отримувати комбінацію із фіксованою дозою глекапревір/пібрентасвір протягом 8 тижнів (B1).</w:t>
            </w:r>
          </w:p>
          <w:p w14:paraId="402853F4" w14:textId="7FB25433" w:rsidR="00BA5C0A" w:rsidRPr="00BA5C0A" w:rsidRDefault="00BA5C0A" w:rsidP="00015E3B">
            <w:pPr>
              <w:numPr>
                <w:ilvl w:val="0"/>
                <w:numId w:val="33"/>
              </w:numPr>
              <w:contextualSpacing/>
              <w:jc w:val="both"/>
              <w:rPr>
                <w:rFonts w:ascii="Times New Roman" w:hAnsi="Times New Roman" w:cs="Times New Roman"/>
                <w:lang w:val="uk-UA"/>
              </w:rPr>
            </w:pPr>
            <w:r w:rsidRPr="00BA5C0A">
              <w:rPr>
                <w:rFonts w:ascii="Times New Roman" w:hAnsi="Times New Roman" w:cs="Times New Roman"/>
                <w:lang w:val="uk-UA"/>
              </w:rPr>
              <w:t>“Наївні” та пацієнти</w:t>
            </w:r>
            <w:r w:rsidR="00632C89">
              <w:rPr>
                <w:rFonts w:ascii="Times New Roman" w:hAnsi="Times New Roman" w:cs="Times New Roman"/>
                <w:lang w:val="uk-UA"/>
              </w:rPr>
              <w:t xml:space="preserve"> </w:t>
            </w:r>
            <w:r w:rsidR="00632C89">
              <w:rPr>
                <w:rFonts w:ascii="Times New Roman" w:hAnsi="Times New Roman" w:cs="Times New Roman"/>
                <w:color w:val="000000" w:themeColor="text1"/>
                <w:lang w:val="uk-UA"/>
              </w:rPr>
              <w:t>з досвідом лікування</w:t>
            </w:r>
            <w:r w:rsidRPr="00BA5C0A">
              <w:rPr>
                <w:rFonts w:ascii="Times New Roman" w:hAnsi="Times New Roman" w:cs="Times New Roman"/>
                <w:lang w:val="uk-UA"/>
              </w:rPr>
              <w:t xml:space="preserve">, інфіковані </w:t>
            </w:r>
            <w:r w:rsidR="00F07F90">
              <w:rPr>
                <w:rFonts w:ascii="Times New Roman" w:hAnsi="Times New Roman" w:cs="Times New Roman"/>
                <w:lang w:val="uk-UA"/>
              </w:rPr>
              <w:t xml:space="preserve">6 генотипом </w:t>
            </w:r>
            <w:r w:rsidRPr="00BA5C0A">
              <w:rPr>
                <w:rFonts w:ascii="Times New Roman" w:hAnsi="Times New Roman" w:cs="Times New Roman"/>
                <w:lang w:val="uk-UA"/>
              </w:rPr>
              <w:t>ВГС з компенсованим цирозом (Child</w:t>
            </w:r>
            <w:r w:rsidR="00FC6D8A">
              <w:rPr>
                <w:rFonts w:ascii="Times New Roman" w:hAnsi="Times New Roman" w:cs="Times New Roman"/>
                <w:lang w:val="uk-UA"/>
              </w:rPr>
              <w:t>–</w:t>
            </w:r>
            <w:r w:rsidRPr="00BA5C0A">
              <w:rPr>
                <w:rFonts w:ascii="Times New Roman" w:hAnsi="Times New Roman" w:cs="Times New Roman"/>
                <w:lang w:val="uk-UA"/>
              </w:rPr>
              <w:t>Pugh A), повинні отримувати комбінацію із фіксованою дозою глекапревіру та пібрентасвіру протягом 12 тижнів (B1)</w:t>
            </w:r>
          </w:p>
        </w:tc>
      </w:tr>
    </w:tbl>
    <w:p w14:paraId="6514FDF7" w14:textId="77777777" w:rsidR="00BA5C0A" w:rsidRPr="00BA5C0A" w:rsidRDefault="00BA5C0A" w:rsidP="00BA5C0A">
      <w:pPr>
        <w:jc w:val="both"/>
        <w:rPr>
          <w:rFonts w:ascii="Times New Roman" w:hAnsi="Times New Roman" w:cs="Times New Roman"/>
          <w:lang w:val="uk-UA"/>
        </w:rPr>
      </w:pPr>
    </w:p>
    <w:p w14:paraId="715FCE6F" w14:textId="5513DBF5"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Коментарі: Ця рекомендація частково грунтується на результатах II фази дослідження SURVEYOR</w:t>
      </w:r>
      <w:r w:rsidR="00FC6D8A">
        <w:rPr>
          <w:rFonts w:ascii="Times New Roman" w:hAnsi="Times New Roman" w:cs="Times New Roman"/>
          <w:lang w:val="uk-UA"/>
        </w:rPr>
        <w:t>–</w:t>
      </w:r>
      <w:r w:rsidRPr="00BA5C0A">
        <w:rPr>
          <w:rFonts w:ascii="Times New Roman" w:hAnsi="Times New Roman" w:cs="Times New Roman"/>
          <w:lang w:val="uk-UA"/>
        </w:rPr>
        <w:t xml:space="preserve">2, що показав частоту СВВ12 </w:t>
      </w:r>
      <w:r w:rsidR="00F07F90">
        <w:rPr>
          <w:rFonts w:ascii="Times New Roman" w:hAnsi="Times New Roman" w:cs="Times New Roman"/>
          <w:lang w:val="uk-UA"/>
        </w:rPr>
        <w:t xml:space="preserve">у </w:t>
      </w:r>
      <w:r w:rsidRPr="00BA5C0A">
        <w:rPr>
          <w:rFonts w:ascii="Times New Roman" w:hAnsi="Times New Roman" w:cs="Times New Roman"/>
          <w:lang w:val="uk-UA"/>
        </w:rPr>
        <w:t>90% (9/10, без вірусологічних невдач) серед “наївних” та пацієнтів</w:t>
      </w:r>
      <w:r w:rsidR="00632C89">
        <w:rPr>
          <w:rFonts w:ascii="Times New Roman" w:hAnsi="Times New Roman" w:cs="Times New Roman"/>
          <w:lang w:val="uk-UA"/>
        </w:rPr>
        <w:t xml:space="preserve"> </w:t>
      </w:r>
      <w:r w:rsidR="00632C89">
        <w:rPr>
          <w:rFonts w:ascii="Times New Roman" w:hAnsi="Times New Roman" w:cs="Times New Roman"/>
          <w:color w:val="000000" w:themeColor="text1"/>
          <w:lang w:val="uk-UA"/>
        </w:rPr>
        <w:t>з досвідом лікування</w:t>
      </w:r>
      <w:r w:rsidR="00F07F90">
        <w:rPr>
          <w:rFonts w:ascii="Times New Roman" w:hAnsi="Times New Roman" w:cs="Times New Roman"/>
          <w:lang w:val="uk-UA"/>
        </w:rPr>
        <w:t xml:space="preserve"> </w:t>
      </w:r>
      <w:r w:rsidRPr="00BA5C0A">
        <w:rPr>
          <w:rFonts w:ascii="Times New Roman" w:hAnsi="Times New Roman" w:cs="Times New Roman"/>
          <w:lang w:val="uk-UA"/>
        </w:rPr>
        <w:t>без цирозу, які отримували фіксовану дозу глекапревіру та пібрентасвіру протягом 8 тижнів.</w:t>
      </w:r>
      <w:r w:rsidRPr="00BA5C0A">
        <w:rPr>
          <w:rFonts w:ascii="Times New Roman" w:hAnsi="Times New Roman" w:cs="Times New Roman"/>
          <w:vertAlign w:val="superscript"/>
          <w:lang w:val="uk-UA"/>
        </w:rPr>
        <w:t xml:space="preserve"> 99</w:t>
      </w:r>
      <w:r w:rsidRPr="00BA5C0A">
        <w:rPr>
          <w:rFonts w:ascii="Times New Roman" w:hAnsi="Times New Roman" w:cs="Times New Roman"/>
          <w:lang w:val="uk-UA"/>
        </w:rPr>
        <w:t xml:space="preserve"> У ENDURANCE</w:t>
      </w:r>
      <w:r w:rsidR="00FC6D8A">
        <w:rPr>
          <w:rFonts w:ascii="Times New Roman" w:hAnsi="Times New Roman" w:cs="Times New Roman"/>
          <w:lang w:val="uk-UA"/>
        </w:rPr>
        <w:t>–</w:t>
      </w:r>
      <w:r w:rsidRPr="00BA5C0A">
        <w:rPr>
          <w:rFonts w:ascii="Times New Roman" w:hAnsi="Times New Roman" w:cs="Times New Roman"/>
          <w:lang w:val="uk-UA"/>
        </w:rPr>
        <w:t xml:space="preserve">4 пацієнти із генотипом 6 без цирозу, </w:t>
      </w:r>
      <w:r w:rsidR="00557239">
        <w:rPr>
          <w:rFonts w:ascii="Times New Roman" w:hAnsi="Times New Roman" w:cs="Times New Roman"/>
          <w:lang w:val="uk-UA"/>
        </w:rPr>
        <w:t>які</w:t>
      </w:r>
      <w:r w:rsidRPr="00BA5C0A">
        <w:rPr>
          <w:rFonts w:ascii="Times New Roman" w:hAnsi="Times New Roman" w:cs="Times New Roman"/>
          <w:lang w:val="uk-UA"/>
        </w:rPr>
        <w:t>отримували лікування протягом 12 тижнів, досягли СВВ у 100% (19/19) випадків,</w:t>
      </w:r>
      <w:r w:rsidRPr="00BA5C0A">
        <w:rPr>
          <w:rFonts w:ascii="Times New Roman" w:hAnsi="Times New Roman" w:cs="Times New Roman"/>
          <w:vertAlign w:val="superscript"/>
          <w:lang w:val="uk-UA"/>
        </w:rPr>
        <w:t xml:space="preserve"> 106</w:t>
      </w:r>
      <w:r w:rsidRPr="00BA5C0A">
        <w:rPr>
          <w:rFonts w:ascii="Times New Roman" w:hAnsi="Times New Roman" w:cs="Times New Roman"/>
          <w:lang w:val="uk-UA"/>
        </w:rPr>
        <w:t xml:space="preserve"> у EXPEDITION</w:t>
      </w:r>
      <w:r w:rsidR="00557239">
        <w:rPr>
          <w:rFonts w:ascii="Times New Roman" w:hAnsi="Times New Roman" w:cs="Times New Roman"/>
          <w:lang w:val="uk-UA"/>
        </w:rPr>
        <w:t>)</w:t>
      </w:r>
      <w:r w:rsidRPr="00BA5C0A">
        <w:rPr>
          <w:rFonts w:ascii="Times New Roman" w:hAnsi="Times New Roman" w:cs="Times New Roman"/>
          <w:lang w:val="uk-UA"/>
        </w:rPr>
        <w:t>, 100% (7/7) пацієнтів, інфікованих генотипом 6 з цирозом печінки, досягли СВВ12.</w:t>
      </w:r>
      <w:r w:rsidRPr="00BA5C0A">
        <w:rPr>
          <w:rFonts w:ascii="Times New Roman" w:hAnsi="Times New Roman" w:cs="Times New Roman"/>
          <w:vertAlign w:val="superscript"/>
          <w:lang w:val="uk-UA"/>
        </w:rPr>
        <w:t>73</w:t>
      </w:r>
    </w:p>
    <w:p w14:paraId="037F7323" w14:textId="2AD825B6"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У дослідженні EXPEDITION 2 показник СВВ12 становив </w:t>
      </w:r>
      <w:r w:rsidRPr="00557239">
        <w:rPr>
          <w:rFonts w:ascii="Times New Roman" w:hAnsi="Times New Roman" w:cs="Times New Roman"/>
          <w:lang w:val="uk-UA"/>
        </w:rPr>
        <w:t>3</w:t>
      </w:r>
      <w:r w:rsidR="00557239" w:rsidRPr="00557239">
        <w:rPr>
          <w:rFonts w:ascii="Times New Roman" w:hAnsi="Times New Roman" w:cs="Times New Roman"/>
          <w:lang w:val="uk-UA"/>
        </w:rPr>
        <w:t xml:space="preserve"> пацієнти із 3 </w:t>
      </w:r>
      <w:r w:rsidRPr="00BA5C0A">
        <w:rPr>
          <w:rFonts w:ascii="Times New Roman" w:hAnsi="Times New Roman" w:cs="Times New Roman"/>
          <w:lang w:val="uk-UA"/>
        </w:rPr>
        <w:t xml:space="preserve">після 8 тижнів </w:t>
      </w:r>
      <w:r w:rsidR="00F07F90">
        <w:rPr>
          <w:rFonts w:ascii="Times New Roman" w:hAnsi="Times New Roman" w:cs="Times New Roman"/>
          <w:lang w:val="uk-UA"/>
        </w:rPr>
        <w:t xml:space="preserve">використання </w:t>
      </w:r>
      <w:r w:rsidRPr="00BA5C0A">
        <w:rPr>
          <w:rFonts w:ascii="Times New Roman" w:hAnsi="Times New Roman" w:cs="Times New Roman"/>
          <w:lang w:val="uk-UA"/>
        </w:rPr>
        <w:t>глекапревіру та пібрентасвіру у пацієнтів з коінфекцією ВІЛ</w:t>
      </w:r>
      <w:r w:rsidR="00525692">
        <w:rPr>
          <w:rFonts w:ascii="Times New Roman" w:hAnsi="Times New Roman" w:cs="Times New Roman"/>
          <w:lang w:val="uk-UA"/>
        </w:rPr>
        <w:t>/ВГС</w:t>
      </w:r>
      <w:r w:rsidRPr="00BA5C0A">
        <w:rPr>
          <w:rFonts w:ascii="Times New Roman" w:hAnsi="Times New Roman" w:cs="Times New Roman"/>
          <w:lang w:val="uk-UA"/>
        </w:rPr>
        <w:t xml:space="preserve"> без цирозу.</w:t>
      </w:r>
      <w:r w:rsidRPr="00BA5C0A">
        <w:rPr>
          <w:rFonts w:ascii="Times New Roman" w:hAnsi="Times New Roman" w:cs="Times New Roman"/>
          <w:b/>
          <w:vertAlign w:val="superscript"/>
          <w:lang w:val="uk-UA"/>
        </w:rPr>
        <w:t>101</w:t>
      </w:r>
    </w:p>
    <w:p w14:paraId="4B70AE1A" w14:textId="77777777" w:rsidR="00BA5C0A" w:rsidRPr="00BA5C0A" w:rsidRDefault="00BA5C0A" w:rsidP="00BA5C0A">
      <w:pPr>
        <w:jc w:val="both"/>
        <w:rPr>
          <w:rFonts w:ascii="Times New Roman" w:hAnsi="Times New Roman" w:cs="Times New Roman"/>
          <w:lang w:val="uk-U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A5C0A" w:rsidRPr="0080595E" w14:paraId="1381B418" w14:textId="77777777" w:rsidTr="00544369">
        <w:trPr>
          <w:trHeight w:val="544"/>
        </w:trPr>
        <w:tc>
          <w:tcPr>
            <w:tcW w:w="9607" w:type="dxa"/>
            <w:shd w:val="clear" w:color="auto" w:fill="BDD6EE" w:themeFill="accent1" w:themeFillTint="66"/>
          </w:tcPr>
          <w:p w14:paraId="3CD3F19D" w14:textId="2651CC9B" w:rsidR="00BA5C0A" w:rsidRPr="004E4E66" w:rsidRDefault="00BA5C0A" w:rsidP="00BA5C0A">
            <w:pPr>
              <w:jc w:val="both"/>
              <w:rPr>
                <w:rFonts w:ascii="Times New Roman" w:hAnsi="Times New Roman" w:cs="Times New Roman"/>
                <w:b/>
                <w:i/>
                <w:lang w:val="uk-UA"/>
              </w:rPr>
            </w:pPr>
            <w:r w:rsidRPr="004E4E66">
              <w:rPr>
                <w:rFonts w:ascii="Times New Roman" w:hAnsi="Times New Roman" w:cs="Times New Roman"/>
                <w:b/>
                <w:i/>
                <w:lang w:val="uk-UA"/>
              </w:rPr>
              <w:t>Генотип 6, специфічн</w:t>
            </w:r>
            <w:r w:rsidR="004E4E66">
              <w:rPr>
                <w:rFonts w:ascii="Times New Roman" w:hAnsi="Times New Roman" w:cs="Times New Roman"/>
                <w:b/>
                <w:i/>
                <w:lang w:val="uk-UA"/>
              </w:rPr>
              <w:t>а для генотипу схема</w:t>
            </w:r>
            <w:r w:rsidRPr="004E4E66">
              <w:rPr>
                <w:rFonts w:ascii="Times New Roman" w:hAnsi="Times New Roman" w:cs="Times New Roman"/>
                <w:b/>
                <w:i/>
                <w:lang w:val="uk-UA"/>
              </w:rPr>
              <w:t xml:space="preserve">: </w:t>
            </w:r>
            <w:r w:rsidR="004E4E66">
              <w:rPr>
                <w:rFonts w:ascii="Times New Roman" w:hAnsi="Times New Roman" w:cs="Times New Roman"/>
                <w:b/>
                <w:i/>
                <w:lang w:val="uk-UA"/>
              </w:rPr>
              <w:t>с</w:t>
            </w:r>
            <w:r w:rsidRPr="004E4E66">
              <w:rPr>
                <w:rFonts w:ascii="Times New Roman" w:hAnsi="Times New Roman" w:cs="Times New Roman"/>
                <w:b/>
                <w:i/>
                <w:lang w:val="uk-UA"/>
              </w:rPr>
              <w:t>офосбувір/ледіпасвір</w:t>
            </w:r>
          </w:p>
          <w:p w14:paraId="6001D3A7" w14:textId="77777777" w:rsidR="00F07F90" w:rsidRPr="00BA5C0A" w:rsidRDefault="00F07F90" w:rsidP="00BA5C0A">
            <w:pPr>
              <w:jc w:val="both"/>
              <w:rPr>
                <w:rFonts w:ascii="Times New Roman" w:hAnsi="Times New Roman" w:cs="Times New Roman"/>
                <w:b/>
                <w:i/>
                <w:color w:val="4472C4" w:themeColor="accent5"/>
                <w:lang w:val="uk-UA"/>
              </w:rPr>
            </w:pPr>
          </w:p>
          <w:p w14:paraId="29E8E988" w14:textId="7CDA4B21" w:rsidR="00BA5C0A" w:rsidRPr="00BA5C0A" w:rsidRDefault="00BA5C0A" w:rsidP="00015E3B">
            <w:pPr>
              <w:numPr>
                <w:ilvl w:val="0"/>
                <w:numId w:val="34"/>
              </w:numPr>
              <w:contextualSpacing/>
              <w:jc w:val="both"/>
              <w:rPr>
                <w:rFonts w:ascii="Times New Roman" w:hAnsi="Times New Roman" w:cs="Times New Roman"/>
                <w:lang w:val="uk-UA"/>
              </w:rPr>
            </w:pPr>
            <w:r w:rsidRPr="00BA5C0A">
              <w:rPr>
                <w:rFonts w:ascii="Times New Roman" w:hAnsi="Times New Roman" w:cs="Times New Roman"/>
                <w:lang w:val="uk-UA"/>
              </w:rPr>
              <w:t xml:space="preserve">“Наївні” хворі, інфіковані </w:t>
            </w:r>
            <w:r w:rsidR="006D523C">
              <w:rPr>
                <w:rFonts w:ascii="Times New Roman" w:hAnsi="Times New Roman" w:cs="Times New Roman"/>
                <w:lang w:val="uk-UA"/>
              </w:rPr>
              <w:t xml:space="preserve">6 генотипом </w:t>
            </w:r>
            <w:r w:rsidRPr="00BA5C0A">
              <w:rPr>
                <w:rFonts w:ascii="Times New Roman" w:hAnsi="Times New Roman" w:cs="Times New Roman"/>
                <w:lang w:val="uk-UA"/>
              </w:rPr>
              <w:t>ВГС, без цирозу або з компенсованим (Child</w:t>
            </w:r>
            <w:r w:rsidR="00FC6D8A">
              <w:rPr>
                <w:rFonts w:ascii="Times New Roman" w:hAnsi="Times New Roman" w:cs="Times New Roman"/>
                <w:lang w:val="uk-UA"/>
              </w:rPr>
              <w:t>–</w:t>
            </w:r>
            <w:r w:rsidRPr="00BA5C0A">
              <w:rPr>
                <w:rFonts w:ascii="Times New Roman" w:hAnsi="Times New Roman" w:cs="Times New Roman"/>
                <w:lang w:val="uk-UA"/>
              </w:rPr>
              <w:t>Pugh A) цирозом, повинні отримувати комбінацію із фіксованою дозою софосбувіру і ледіпасвіру протягом 12 тижнів (В1).</w:t>
            </w:r>
          </w:p>
          <w:p w14:paraId="6753C38C" w14:textId="62758A09" w:rsidR="00BA5C0A" w:rsidRPr="00BA5C0A" w:rsidRDefault="00BA5C0A" w:rsidP="00015E3B">
            <w:pPr>
              <w:numPr>
                <w:ilvl w:val="0"/>
                <w:numId w:val="34"/>
              </w:numPr>
              <w:contextualSpacing/>
              <w:jc w:val="both"/>
              <w:rPr>
                <w:rFonts w:ascii="Times New Roman" w:hAnsi="Times New Roman" w:cs="Times New Roman"/>
                <w:lang w:val="uk-UA"/>
              </w:rPr>
            </w:pPr>
            <w:r w:rsidRPr="00BA5C0A">
              <w:rPr>
                <w:rFonts w:ascii="Times New Roman" w:hAnsi="Times New Roman" w:cs="Times New Roman"/>
                <w:lang w:val="uk-UA"/>
              </w:rPr>
              <w:t xml:space="preserve">Комбінація софосбувіру та ледіпасвіру не рекомендована пацієнтам із досвідом лікування, інфікованих </w:t>
            </w:r>
            <w:r w:rsidR="00802D31">
              <w:rPr>
                <w:rFonts w:ascii="Times New Roman" w:hAnsi="Times New Roman" w:cs="Times New Roman"/>
                <w:lang w:val="uk-UA"/>
              </w:rPr>
              <w:t xml:space="preserve">6 генотипом </w:t>
            </w:r>
            <w:r w:rsidRPr="00BA5C0A">
              <w:rPr>
                <w:rFonts w:ascii="Times New Roman" w:hAnsi="Times New Roman" w:cs="Times New Roman"/>
                <w:lang w:val="uk-UA"/>
              </w:rPr>
              <w:t>ВГС (В1).</w:t>
            </w:r>
          </w:p>
        </w:tc>
      </w:tr>
    </w:tbl>
    <w:p w14:paraId="71E6B536" w14:textId="77777777" w:rsidR="00BA5C0A" w:rsidRPr="00BA5C0A" w:rsidRDefault="00BA5C0A" w:rsidP="00BA5C0A">
      <w:pPr>
        <w:tabs>
          <w:tab w:val="left" w:pos="1846"/>
        </w:tabs>
        <w:jc w:val="both"/>
        <w:rPr>
          <w:rFonts w:ascii="Times New Roman" w:hAnsi="Times New Roman" w:cs="Times New Roman"/>
          <w:lang w:val="uk-UA"/>
        </w:rPr>
      </w:pPr>
    </w:p>
    <w:p w14:paraId="3AC2D72C" w14:textId="5CA124E0" w:rsidR="00BA5C0A" w:rsidRPr="00BA5C0A" w:rsidRDefault="00BA5C0A" w:rsidP="00BA5C0A">
      <w:pPr>
        <w:tabs>
          <w:tab w:val="left" w:pos="1846"/>
        </w:tabs>
        <w:jc w:val="both"/>
        <w:rPr>
          <w:rFonts w:ascii="Times New Roman" w:hAnsi="Times New Roman" w:cs="Times New Roman"/>
          <w:vertAlign w:val="superscript"/>
          <w:lang w:val="uk-UA"/>
        </w:rPr>
      </w:pPr>
      <w:r w:rsidRPr="00BA5C0A">
        <w:rPr>
          <w:rFonts w:ascii="Times New Roman" w:hAnsi="Times New Roman" w:cs="Times New Roman"/>
          <w:lang w:val="uk-UA"/>
        </w:rPr>
        <w:t xml:space="preserve">Коментарі: Комбінація софосбувіру та ледіпасвіру, яка приймається протягом 12 тижнів без застосування рибавірину, у “наївних” пацієнтів та пацієнтів з досвідом лікування, інфікованих </w:t>
      </w:r>
      <w:r w:rsidR="00802D31">
        <w:rPr>
          <w:rFonts w:ascii="Times New Roman" w:hAnsi="Times New Roman" w:cs="Times New Roman"/>
          <w:lang w:val="uk-UA"/>
        </w:rPr>
        <w:t xml:space="preserve">6 генотипом </w:t>
      </w:r>
      <w:r w:rsidRPr="00BA5C0A">
        <w:rPr>
          <w:rFonts w:ascii="Times New Roman" w:hAnsi="Times New Roman" w:cs="Times New Roman"/>
          <w:lang w:val="uk-UA"/>
        </w:rPr>
        <w:t>ВГС, показала частоту СВВ у 96% (24/25) випадків.</w:t>
      </w:r>
      <w:r w:rsidRPr="00BA5C0A">
        <w:rPr>
          <w:rFonts w:ascii="Times New Roman" w:hAnsi="Times New Roman" w:cs="Times New Roman"/>
          <w:vertAlign w:val="superscript"/>
          <w:lang w:val="uk-UA"/>
        </w:rPr>
        <w:t>112</w:t>
      </w:r>
    </w:p>
    <w:p w14:paraId="53245534" w14:textId="13FE5939" w:rsidR="00BA5C0A" w:rsidRDefault="00BA5C0A" w:rsidP="00BA5C0A">
      <w:pPr>
        <w:tabs>
          <w:tab w:val="left" w:pos="1846"/>
        </w:tabs>
        <w:jc w:val="both"/>
        <w:rPr>
          <w:rFonts w:ascii="Times New Roman" w:hAnsi="Times New Roman" w:cs="Times New Roman"/>
          <w:vertAlign w:val="superscript"/>
          <w:lang w:val="uk-UA"/>
        </w:rPr>
      </w:pPr>
    </w:p>
    <w:p w14:paraId="1FB1AD2F" w14:textId="7E4DB6DE" w:rsidR="00770318" w:rsidRDefault="00770318" w:rsidP="00BA5C0A">
      <w:pPr>
        <w:tabs>
          <w:tab w:val="left" w:pos="1846"/>
        </w:tabs>
        <w:jc w:val="both"/>
        <w:rPr>
          <w:rFonts w:ascii="Times New Roman" w:hAnsi="Times New Roman" w:cs="Times New Roman"/>
          <w:vertAlign w:val="superscript"/>
          <w:lang w:val="uk-UA"/>
        </w:rPr>
      </w:pPr>
    </w:p>
    <w:p w14:paraId="066D57D7" w14:textId="2BCF89E1" w:rsidR="00770318" w:rsidRDefault="00770318" w:rsidP="00BA5C0A">
      <w:pPr>
        <w:tabs>
          <w:tab w:val="left" w:pos="1846"/>
        </w:tabs>
        <w:jc w:val="both"/>
        <w:rPr>
          <w:rFonts w:ascii="Times New Roman" w:hAnsi="Times New Roman" w:cs="Times New Roman"/>
          <w:vertAlign w:val="superscript"/>
          <w:lang w:val="uk-UA"/>
        </w:rPr>
      </w:pPr>
    </w:p>
    <w:p w14:paraId="53E94E1C" w14:textId="77777777" w:rsidR="00770318" w:rsidRPr="00BA5C0A" w:rsidRDefault="00770318" w:rsidP="00BA5C0A">
      <w:pPr>
        <w:tabs>
          <w:tab w:val="left" w:pos="1846"/>
        </w:tabs>
        <w:jc w:val="both"/>
        <w:rPr>
          <w:rFonts w:ascii="Times New Roman" w:hAnsi="Times New Roman" w:cs="Times New Roman"/>
          <w:vertAlign w:val="superscript"/>
          <w:lang w:val="uk-UA"/>
        </w:rPr>
      </w:pPr>
    </w:p>
    <w:p w14:paraId="072E49C6" w14:textId="3DD09300" w:rsidR="00BA5C0A" w:rsidRDefault="00BA5C0A" w:rsidP="00B01259">
      <w:pPr>
        <w:tabs>
          <w:tab w:val="left" w:pos="1846"/>
        </w:tabs>
        <w:jc w:val="both"/>
        <w:rPr>
          <w:rFonts w:ascii="Times New Roman" w:hAnsi="Times New Roman" w:cs="Times New Roman"/>
          <w:b/>
          <w:color w:val="4472C4" w:themeColor="accent5"/>
          <w:sz w:val="32"/>
          <w:szCs w:val="32"/>
          <w:lang w:val="uk-UA"/>
        </w:rPr>
      </w:pPr>
      <w:r w:rsidRPr="00B01259">
        <w:rPr>
          <w:rFonts w:ascii="Times New Roman" w:hAnsi="Times New Roman" w:cs="Times New Roman"/>
          <w:b/>
          <w:color w:val="4472C4" w:themeColor="accent5"/>
          <w:sz w:val="32"/>
          <w:szCs w:val="32"/>
          <w:lang w:val="uk-UA"/>
        </w:rPr>
        <w:lastRenderedPageBreak/>
        <w:t>Спрощене лікування хронічного гепатиту С пангенотипними схемами лікування у пацієнтів без цирозу та у пацієнтів із компенсованим цирозом (клас A за Child</w:t>
      </w:r>
      <w:r w:rsidR="00FC6D8A">
        <w:rPr>
          <w:rFonts w:ascii="Times New Roman" w:hAnsi="Times New Roman" w:cs="Times New Roman"/>
          <w:b/>
          <w:color w:val="4472C4" w:themeColor="accent5"/>
          <w:sz w:val="32"/>
          <w:szCs w:val="32"/>
          <w:lang w:val="uk-UA"/>
        </w:rPr>
        <w:t>–</w:t>
      </w:r>
      <w:r w:rsidRPr="00B01259">
        <w:rPr>
          <w:rFonts w:ascii="Times New Roman" w:hAnsi="Times New Roman" w:cs="Times New Roman"/>
          <w:b/>
          <w:color w:val="4472C4" w:themeColor="accent5"/>
          <w:sz w:val="32"/>
          <w:szCs w:val="32"/>
          <w:lang w:val="uk-UA"/>
        </w:rPr>
        <w:t xml:space="preserve">Pugh) </w:t>
      </w:r>
    </w:p>
    <w:p w14:paraId="26554C63" w14:textId="77777777" w:rsidR="00B01259" w:rsidRPr="00B01259" w:rsidRDefault="00B01259" w:rsidP="00B01259">
      <w:pPr>
        <w:tabs>
          <w:tab w:val="left" w:pos="1846"/>
        </w:tabs>
        <w:jc w:val="both"/>
        <w:rPr>
          <w:rFonts w:ascii="Times New Roman" w:hAnsi="Times New Roman" w:cs="Times New Roman"/>
          <w:b/>
          <w:color w:val="4472C4" w:themeColor="accent5"/>
          <w:sz w:val="32"/>
          <w:szCs w:val="32"/>
          <w:lang w:val="uk-UA"/>
        </w:rPr>
      </w:pPr>
    </w:p>
    <w:p w14:paraId="15D0E2AF" w14:textId="5CD1046F" w:rsidR="00BA5C0A" w:rsidRPr="00BA5C0A" w:rsidRDefault="00BA5C0A" w:rsidP="00BE2467">
      <w:pPr>
        <w:tabs>
          <w:tab w:val="left" w:pos="1846"/>
        </w:tabs>
        <w:jc w:val="both"/>
        <w:rPr>
          <w:rFonts w:ascii="Times New Roman" w:hAnsi="Times New Roman" w:cs="Times New Roman"/>
          <w:lang w:val="uk-UA"/>
        </w:rPr>
      </w:pPr>
      <w:r w:rsidRPr="00BA5C0A">
        <w:rPr>
          <w:rFonts w:ascii="Times New Roman" w:hAnsi="Times New Roman" w:cs="Times New Roman"/>
          <w:lang w:val="uk-UA"/>
        </w:rPr>
        <w:t xml:space="preserve">Зі схваленням високоефективних, безпечних </w:t>
      </w:r>
      <w:r w:rsidR="00380CD5">
        <w:rPr>
          <w:rFonts w:ascii="Times New Roman" w:hAnsi="Times New Roman" w:cs="Times New Roman"/>
          <w:lang w:val="uk-UA"/>
        </w:rPr>
        <w:t xml:space="preserve">схем, які добре переносяться, </w:t>
      </w:r>
      <w:r w:rsidRPr="00BA5C0A">
        <w:rPr>
          <w:rFonts w:ascii="Times New Roman" w:hAnsi="Times New Roman" w:cs="Times New Roman"/>
          <w:lang w:val="uk-UA"/>
        </w:rPr>
        <w:t xml:space="preserve">покращення доступу до лікування ВГС стало світовим пріоритетом. Проте залишається чимало перешкод, які зменшують загальну користь </w:t>
      </w:r>
      <w:r w:rsidR="001720BF">
        <w:rPr>
          <w:rFonts w:ascii="Times New Roman" w:hAnsi="Times New Roman" w:cs="Times New Roman"/>
          <w:lang w:val="uk-UA"/>
        </w:rPr>
        <w:t xml:space="preserve">від появи нових схем лікування, </w:t>
      </w:r>
      <w:r w:rsidRPr="00BA5C0A">
        <w:rPr>
          <w:rFonts w:ascii="Times New Roman" w:hAnsi="Times New Roman" w:cs="Times New Roman"/>
          <w:lang w:val="uk-UA"/>
        </w:rPr>
        <w:t xml:space="preserve">що не містить інтерферон та рибавірин. Вони включають значну кількість інфікованих осіб, вартість тестів, обсяг інформації, необхідної для </w:t>
      </w:r>
      <w:r w:rsidR="001720BF">
        <w:rPr>
          <w:rFonts w:ascii="Times New Roman" w:hAnsi="Times New Roman" w:cs="Times New Roman"/>
          <w:lang w:val="uk-UA"/>
        </w:rPr>
        <w:t xml:space="preserve">прийняття </w:t>
      </w:r>
      <w:r w:rsidRPr="00BA5C0A">
        <w:rPr>
          <w:rFonts w:ascii="Times New Roman" w:hAnsi="Times New Roman" w:cs="Times New Roman"/>
          <w:lang w:val="uk-UA"/>
        </w:rPr>
        <w:t>рішення щодо лікування, та відносну складність стратегій лікування, зазначених у попередньому розділі.</w:t>
      </w:r>
    </w:p>
    <w:p w14:paraId="09951E6E" w14:textId="77777777" w:rsidR="00BA5C0A" w:rsidRPr="00BA5C0A" w:rsidRDefault="00BA5C0A" w:rsidP="00BE2467">
      <w:pPr>
        <w:tabs>
          <w:tab w:val="left" w:pos="1846"/>
        </w:tabs>
        <w:jc w:val="both"/>
        <w:rPr>
          <w:rFonts w:ascii="Times New Roman" w:hAnsi="Times New Roman" w:cs="Times New Roman"/>
          <w:lang w:val="uk-UA"/>
        </w:rPr>
      </w:pPr>
    </w:p>
    <w:p w14:paraId="38BD270C" w14:textId="6C128F9B" w:rsidR="00BA5C0A" w:rsidRPr="00BA5C0A" w:rsidRDefault="00BA5C0A" w:rsidP="00BE2467">
      <w:pPr>
        <w:tabs>
          <w:tab w:val="left" w:pos="1846"/>
        </w:tabs>
        <w:jc w:val="both"/>
        <w:rPr>
          <w:rFonts w:ascii="Times New Roman" w:hAnsi="Times New Roman" w:cs="Times New Roman"/>
          <w:lang w:val="uk-UA"/>
        </w:rPr>
      </w:pPr>
      <w:r w:rsidRPr="00BA5C0A">
        <w:rPr>
          <w:rFonts w:ascii="Times New Roman" w:hAnsi="Times New Roman" w:cs="Times New Roman"/>
          <w:lang w:val="uk-UA"/>
        </w:rPr>
        <w:t xml:space="preserve">Наявність нових </w:t>
      </w:r>
      <w:r w:rsidR="00684F93">
        <w:rPr>
          <w:rFonts w:ascii="Times New Roman" w:hAnsi="Times New Roman" w:cs="Times New Roman"/>
          <w:lang w:val="uk-UA"/>
        </w:rPr>
        <w:t>пангенотипних</w:t>
      </w:r>
      <w:r w:rsidRPr="00BA5C0A">
        <w:rPr>
          <w:rFonts w:ascii="Times New Roman" w:hAnsi="Times New Roman" w:cs="Times New Roman"/>
          <w:lang w:val="uk-UA"/>
        </w:rPr>
        <w:t xml:space="preserve"> схем, дає можливість практикуючим лікарям по всьому світу значно спростити і тим самим полегшити доступ пацієнтів до лікування, одночасно зменшуючи його вартість. </w:t>
      </w:r>
      <w:r w:rsidR="00216285">
        <w:rPr>
          <w:rFonts w:ascii="Times New Roman" w:hAnsi="Times New Roman" w:cs="Times New Roman"/>
          <w:lang w:val="uk-UA"/>
        </w:rPr>
        <w:t>О</w:t>
      </w:r>
      <w:r w:rsidRPr="00BA5C0A">
        <w:rPr>
          <w:rFonts w:ascii="Times New Roman" w:hAnsi="Times New Roman" w:cs="Times New Roman"/>
          <w:lang w:val="uk-UA"/>
        </w:rPr>
        <w:t>чікується, що використання софосбувіру/велпатасвіру або глекапревіру/пібрентасвіру протягом 12 тижнів у всіх пацієнтів без цирозу печінки або з компенсованим цирозом (Child</w:t>
      </w:r>
      <w:r w:rsidR="00FC6D8A">
        <w:rPr>
          <w:rFonts w:ascii="Times New Roman" w:hAnsi="Times New Roman" w:cs="Times New Roman"/>
          <w:lang w:val="uk-UA"/>
        </w:rPr>
        <w:t>–</w:t>
      </w:r>
      <w:r w:rsidRPr="00BA5C0A">
        <w:rPr>
          <w:rFonts w:ascii="Times New Roman" w:hAnsi="Times New Roman" w:cs="Times New Roman"/>
          <w:lang w:val="uk-UA"/>
        </w:rPr>
        <w:t>Pugh A), включаючи “наївних” або пацієнтів</w:t>
      </w:r>
      <w:r w:rsidR="00632C89">
        <w:rPr>
          <w:rFonts w:ascii="Times New Roman" w:hAnsi="Times New Roman" w:cs="Times New Roman"/>
          <w:lang w:val="uk-UA"/>
        </w:rPr>
        <w:t xml:space="preserve"> </w:t>
      </w:r>
      <w:r w:rsidR="00632C89">
        <w:rPr>
          <w:rFonts w:ascii="Times New Roman" w:hAnsi="Times New Roman" w:cs="Times New Roman"/>
          <w:color w:val="000000" w:themeColor="text1"/>
          <w:lang w:val="uk-UA"/>
        </w:rPr>
        <w:t>з досвідом лікування</w:t>
      </w:r>
      <w:r w:rsidRPr="00BA5C0A">
        <w:rPr>
          <w:rFonts w:ascii="Times New Roman" w:hAnsi="Times New Roman" w:cs="Times New Roman"/>
          <w:lang w:val="uk-UA"/>
        </w:rPr>
        <w:t xml:space="preserve"> (як визначено вище) </w:t>
      </w:r>
      <w:r w:rsidR="00882EFB">
        <w:rPr>
          <w:rFonts w:ascii="Times New Roman" w:hAnsi="Times New Roman" w:cs="Times New Roman"/>
          <w:lang w:val="uk-UA"/>
        </w:rPr>
        <w:t xml:space="preserve">дозволить досягти </w:t>
      </w:r>
      <w:r w:rsidRPr="00BA5C0A">
        <w:rPr>
          <w:rFonts w:ascii="Times New Roman" w:hAnsi="Times New Roman" w:cs="Times New Roman"/>
          <w:lang w:val="uk-UA"/>
        </w:rPr>
        <w:t>СВВ12</w:t>
      </w:r>
      <w:r w:rsidR="00216285">
        <w:rPr>
          <w:rFonts w:ascii="Times New Roman" w:hAnsi="Times New Roman" w:cs="Times New Roman"/>
          <w:lang w:val="uk-UA"/>
        </w:rPr>
        <w:t xml:space="preserve"> більше, ніж </w:t>
      </w:r>
      <w:r w:rsidR="00557239">
        <w:rPr>
          <w:rFonts w:ascii="Times New Roman" w:hAnsi="Times New Roman" w:cs="Times New Roman"/>
          <w:lang w:val="uk-UA"/>
        </w:rPr>
        <w:t xml:space="preserve">у </w:t>
      </w:r>
      <w:r w:rsidRPr="00BA5C0A">
        <w:rPr>
          <w:rFonts w:ascii="Times New Roman" w:hAnsi="Times New Roman" w:cs="Times New Roman"/>
          <w:lang w:val="uk-UA"/>
        </w:rPr>
        <w:t>95%</w:t>
      </w:r>
      <w:r w:rsidR="00557239">
        <w:rPr>
          <w:rFonts w:ascii="Times New Roman" w:hAnsi="Times New Roman" w:cs="Times New Roman"/>
          <w:lang w:val="uk-UA"/>
        </w:rPr>
        <w:t xml:space="preserve"> випадків</w:t>
      </w:r>
      <w:r w:rsidRPr="00BA5C0A">
        <w:rPr>
          <w:rFonts w:ascii="Times New Roman" w:hAnsi="Times New Roman" w:cs="Times New Roman"/>
          <w:lang w:val="uk-UA"/>
        </w:rPr>
        <w:t xml:space="preserve">. Єдиною інформацією, необхідною для початку лікування одним з цих режимів, є </w:t>
      </w:r>
      <w:r w:rsidR="00882EFB">
        <w:rPr>
          <w:rFonts w:ascii="Times New Roman" w:hAnsi="Times New Roman" w:cs="Times New Roman"/>
          <w:lang w:val="uk-UA"/>
        </w:rPr>
        <w:t xml:space="preserve">підтввердження </w:t>
      </w:r>
      <w:r w:rsidRPr="00BA5C0A">
        <w:rPr>
          <w:rFonts w:ascii="Times New Roman" w:hAnsi="Times New Roman" w:cs="Times New Roman"/>
          <w:lang w:val="uk-UA"/>
        </w:rPr>
        <w:t xml:space="preserve">реплікації ВГС (яка виявляється за допомогою аналізу на </w:t>
      </w:r>
      <w:r w:rsidRPr="00BA5C0A">
        <w:rPr>
          <w:rFonts w:ascii="Times New Roman" w:hAnsi="Times New Roman" w:cs="Times New Roman"/>
          <w:lang w:val="en-US"/>
        </w:rPr>
        <w:t>core</w:t>
      </w:r>
      <w:r w:rsidRPr="00BA5C0A">
        <w:rPr>
          <w:rFonts w:ascii="Times New Roman" w:hAnsi="Times New Roman" w:cs="Times New Roman"/>
          <w:lang w:val="uk-UA"/>
        </w:rPr>
        <w:t xml:space="preserve"> </w:t>
      </w:r>
      <w:r w:rsidR="00690065">
        <w:rPr>
          <w:rFonts w:ascii="Times New Roman" w:hAnsi="Times New Roman" w:cs="Times New Roman"/>
          <w:lang w:val="en-US"/>
        </w:rPr>
        <w:t>Ag</w:t>
      </w:r>
      <w:r w:rsidRPr="00BA5C0A">
        <w:rPr>
          <w:rFonts w:ascii="Times New Roman" w:hAnsi="Times New Roman" w:cs="Times New Roman"/>
          <w:lang w:val="uk-UA"/>
        </w:rPr>
        <w:t xml:space="preserve"> ВГС</w:t>
      </w:r>
      <w:r w:rsidR="00882EFB">
        <w:rPr>
          <w:rFonts w:ascii="Times New Roman" w:hAnsi="Times New Roman" w:cs="Times New Roman"/>
          <w:lang w:val="uk-UA"/>
        </w:rPr>
        <w:t xml:space="preserve"> </w:t>
      </w:r>
      <w:r w:rsidRPr="00BA5C0A">
        <w:rPr>
          <w:rFonts w:ascii="Times New Roman" w:hAnsi="Times New Roman" w:cs="Times New Roman"/>
          <w:lang w:val="uk-UA"/>
        </w:rPr>
        <w:t xml:space="preserve">або РНК ВГС, як описано вище) та </w:t>
      </w:r>
      <w:r w:rsidR="00557239">
        <w:rPr>
          <w:rFonts w:ascii="Times New Roman" w:hAnsi="Times New Roman" w:cs="Times New Roman"/>
          <w:lang w:val="uk-UA"/>
        </w:rPr>
        <w:t xml:space="preserve">інформацію щодо </w:t>
      </w:r>
      <w:r w:rsidRPr="00BA5C0A">
        <w:rPr>
          <w:rFonts w:ascii="Times New Roman" w:hAnsi="Times New Roman" w:cs="Times New Roman"/>
          <w:lang w:val="uk-UA"/>
        </w:rPr>
        <w:t xml:space="preserve">можливих взаємодій між </w:t>
      </w:r>
      <w:r w:rsidR="00882EFB">
        <w:rPr>
          <w:rFonts w:ascii="Times New Roman" w:hAnsi="Times New Roman" w:cs="Times New Roman"/>
          <w:lang w:val="uk-UA"/>
        </w:rPr>
        <w:t>іншими лікарськими засобами, що приймаються</w:t>
      </w:r>
      <w:r w:rsidRPr="00BA5C0A">
        <w:rPr>
          <w:rFonts w:ascii="Times New Roman" w:hAnsi="Times New Roman" w:cs="Times New Roman"/>
          <w:lang w:val="uk-UA"/>
        </w:rPr>
        <w:t xml:space="preserve">. Наявність </w:t>
      </w:r>
      <w:r w:rsidR="00882EFB">
        <w:rPr>
          <w:rFonts w:ascii="Times New Roman" w:hAnsi="Times New Roman" w:cs="Times New Roman"/>
          <w:lang w:val="uk-UA"/>
        </w:rPr>
        <w:t xml:space="preserve">вираженого </w:t>
      </w:r>
      <w:r w:rsidRPr="00BA5C0A">
        <w:rPr>
          <w:rFonts w:ascii="Times New Roman" w:hAnsi="Times New Roman" w:cs="Times New Roman"/>
          <w:lang w:val="uk-UA"/>
        </w:rPr>
        <w:t>фіброзу (F3) або цирозу (F4) слід перевіряти перед початком терапії, оскільки це визначить, чи слід пацієнтові бути під наглядом з приводу ГКЦ після лікування, за умови наявності лікування ГКЦ. Проста неінвазивна оцінка маркерів, таких як FIB</w:t>
      </w:r>
      <w:r w:rsidR="00FC6D8A">
        <w:rPr>
          <w:rFonts w:ascii="Times New Roman" w:hAnsi="Times New Roman" w:cs="Times New Roman"/>
          <w:lang w:val="uk-UA"/>
        </w:rPr>
        <w:t>–</w:t>
      </w:r>
      <w:r w:rsidRPr="00BA5C0A">
        <w:rPr>
          <w:rFonts w:ascii="Times New Roman" w:hAnsi="Times New Roman" w:cs="Times New Roman"/>
          <w:lang w:val="uk-UA"/>
        </w:rPr>
        <w:t>4 або APRI, може бути використана для цієї мети (див.</w:t>
      </w:r>
      <w:r w:rsidR="00216285">
        <w:rPr>
          <w:rFonts w:ascii="Times New Roman" w:hAnsi="Times New Roman" w:cs="Times New Roman"/>
          <w:lang w:val="uk-UA"/>
        </w:rPr>
        <w:t>в</w:t>
      </w:r>
      <w:r w:rsidRPr="00BA5C0A">
        <w:rPr>
          <w:rFonts w:ascii="Times New Roman" w:hAnsi="Times New Roman" w:cs="Times New Roman"/>
          <w:lang w:val="uk-UA"/>
        </w:rPr>
        <w:t xml:space="preserve">ище, таблиця 2). Універсальна тривалість </w:t>
      </w:r>
      <w:r w:rsidR="00882EFB">
        <w:rPr>
          <w:rFonts w:ascii="Times New Roman" w:hAnsi="Times New Roman" w:cs="Times New Roman"/>
          <w:lang w:val="uk-UA"/>
        </w:rPr>
        <w:t xml:space="preserve">лікування протягом </w:t>
      </w:r>
      <w:r w:rsidRPr="00BA5C0A">
        <w:rPr>
          <w:rFonts w:ascii="Times New Roman" w:hAnsi="Times New Roman" w:cs="Times New Roman"/>
          <w:lang w:val="uk-UA"/>
        </w:rPr>
        <w:t>12 тижнів гарантує, що ця інформація не потрібна для вибору режиму лікування. Однак, якщо інформація є доступною та надійною, комбінація глекапревіру та пібрентасвіру може використовуватис</w:t>
      </w:r>
      <w:r w:rsidR="00557239">
        <w:rPr>
          <w:rFonts w:ascii="Times New Roman" w:hAnsi="Times New Roman" w:cs="Times New Roman"/>
          <w:lang w:val="uk-UA"/>
        </w:rPr>
        <w:t>я</w:t>
      </w:r>
      <w:r w:rsidRPr="00BA5C0A">
        <w:rPr>
          <w:rFonts w:ascii="Times New Roman" w:hAnsi="Times New Roman" w:cs="Times New Roman"/>
          <w:lang w:val="uk-UA"/>
        </w:rPr>
        <w:t xml:space="preserve"> протягом 8 тижнів замість 12 тижнів у пацієнтів без цирозу.</w:t>
      </w:r>
    </w:p>
    <w:p w14:paraId="4B8FBCF8" w14:textId="77777777" w:rsidR="00BA5C0A" w:rsidRPr="00BA5C0A" w:rsidRDefault="00BA5C0A" w:rsidP="00BE2467">
      <w:pPr>
        <w:tabs>
          <w:tab w:val="left" w:pos="1846"/>
        </w:tabs>
        <w:jc w:val="both"/>
        <w:rPr>
          <w:rFonts w:ascii="Times New Roman" w:hAnsi="Times New Roman" w:cs="Times New Roman"/>
          <w:lang w:val="uk-UA"/>
        </w:rPr>
      </w:pPr>
    </w:p>
    <w:p w14:paraId="6451461E" w14:textId="2F0A38BB" w:rsidR="00BA5C0A" w:rsidRPr="00BA5C0A" w:rsidRDefault="00557239" w:rsidP="00BE2467">
      <w:pPr>
        <w:tabs>
          <w:tab w:val="left" w:pos="1846"/>
        </w:tabs>
        <w:jc w:val="both"/>
        <w:rPr>
          <w:rFonts w:ascii="Times New Roman" w:hAnsi="Times New Roman" w:cs="Times New Roman"/>
          <w:lang w:val="uk-UA"/>
        </w:rPr>
      </w:pPr>
      <w:r>
        <w:rPr>
          <w:rFonts w:ascii="Times New Roman" w:hAnsi="Times New Roman" w:cs="Times New Roman"/>
          <w:lang w:val="uk-UA"/>
        </w:rPr>
        <w:t>Доведено</w:t>
      </w:r>
      <w:r w:rsidR="00BA5C0A" w:rsidRPr="00BA5C0A">
        <w:rPr>
          <w:rFonts w:ascii="Times New Roman" w:hAnsi="Times New Roman" w:cs="Times New Roman"/>
          <w:lang w:val="uk-UA"/>
        </w:rPr>
        <w:t xml:space="preserve">, що ліцензовані генеричні препарати узгоджені з патентним пулом лікарських засобів, </w:t>
      </w:r>
      <w:r>
        <w:rPr>
          <w:rFonts w:ascii="Times New Roman" w:hAnsi="Times New Roman" w:cs="Times New Roman"/>
          <w:lang w:val="uk-UA"/>
        </w:rPr>
        <w:t>ма</w:t>
      </w:r>
      <w:r w:rsidR="00BA5C0A" w:rsidRPr="00BA5C0A">
        <w:rPr>
          <w:rFonts w:ascii="Times New Roman" w:hAnsi="Times New Roman" w:cs="Times New Roman"/>
          <w:lang w:val="uk-UA"/>
        </w:rPr>
        <w:t xml:space="preserve">ють подібні результати </w:t>
      </w:r>
      <w:r w:rsidR="00B01259">
        <w:rPr>
          <w:rFonts w:ascii="Times New Roman" w:hAnsi="Times New Roman" w:cs="Times New Roman"/>
          <w:lang w:val="uk-UA"/>
        </w:rPr>
        <w:t xml:space="preserve">ефективності як </w:t>
      </w:r>
      <w:r>
        <w:rPr>
          <w:rFonts w:ascii="Times New Roman" w:hAnsi="Times New Roman" w:cs="Times New Roman"/>
          <w:lang w:val="uk-UA"/>
        </w:rPr>
        <w:t xml:space="preserve">і </w:t>
      </w:r>
      <w:r w:rsidR="00B01259">
        <w:rPr>
          <w:rFonts w:ascii="Times New Roman" w:hAnsi="Times New Roman" w:cs="Times New Roman"/>
          <w:lang w:val="uk-UA"/>
        </w:rPr>
        <w:t>оригінальні</w:t>
      </w:r>
      <w:r>
        <w:rPr>
          <w:rFonts w:ascii="Times New Roman" w:hAnsi="Times New Roman" w:cs="Times New Roman"/>
          <w:lang w:val="uk-UA"/>
        </w:rPr>
        <w:t xml:space="preserve"> лікарські засоби</w:t>
      </w:r>
      <w:r w:rsidR="00BA5C0A" w:rsidRPr="00BA5C0A">
        <w:rPr>
          <w:rFonts w:ascii="Times New Roman" w:hAnsi="Times New Roman" w:cs="Times New Roman"/>
          <w:lang w:val="uk-UA"/>
        </w:rPr>
        <w:t>.</w:t>
      </w:r>
      <w:r w:rsidR="00BA5C0A" w:rsidRPr="00BA5C0A">
        <w:rPr>
          <w:rFonts w:ascii="Times New Roman" w:hAnsi="Times New Roman" w:cs="Times New Roman"/>
          <w:vertAlign w:val="superscript"/>
          <w:lang w:val="uk-UA"/>
        </w:rPr>
        <w:t>113</w:t>
      </w:r>
      <w:r w:rsidR="00BA5C0A" w:rsidRPr="00BA5C0A">
        <w:rPr>
          <w:rFonts w:ascii="Times New Roman" w:hAnsi="Times New Roman" w:cs="Times New Roman"/>
          <w:lang w:val="uk-UA"/>
        </w:rPr>
        <w:t xml:space="preserve"> Відповідність </w:t>
      </w:r>
      <w:r w:rsidR="00277304">
        <w:rPr>
          <w:rFonts w:ascii="Times New Roman" w:hAnsi="Times New Roman" w:cs="Times New Roman"/>
          <w:lang w:val="uk-UA"/>
        </w:rPr>
        <w:t>препарату генерика до оригінального лікарського засобу має</w:t>
      </w:r>
      <w:r w:rsidR="00BA5C0A" w:rsidRPr="00BA5C0A">
        <w:rPr>
          <w:rFonts w:ascii="Times New Roman" w:hAnsi="Times New Roman" w:cs="Times New Roman"/>
          <w:lang w:val="uk-UA"/>
        </w:rPr>
        <w:t xml:space="preserve"> бути підтверджена постачальником та гарантован</w:t>
      </w:r>
      <w:r w:rsidR="00B01259">
        <w:rPr>
          <w:rFonts w:ascii="Times New Roman" w:hAnsi="Times New Roman" w:cs="Times New Roman"/>
          <w:lang w:val="uk-UA"/>
        </w:rPr>
        <w:t>а</w:t>
      </w:r>
      <w:r w:rsidR="00BA5C0A" w:rsidRPr="00BA5C0A">
        <w:rPr>
          <w:rFonts w:ascii="Times New Roman" w:hAnsi="Times New Roman" w:cs="Times New Roman"/>
          <w:lang w:val="uk-UA"/>
        </w:rPr>
        <w:t xml:space="preserve"> лікарем. </w:t>
      </w:r>
      <w:r w:rsidR="00277304">
        <w:rPr>
          <w:rFonts w:ascii="Times New Roman" w:hAnsi="Times New Roman" w:cs="Times New Roman"/>
          <w:lang w:val="uk-UA"/>
        </w:rPr>
        <w:t>Е</w:t>
      </w:r>
      <w:r w:rsidR="00BA5C0A" w:rsidRPr="00BA5C0A">
        <w:rPr>
          <w:rFonts w:ascii="Times New Roman" w:hAnsi="Times New Roman" w:cs="Times New Roman"/>
          <w:lang w:val="uk-UA"/>
        </w:rPr>
        <w:t xml:space="preserve">фективні та безпечні </w:t>
      </w:r>
      <w:r w:rsidR="00277304">
        <w:rPr>
          <w:rFonts w:ascii="Times New Roman" w:hAnsi="Times New Roman" w:cs="Times New Roman"/>
          <w:lang w:val="uk-UA"/>
        </w:rPr>
        <w:t>г</w:t>
      </w:r>
      <w:r w:rsidR="00BA5C0A" w:rsidRPr="00BA5C0A">
        <w:rPr>
          <w:rFonts w:ascii="Times New Roman" w:hAnsi="Times New Roman" w:cs="Times New Roman"/>
          <w:lang w:val="uk-UA"/>
        </w:rPr>
        <w:t xml:space="preserve">енерики є </w:t>
      </w:r>
      <w:r w:rsidR="00277304">
        <w:rPr>
          <w:rFonts w:ascii="Times New Roman" w:hAnsi="Times New Roman" w:cs="Times New Roman"/>
          <w:lang w:val="uk-UA"/>
        </w:rPr>
        <w:t>важливим</w:t>
      </w:r>
      <w:r w:rsidR="00BA5C0A" w:rsidRPr="00BA5C0A">
        <w:rPr>
          <w:rFonts w:ascii="Times New Roman" w:hAnsi="Times New Roman" w:cs="Times New Roman"/>
          <w:lang w:val="uk-UA"/>
        </w:rPr>
        <w:t xml:space="preserve"> ресурсом</w:t>
      </w:r>
      <w:r w:rsidR="00277304">
        <w:rPr>
          <w:rFonts w:ascii="Times New Roman" w:hAnsi="Times New Roman" w:cs="Times New Roman"/>
          <w:lang w:val="uk-UA"/>
        </w:rPr>
        <w:t xml:space="preserve"> для лікування</w:t>
      </w:r>
      <w:r w:rsidR="00BA5C0A" w:rsidRPr="00BA5C0A">
        <w:rPr>
          <w:rFonts w:ascii="Times New Roman" w:hAnsi="Times New Roman" w:cs="Times New Roman"/>
          <w:lang w:val="uk-UA"/>
        </w:rPr>
        <w:t xml:space="preserve"> у країнах з низьким рівнем доходу. </w:t>
      </w:r>
    </w:p>
    <w:p w14:paraId="1CFBC671" w14:textId="77777777" w:rsidR="00BA5C0A" w:rsidRPr="00BA5C0A" w:rsidRDefault="00BA5C0A" w:rsidP="00BA5C0A">
      <w:pPr>
        <w:jc w:val="both"/>
        <w:rPr>
          <w:rFonts w:ascii="Times New Roman" w:hAnsi="Times New Roman" w:cs="Times New Roman"/>
          <w:lang w:val="uk-U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A5C0A" w:rsidRPr="0080595E" w14:paraId="01A7A810" w14:textId="77777777" w:rsidTr="00544369">
        <w:trPr>
          <w:trHeight w:val="544"/>
        </w:trPr>
        <w:tc>
          <w:tcPr>
            <w:tcW w:w="9607" w:type="dxa"/>
            <w:shd w:val="clear" w:color="auto" w:fill="BDD6EE" w:themeFill="accent1" w:themeFillTint="66"/>
          </w:tcPr>
          <w:p w14:paraId="382678B5" w14:textId="123503DA" w:rsidR="00BA5C0A" w:rsidRPr="00B01259" w:rsidRDefault="00BA5C0A" w:rsidP="00BA5C0A">
            <w:pPr>
              <w:tabs>
                <w:tab w:val="left" w:pos="1119"/>
              </w:tabs>
              <w:jc w:val="both"/>
              <w:rPr>
                <w:rFonts w:ascii="Times New Roman" w:hAnsi="Times New Roman" w:cs="Times New Roman"/>
                <w:lang w:val="uk-UA"/>
              </w:rPr>
            </w:pPr>
            <w:r w:rsidRPr="00B01259">
              <w:rPr>
                <w:rFonts w:ascii="Times New Roman" w:hAnsi="Times New Roman" w:cs="Times New Roman"/>
                <w:b/>
                <w:i/>
                <w:color w:val="4472C4" w:themeColor="accent5"/>
                <w:lang w:val="uk-UA"/>
              </w:rPr>
              <w:t>Рекомендація</w:t>
            </w:r>
          </w:p>
          <w:p w14:paraId="36F1847C" w14:textId="77777777" w:rsidR="00BA5C0A" w:rsidRPr="00BA5C0A" w:rsidRDefault="00BA5C0A" w:rsidP="00BA5C0A">
            <w:pPr>
              <w:tabs>
                <w:tab w:val="left" w:pos="1119"/>
              </w:tabs>
              <w:jc w:val="both"/>
              <w:rPr>
                <w:rFonts w:ascii="Times New Roman" w:hAnsi="Times New Roman" w:cs="Times New Roman"/>
                <w:lang w:val="uk-UA"/>
              </w:rPr>
            </w:pPr>
          </w:p>
          <w:p w14:paraId="6A745386" w14:textId="7ED6ECDC" w:rsidR="00BA5C0A" w:rsidRPr="00BA5C0A" w:rsidRDefault="00BA5C0A" w:rsidP="00015E3B">
            <w:pPr>
              <w:numPr>
                <w:ilvl w:val="0"/>
                <w:numId w:val="35"/>
              </w:numPr>
              <w:tabs>
                <w:tab w:val="left" w:pos="1119"/>
              </w:tabs>
              <w:contextualSpacing/>
              <w:jc w:val="both"/>
              <w:rPr>
                <w:rFonts w:ascii="Times New Roman" w:hAnsi="Times New Roman" w:cs="Times New Roman"/>
                <w:lang w:val="uk-UA"/>
              </w:rPr>
            </w:pPr>
            <w:r w:rsidRPr="00BA5C0A">
              <w:rPr>
                <w:rFonts w:ascii="Times New Roman" w:hAnsi="Times New Roman" w:cs="Times New Roman"/>
                <w:lang w:val="uk-UA"/>
              </w:rPr>
              <w:t>Спрощені, пангеноти</w:t>
            </w:r>
            <w:r w:rsidR="00684F93">
              <w:rPr>
                <w:rFonts w:ascii="Times New Roman" w:hAnsi="Times New Roman" w:cs="Times New Roman"/>
                <w:lang w:val="uk-UA"/>
              </w:rPr>
              <w:t>пні</w:t>
            </w:r>
            <w:r w:rsidRPr="00BA5C0A">
              <w:rPr>
                <w:rFonts w:ascii="Times New Roman" w:hAnsi="Times New Roman" w:cs="Times New Roman"/>
                <w:lang w:val="uk-UA"/>
              </w:rPr>
              <w:t xml:space="preserve"> схеми лікування наразі є доступними завдяки затвердженню високоефективних, безпечних пангеноти</w:t>
            </w:r>
            <w:r w:rsidR="00684F93">
              <w:rPr>
                <w:rFonts w:ascii="Times New Roman" w:hAnsi="Times New Roman" w:cs="Times New Roman"/>
                <w:lang w:val="uk-UA"/>
              </w:rPr>
              <w:t>пних</w:t>
            </w:r>
            <w:r w:rsidRPr="00BA5C0A">
              <w:rPr>
                <w:rFonts w:ascii="Times New Roman" w:hAnsi="Times New Roman" w:cs="Times New Roman"/>
                <w:lang w:val="uk-UA"/>
              </w:rPr>
              <w:t xml:space="preserve"> препаратів проти ВГС, які добре переносяться (B1).</w:t>
            </w:r>
          </w:p>
          <w:p w14:paraId="0BB52AA7" w14:textId="0E6B3AC8" w:rsidR="00BA5C0A" w:rsidRPr="00BA5C0A" w:rsidRDefault="00BA5C0A" w:rsidP="00015E3B">
            <w:pPr>
              <w:numPr>
                <w:ilvl w:val="0"/>
                <w:numId w:val="35"/>
              </w:numPr>
              <w:tabs>
                <w:tab w:val="left" w:pos="1119"/>
              </w:tabs>
              <w:contextualSpacing/>
              <w:jc w:val="both"/>
              <w:rPr>
                <w:rFonts w:ascii="Times New Roman" w:hAnsi="Times New Roman" w:cs="Times New Roman"/>
                <w:lang w:val="uk-UA"/>
              </w:rPr>
            </w:pPr>
            <w:r w:rsidRPr="00BA5C0A">
              <w:rPr>
                <w:rFonts w:ascii="Times New Roman" w:hAnsi="Times New Roman" w:cs="Times New Roman"/>
                <w:lang w:val="uk-UA"/>
              </w:rPr>
              <w:t xml:space="preserve">Попередне обстеження пацієнта може бути обмежене </w:t>
            </w:r>
            <w:r w:rsidR="00684F93">
              <w:rPr>
                <w:rFonts w:ascii="Times New Roman" w:hAnsi="Times New Roman" w:cs="Times New Roman"/>
                <w:lang w:val="uk-UA"/>
              </w:rPr>
              <w:t>підтвердженням</w:t>
            </w:r>
            <w:r w:rsidRPr="00BA5C0A">
              <w:rPr>
                <w:rFonts w:ascii="Times New Roman" w:hAnsi="Times New Roman" w:cs="Times New Roman"/>
                <w:lang w:val="uk-UA"/>
              </w:rPr>
              <w:t xml:space="preserve"> реплікації ВГС (присутність РНК ВГС або </w:t>
            </w:r>
            <w:r w:rsidR="00690065">
              <w:rPr>
                <w:rFonts w:ascii="Times New Roman" w:hAnsi="Times New Roman" w:cs="Times New Roman"/>
                <w:lang w:val="en-US"/>
              </w:rPr>
              <w:t>core</w:t>
            </w:r>
            <w:r w:rsidR="00690065" w:rsidRPr="00690065">
              <w:rPr>
                <w:rFonts w:ascii="Times New Roman" w:hAnsi="Times New Roman" w:cs="Times New Roman"/>
                <w:lang w:val="uk-UA"/>
              </w:rPr>
              <w:t xml:space="preserve"> </w:t>
            </w:r>
            <w:r w:rsidR="00690065">
              <w:rPr>
                <w:rFonts w:ascii="Times New Roman" w:hAnsi="Times New Roman" w:cs="Times New Roman"/>
                <w:lang w:val="en-US"/>
              </w:rPr>
              <w:t>Ag</w:t>
            </w:r>
            <w:r w:rsidR="00690065" w:rsidRPr="00690065">
              <w:rPr>
                <w:rFonts w:ascii="Times New Roman" w:hAnsi="Times New Roman" w:cs="Times New Roman"/>
                <w:lang w:val="uk-UA"/>
              </w:rPr>
              <w:t xml:space="preserve"> </w:t>
            </w:r>
            <w:r w:rsidR="00690065">
              <w:rPr>
                <w:rFonts w:ascii="Times New Roman" w:hAnsi="Times New Roman" w:cs="Times New Roman"/>
                <w:lang w:val="uk-UA"/>
              </w:rPr>
              <w:t>ВГС</w:t>
            </w:r>
            <w:r w:rsidRPr="00BA5C0A">
              <w:rPr>
                <w:rFonts w:ascii="Times New Roman" w:hAnsi="Times New Roman" w:cs="Times New Roman"/>
                <w:lang w:val="uk-UA"/>
              </w:rPr>
              <w:t xml:space="preserve"> в плазмі або сироватці крові) та оцінки </w:t>
            </w:r>
            <w:r w:rsidR="00684F93">
              <w:rPr>
                <w:rFonts w:ascii="Times New Roman" w:hAnsi="Times New Roman" w:cs="Times New Roman"/>
                <w:lang w:val="uk-UA"/>
              </w:rPr>
              <w:t xml:space="preserve">наявності </w:t>
            </w:r>
            <w:r w:rsidRPr="00BA5C0A">
              <w:rPr>
                <w:rFonts w:ascii="Times New Roman" w:hAnsi="Times New Roman" w:cs="Times New Roman"/>
                <w:lang w:val="uk-UA"/>
              </w:rPr>
              <w:t xml:space="preserve">або відсутності цирозу за допомогою простого неінвазивного </w:t>
            </w:r>
            <w:r w:rsidR="00DF6A07">
              <w:rPr>
                <w:rFonts w:ascii="Times New Roman" w:hAnsi="Times New Roman" w:cs="Times New Roman"/>
                <w:lang w:val="uk-UA"/>
              </w:rPr>
              <w:t>тесту</w:t>
            </w:r>
            <w:r w:rsidRPr="00BA5C0A">
              <w:rPr>
                <w:rFonts w:ascii="Times New Roman" w:hAnsi="Times New Roman" w:cs="Times New Roman"/>
                <w:lang w:val="uk-UA"/>
              </w:rPr>
              <w:t xml:space="preserve"> (наприклад,  </w:t>
            </w:r>
            <w:r w:rsidRPr="00BA5C0A">
              <w:rPr>
                <w:rFonts w:ascii="Times New Roman" w:hAnsi="Times New Roman" w:cs="Times New Roman"/>
                <w:lang w:val="en-US"/>
              </w:rPr>
              <w:t>FIB</w:t>
            </w:r>
            <w:r w:rsidR="00FC6D8A">
              <w:rPr>
                <w:rFonts w:ascii="Times New Roman" w:hAnsi="Times New Roman" w:cs="Times New Roman"/>
                <w:lang w:val="uk-UA"/>
              </w:rPr>
              <w:t>–</w:t>
            </w:r>
            <w:r w:rsidRPr="00BA5C0A">
              <w:rPr>
                <w:rFonts w:ascii="Times New Roman" w:hAnsi="Times New Roman" w:cs="Times New Roman"/>
                <w:lang w:val="uk-UA"/>
              </w:rPr>
              <w:t xml:space="preserve">4 або APRI), що визначає, чи потрібно пацієнту </w:t>
            </w:r>
            <w:r w:rsidR="00557239">
              <w:rPr>
                <w:rFonts w:ascii="Times New Roman" w:hAnsi="Times New Roman" w:cs="Times New Roman"/>
                <w:lang w:val="uk-UA"/>
              </w:rPr>
              <w:t>пере</w:t>
            </w:r>
            <w:r w:rsidRPr="00BA5C0A">
              <w:rPr>
                <w:rFonts w:ascii="Times New Roman" w:hAnsi="Times New Roman" w:cs="Times New Roman"/>
                <w:lang w:val="uk-UA"/>
              </w:rPr>
              <w:t>бу</w:t>
            </w:r>
            <w:r w:rsidR="00557239">
              <w:rPr>
                <w:rFonts w:ascii="Times New Roman" w:hAnsi="Times New Roman" w:cs="Times New Roman"/>
                <w:lang w:val="uk-UA"/>
              </w:rPr>
              <w:t>ва</w:t>
            </w:r>
            <w:r w:rsidRPr="00BA5C0A">
              <w:rPr>
                <w:rFonts w:ascii="Times New Roman" w:hAnsi="Times New Roman" w:cs="Times New Roman"/>
                <w:lang w:val="uk-UA"/>
              </w:rPr>
              <w:t>ти під подальшим спостереженням (B1).</w:t>
            </w:r>
          </w:p>
          <w:p w14:paraId="4031FC85" w14:textId="0B15E786" w:rsidR="00BA5C0A" w:rsidRPr="00BA5C0A" w:rsidRDefault="00632C89" w:rsidP="00015E3B">
            <w:pPr>
              <w:numPr>
                <w:ilvl w:val="0"/>
                <w:numId w:val="35"/>
              </w:numPr>
              <w:tabs>
                <w:tab w:val="left" w:pos="1119"/>
              </w:tabs>
              <w:contextualSpacing/>
              <w:jc w:val="both"/>
              <w:rPr>
                <w:rFonts w:ascii="Times New Roman" w:hAnsi="Times New Roman" w:cs="Times New Roman"/>
                <w:lang w:val="uk-UA"/>
              </w:rPr>
            </w:pPr>
            <w:r w:rsidRPr="00632C89">
              <w:rPr>
                <w:rFonts w:ascii="Times New Roman" w:hAnsi="Times New Roman" w:cs="Times New Roman"/>
                <w:lang w:val="uk-UA"/>
              </w:rPr>
              <w:t>“</w:t>
            </w:r>
            <w:r w:rsidR="00BA5C0A" w:rsidRPr="00BA5C0A">
              <w:rPr>
                <w:rFonts w:ascii="Times New Roman" w:hAnsi="Times New Roman" w:cs="Times New Roman"/>
                <w:lang w:val="uk-UA"/>
              </w:rPr>
              <w:t>Наївні</w:t>
            </w:r>
            <w:r w:rsidRPr="00632C89">
              <w:rPr>
                <w:rFonts w:ascii="Times New Roman" w:hAnsi="Times New Roman" w:cs="Times New Roman"/>
                <w:lang w:val="uk-UA"/>
              </w:rPr>
              <w:t>”</w:t>
            </w:r>
            <w:r w:rsidR="00BA5C0A" w:rsidRPr="00BA5C0A">
              <w:rPr>
                <w:rFonts w:ascii="Times New Roman" w:hAnsi="Times New Roman" w:cs="Times New Roman"/>
                <w:lang w:val="uk-UA"/>
              </w:rPr>
              <w:t xml:space="preserve"> і пацієнти</w:t>
            </w:r>
            <w:r w:rsidRPr="00632C89">
              <w:rPr>
                <w:rFonts w:ascii="Times New Roman" w:hAnsi="Times New Roman" w:cs="Times New Roman"/>
                <w:lang w:val="uk-UA"/>
              </w:rPr>
              <w:t xml:space="preserve"> </w:t>
            </w:r>
            <w:r>
              <w:rPr>
                <w:rFonts w:ascii="Times New Roman" w:hAnsi="Times New Roman" w:cs="Times New Roman"/>
                <w:color w:val="000000" w:themeColor="text1"/>
                <w:lang w:val="uk-UA"/>
              </w:rPr>
              <w:t>з досвідом лікування</w:t>
            </w:r>
            <w:r w:rsidR="00BA5C0A" w:rsidRPr="00BA5C0A">
              <w:rPr>
                <w:rFonts w:ascii="Times New Roman" w:hAnsi="Times New Roman" w:cs="Times New Roman"/>
                <w:lang w:val="uk-UA"/>
              </w:rPr>
              <w:t xml:space="preserve"> без цирозу печінки або з компенсованим (Child</w:t>
            </w:r>
            <w:r w:rsidR="00FC6D8A">
              <w:rPr>
                <w:rFonts w:ascii="Times New Roman" w:hAnsi="Times New Roman" w:cs="Times New Roman"/>
                <w:lang w:val="uk-UA"/>
              </w:rPr>
              <w:t>–</w:t>
            </w:r>
            <w:r w:rsidR="00BA5C0A" w:rsidRPr="00BA5C0A">
              <w:rPr>
                <w:rFonts w:ascii="Times New Roman" w:hAnsi="Times New Roman" w:cs="Times New Roman"/>
                <w:lang w:val="uk-UA"/>
              </w:rPr>
              <w:t>Pugh A) цирозом печінки можуть лікуватися комбінацією фіксованої дози софосбувіру і велпатасвіру протягом 12 тижнів або комбінацією фіксованих доз глекапревіру та пібрентасвіру протягом 12 тижнів без визначення генотипу (В1).</w:t>
            </w:r>
          </w:p>
          <w:p w14:paraId="58B14877" w14:textId="387456E2" w:rsidR="00BA5C0A" w:rsidRPr="00BA5C0A" w:rsidRDefault="00BA5C0A" w:rsidP="00015E3B">
            <w:pPr>
              <w:numPr>
                <w:ilvl w:val="0"/>
                <w:numId w:val="35"/>
              </w:numPr>
              <w:tabs>
                <w:tab w:val="left" w:pos="1119"/>
              </w:tabs>
              <w:contextualSpacing/>
              <w:jc w:val="both"/>
              <w:rPr>
                <w:rFonts w:ascii="Times New Roman" w:hAnsi="Times New Roman" w:cs="Times New Roman"/>
                <w:lang w:val="uk-UA"/>
              </w:rPr>
            </w:pPr>
            <w:r w:rsidRPr="00BA5C0A">
              <w:rPr>
                <w:rFonts w:ascii="Times New Roman" w:hAnsi="Times New Roman" w:cs="Times New Roman"/>
                <w:lang w:val="uk-UA"/>
              </w:rPr>
              <w:lastRenderedPageBreak/>
              <w:t>Якщо цироз можна надійно виключити за допомогою неінвазивн</w:t>
            </w:r>
            <w:r w:rsidR="00684F93">
              <w:rPr>
                <w:rFonts w:ascii="Times New Roman" w:hAnsi="Times New Roman" w:cs="Times New Roman"/>
                <w:lang w:val="uk-UA"/>
              </w:rPr>
              <w:t>их</w:t>
            </w:r>
            <w:r w:rsidRPr="00BA5C0A">
              <w:rPr>
                <w:rFonts w:ascii="Times New Roman" w:hAnsi="Times New Roman" w:cs="Times New Roman"/>
                <w:lang w:val="uk-UA"/>
              </w:rPr>
              <w:t xml:space="preserve"> маркерів у пацієнтів, які раніше не отримували лікування, комбінацію глекапревіру та пібрентасвіру можна приймати протягом 8 тижнів (А1).</w:t>
            </w:r>
          </w:p>
          <w:p w14:paraId="2435E861" w14:textId="21515273" w:rsidR="00BA5C0A" w:rsidRPr="00BA5C0A" w:rsidRDefault="00BA5C0A" w:rsidP="00015E3B">
            <w:pPr>
              <w:numPr>
                <w:ilvl w:val="0"/>
                <w:numId w:val="35"/>
              </w:numPr>
              <w:tabs>
                <w:tab w:val="left" w:pos="1119"/>
              </w:tabs>
              <w:contextualSpacing/>
              <w:jc w:val="both"/>
              <w:rPr>
                <w:rFonts w:ascii="Times New Roman" w:hAnsi="Times New Roman" w:cs="Times New Roman"/>
                <w:lang w:val="uk-UA"/>
              </w:rPr>
            </w:pPr>
            <w:r w:rsidRPr="00BA5C0A">
              <w:rPr>
                <w:rFonts w:ascii="Times New Roman" w:hAnsi="Times New Roman" w:cs="Times New Roman"/>
                <w:lang w:val="uk-UA"/>
              </w:rPr>
              <w:t xml:space="preserve">Генеричні препарати можуть бути використані, за умови, що контроль </w:t>
            </w:r>
            <w:r w:rsidR="00557239">
              <w:rPr>
                <w:rFonts w:ascii="Times New Roman" w:hAnsi="Times New Roman" w:cs="Times New Roman"/>
                <w:lang w:val="uk-UA"/>
              </w:rPr>
              <w:t xml:space="preserve">їх </w:t>
            </w:r>
            <w:r w:rsidRPr="00BA5C0A">
              <w:rPr>
                <w:rFonts w:ascii="Times New Roman" w:hAnsi="Times New Roman" w:cs="Times New Roman"/>
                <w:lang w:val="uk-UA"/>
              </w:rPr>
              <w:t>якості виконується та гарантується постачальником (A1).</w:t>
            </w:r>
          </w:p>
          <w:p w14:paraId="4320A156" w14:textId="24243738" w:rsidR="00BA5C0A" w:rsidRPr="00BA5C0A" w:rsidRDefault="00BA5C0A" w:rsidP="00015E3B">
            <w:pPr>
              <w:numPr>
                <w:ilvl w:val="0"/>
                <w:numId w:val="35"/>
              </w:numPr>
              <w:tabs>
                <w:tab w:val="left" w:pos="1119"/>
              </w:tabs>
              <w:contextualSpacing/>
              <w:jc w:val="both"/>
              <w:rPr>
                <w:rFonts w:ascii="Times New Roman" w:hAnsi="Times New Roman" w:cs="Times New Roman"/>
                <w:lang w:val="uk-UA"/>
              </w:rPr>
            </w:pPr>
            <w:r w:rsidRPr="00BA5C0A">
              <w:rPr>
                <w:rFonts w:ascii="Times New Roman" w:hAnsi="Times New Roman" w:cs="Times New Roman"/>
                <w:lang w:val="uk-UA"/>
              </w:rPr>
              <w:t>Можливі лікарські взаємодії повинні бути ретельно перевірені, і, коли це необхідно</w:t>
            </w:r>
            <w:r w:rsidR="00216285">
              <w:rPr>
                <w:rFonts w:ascii="Times New Roman" w:hAnsi="Times New Roman" w:cs="Times New Roman"/>
                <w:lang w:val="uk-UA"/>
              </w:rPr>
              <w:t>,</w:t>
            </w:r>
            <w:r w:rsidRPr="00BA5C0A">
              <w:rPr>
                <w:rFonts w:ascii="Times New Roman" w:hAnsi="Times New Roman" w:cs="Times New Roman"/>
                <w:lang w:val="uk-UA"/>
              </w:rPr>
              <w:t xml:space="preserve"> дозування </w:t>
            </w:r>
            <w:r w:rsidR="00216285">
              <w:rPr>
                <w:rFonts w:ascii="Times New Roman" w:hAnsi="Times New Roman" w:cs="Times New Roman"/>
                <w:lang w:val="uk-UA"/>
              </w:rPr>
              <w:t xml:space="preserve">необхідно </w:t>
            </w:r>
            <w:r w:rsidR="00557239">
              <w:rPr>
                <w:rFonts w:ascii="Times New Roman" w:hAnsi="Times New Roman" w:cs="Times New Roman"/>
                <w:lang w:val="uk-UA"/>
              </w:rPr>
              <w:t>змінювати</w:t>
            </w:r>
            <w:r w:rsidRPr="00BA5C0A">
              <w:rPr>
                <w:rFonts w:ascii="Times New Roman" w:hAnsi="Times New Roman" w:cs="Times New Roman"/>
                <w:lang w:val="uk-UA"/>
              </w:rPr>
              <w:t xml:space="preserve"> (A1).</w:t>
            </w:r>
          </w:p>
          <w:p w14:paraId="55DA40C0" w14:textId="0D94547B" w:rsidR="00BA5C0A" w:rsidRPr="00BA5C0A" w:rsidRDefault="00BA5C0A" w:rsidP="00015E3B">
            <w:pPr>
              <w:numPr>
                <w:ilvl w:val="0"/>
                <w:numId w:val="35"/>
              </w:numPr>
              <w:tabs>
                <w:tab w:val="left" w:pos="1119"/>
              </w:tabs>
              <w:contextualSpacing/>
              <w:jc w:val="both"/>
              <w:rPr>
                <w:rFonts w:ascii="Times New Roman" w:hAnsi="Times New Roman" w:cs="Times New Roman"/>
                <w:lang w:val="uk-UA"/>
              </w:rPr>
            </w:pPr>
            <w:r w:rsidRPr="00BA5C0A">
              <w:rPr>
                <w:rFonts w:ascii="Times New Roman" w:hAnsi="Times New Roman" w:cs="Times New Roman"/>
                <w:lang w:val="uk-UA"/>
              </w:rPr>
              <w:t>З огляду на високі показники СВВ12</w:t>
            </w:r>
            <w:r w:rsidR="00684F93">
              <w:rPr>
                <w:rFonts w:ascii="Times New Roman" w:hAnsi="Times New Roman" w:cs="Times New Roman"/>
                <w:lang w:val="uk-UA"/>
              </w:rPr>
              <w:t xml:space="preserve"> </w:t>
            </w:r>
            <w:r w:rsidRPr="00BA5C0A">
              <w:rPr>
                <w:rFonts w:ascii="Times New Roman" w:hAnsi="Times New Roman" w:cs="Times New Roman"/>
                <w:lang w:val="uk-UA"/>
              </w:rPr>
              <w:t>у всіх групах пацієнтів, якщо вони сформували прихильність до лікування, перевірка СВВ12 через 12 тижнів після закінчення лікування є необов’язковою (B1).</w:t>
            </w:r>
          </w:p>
          <w:p w14:paraId="30F2DDCB" w14:textId="14BD0563" w:rsidR="00BA5C0A" w:rsidRPr="00BA5C0A" w:rsidRDefault="00BA5C0A" w:rsidP="00015E3B">
            <w:pPr>
              <w:numPr>
                <w:ilvl w:val="0"/>
                <w:numId w:val="35"/>
              </w:numPr>
              <w:tabs>
                <w:tab w:val="left" w:pos="1119"/>
              </w:tabs>
              <w:contextualSpacing/>
              <w:jc w:val="both"/>
              <w:rPr>
                <w:rFonts w:ascii="Times New Roman" w:hAnsi="Times New Roman" w:cs="Times New Roman"/>
                <w:lang w:val="uk-UA"/>
              </w:rPr>
            </w:pPr>
            <w:r w:rsidRPr="00BA5C0A">
              <w:rPr>
                <w:rFonts w:ascii="Times New Roman" w:hAnsi="Times New Roman" w:cs="Times New Roman"/>
                <w:lang w:val="uk-UA"/>
              </w:rPr>
              <w:t>Пацієнти</w:t>
            </w:r>
            <w:r w:rsidR="00684F93">
              <w:rPr>
                <w:rFonts w:ascii="Times New Roman" w:hAnsi="Times New Roman" w:cs="Times New Roman"/>
                <w:lang w:val="uk-UA"/>
              </w:rPr>
              <w:t>, які мають підвищений ризик щодо</w:t>
            </w:r>
            <w:r w:rsidRPr="00BA5C0A">
              <w:rPr>
                <w:rFonts w:ascii="Times New Roman" w:hAnsi="Times New Roman" w:cs="Times New Roman"/>
                <w:lang w:val="uk-UA"/>
              </w:rPr>
              <w:t xml:space="preserve"> реінфекції повинні перевіряти</w:t>
            </w:r>
            <w:r w:rsidR="00557239">
              <w:rPr>
                <w:rFonts w:ascii="Times New Roman" w:hAnsi="Times New Roman" w:cs="Times New Roman"/>
                <w:lang w:val="uk-UA"/>
              </w:rPr>
              <w:t>ся на досягнення</w:t>
            </w:r>
            <w:r w:rsidRPr="00BA5C0A">
              <w:rPr>
                <w:rFonts w:ascii="Times New Roman" w:hAnsi="Times New Roman" w:cs="Times New Roman"/>
                <w:lang w:val="uk-UA"/>
              </w:rPr>
              <w:t xml:space="preserve"> СВВ12</w:t>
            </w:r>
            <w:r w:rsidR="00684F93">
              <w:rPr>
                <w:rFonts w:ascii="Times New Roman" w:hAnsi="Times New Roman" w:cs="Times New Roman"/>
                <w:lang w:val="uk-UA"/>
              </w:rPr>
              <w:t xml:space="preserve"> та проходити щорічне тестування </w:t>
            </w:r>
            <w:r w:rsidRPr="00BA5C0A">
              <w:rPr>
                <w:rFonts w:ascii="Times New Roman" w:hAnsi="Times New Roman" w:cs="Times New Roman"/>
                <w:lang w:val="uk-UA"/>
              </w:rPr>
              <w:t>після закінчення лікування, якщо це можливо (B1).</w:t>
            </w:r>
          </w:p>
          <w:p w14:paraId="703378A1" w14:textId="32846D79" w:rsidR="00BA5C0A" w:rsidRPr="00BA5C0A" w:rsidRDefault="00BA5C0A" w:rsidP="00015E3B">
            <w:pPr>
              <w:numPr>
                <w:ilvl w:val="0"/>
                <w:numId w:val="35"/>
              </w:numPr>
              <w:tabs>
                <w:tab w:val="left" w:pos="1119"/>
              </w:tabs>
              <w:contextualSpacing/>
              <w:jc w:val="both"/>
              <w:rPr>
                <w:rFonts w:ascii="Times New Roman" w:hAnsi="Times New Roman" w:cs="Times New Roman"/>
                <w:lang w:val="uk-UA"/>
              </w:rPr>
            </w:pPr>
            <w:r w:rsidRPr="00BA5C0A">
              <w:rPr>
                <w:rFonts w:ascii="Times New Roman" w:hAnsi="Times New Roman" w:cs="Times New Roman"/>
                <w:lang w:val="uk-UA"/>
              </w:rPr>
              <w:t xml:space="preserve">У пацієнтів із </w:t>
            </w:r>
            <w:r w:rsidR="00684F93">
              <w:rPr>
                <w:rFonts w:ascii="Times New Roman" w:hAnsi="Times New Roman" w:cs="Times New Roman"/>
                <w:lang w:val="uk-UA"/>
              </w:rPr>
              <w:t>вираженим</w:t>
            </w:r>
            <w:r w:rsidRPr="00BA5C0A">
              <w:rPr>
                <w:rFonts w:ascii="Times New Roman" w:hAnsi="Times New Roman" w:cs="Times New Roman"/>
                <w:lang w:val="uk-UA"/>
              </w:rPr>
              <w:t xml:space="preserve"> фіброзом (F3) або компенсованим цирозом (F4) слід проводити спостереження після </w:t>
            </w:r>
            <w:r w:rsidR="00684F93">
              <w:rPr>
                <w:rFonts w:ascii="Times New Roman" w:hAnsi="Times New Roman" w:cs="Times New Roman"/>
                <w:lang w:val="uk-UA"/>
              </w:rPr>
              <w:t xml:space="preserve">досягнення </w:t>
            </w:r>
            <w:r w:rsidRPr="00BA5C0A">
              <w:rPr>
                <w:rFonts w:ascii="Times New Roman" w:hAnsi="Times New Roman" w:cs="Times New Roman"/>
                <w:lang w:val="uk-UA"/>
              </w:rPr>
              <w:t xml:space="preserve">СВВ </w:t>
            </w:r>
            <w:r w:rsidR="00684F93">
              <w:rPr>
                <w:rFonts w:ascii="Times New Roman" w:hAnsi="Times New Roman" w:cs="Times New Roman"/>
                <w:lang w:val="uk-UA"/>
              </w:rPr>
              <w:t xml:space="preserve">щодо можливої </w:t>
            </w:r>
            <w:r w:rsidRPr="00BA5C0A">
              <w:rPr>
                <w:rFonts w:ascii="Times New Roman" w:hAnsi="Times New Roman" w:cs="Times New Roman"/>
                <w:lang w:val="uk-UA"/>
              </w:rPr>
              <w:t>ГЦК, якщо лікування ГКЦ є доступним (A1)</w:t>
            </w:r>
          </w:p>
        </w:tc>
      </w:tr>
    </w:tbl>
    <w:p w14:paraId="17E70CC3" w14:textId="2EF3876D" w:rsidR="00BA5C0A" w:rsidRDefault="00BA5C0A" w:rsidP="00BA5C0A">
      <w:pPr>
        <w:jc w:val="both"/>
        <w:rPr>
          <w:rFonts w:ascii="Times New Roman" w:hAnsi="Times New Roman" w:cs="Times New Roman"/>
          <w:lang w:val="uk-UA"/>
        </w:rPr>
      </w:pPr>
    </w:p>
    <w:p w14:paraId="4F9F3989" w14:textId="77777777" w:rsidR="00652F9A" w:rsidRPr="00BA5C0A" w:rsidRDefault="00652F9A" w:rsidP="00BA5C0A">
      <w:pPr>
        <w:jc w:val="both"/>
        <w:rPr>
          <w:rFonts w:ascii="Times New Roman" w:hAnsi="Times New Roman" w:cs="Times New Roman"/>
          <w:lang w:val="uk-UA"/>
        </w:rPr>
      </w:pPr>
    </w:p>
    <w:p w14:paraId="15E148FE" w14:textId="316031E1" w:rsidR="00BA5C0A" w:rsidRPr="00B01259" w:rsidRDefault="00BA5C0A" w:rsidP="00ED0AFD">
      <w:pPr>
        <w:tabs>
          <w:tab w:val="left" w:pos="957"/>
        </w:tabs>
        <w:jc w:val="both"/>
        <w:rPr>
          <w:rFonts w:ascii="Times New Roman" w:hAnsi="Times New Roman" w:cs="Times New Roman"/>
          <w:b/>
          <w:sz w:val="32"/>
          <w:szCs w:val="32"/>
          <w:lang w:val="uk-UA"/>
        </w:rPr>
      </w:pPr>
      <w:r w:rsidRPr="00B01259">
        <w:rPr>
          <w:rFonts w:ascii="Times New Roman" w:hAnsi="Times New Roman" w:cs="Times New Roman"/>
          <w:b/>
          <w:color w:val="4472C4" w:themeColor="accent5"/>
          <w:sz w:val="32"/>
          <w:szCs w:val="32"/>
          <w:lang w:val="uk-UA"/>
        </w:rPr>
        <w:t>Лікування хворих із важким захворюванням печінки з показаннями або без показань до трансплантації печінки та пацієнтів після трансплантації печінки</w:t>
      </w:r>
    </w:p>
    <w:p w14:paraId="7EBA076F" w14:textId="77777777" w:rsidR="00BA5C0A" w:rsidRPr="00BA5C0A" w:rsidRDefault="00BA5C0A" w:rsidP="00BA5C0A">
      <w:pPr>
        <w:tabs>
          <w:tab w:val="left" w:pos="957"/>
        </w:tabs>
        <w:jc w:val="both"/>
        <w:rPr>
          <w:rFonts w:ascii="Times New Roman" w:hAnsi="Times New Roman" w:cs="Times New Roman"/>
          <w:lang w:val="uk-UA"/>
        </w:rPr>
      </w:pPr>
    </w:p>
    <w:p w14:paraId="41BC16A3" w14:textId="26D8A861" w:rsidR="00BA5C0A" w:rsidRPr="00BA5C0A" w:rsidRDefault="00BA5C0A" w:rsidP="00BA5C0A">
      <w:pPr>
        <w:tabs>
          <w:tab w:val="left" w:pos="957"/>
        </w:tabs>
        <w:jc w:val="both"/>
        <w:rPr>
          <w:rFonts w:ascii="Times New Roman" w:hAnsi="Times New Roman" w:cs="Times New Roman"/>
          <w:lang w:val="uk-UA"/>
        </w:rPr>
      </w:pPr>
      <w:r w:rsidRPr="00BA5C0A">
        <w:rPr>
          <w:rFonts w:ascii="Times New Roman" w:hAnsi="Times New Roman" w:cs="Times New Roman"/>
          <w:lang w:val="uk-UA"/>
        </w:rPr>
        <w:t xml:space="preserve">Безінтерферонові схеми, засновані на ПППД, є найбільш </w:t>
      </w:r>
      <w:r w:rsidR="00684F93">
        <w:rPr>
          <w:rFonts w:ascii="Times New Roman" w:hAnsi="Times New Roman" w:cs="Times New Roman"/>
          <w:lang w:val="uk-UA"/>
        </w:rPr>
        <w:t xml:space="preserve">оптимальним варіантом </w:t>
      </w:r>
      <w:r w:rsidRPr="00BA5C0A">
        <w:rPr>
          <w:rFonts w:ascii="Times New Roman" w:hAnsi="Times New Roman" w:cs="Times New Roman"/>
          <w:lang w:val="uk-UA"/>
        </w:rPr>
        <w:t>для пацієнтів з декомпенсованим (Child</w:t>
      </w:r>
      <w:r w:rsidR="00FC6D8A">
        <w:rPr>
          <w:rFonts w:ascii="Times New Roman" w:hAnsi="Times New Roman" w:cs="Times New Roman"/>
          <w:lang w:val="uk-UA"/>
        </w:rPr>
        <w:t>–</w:t>
      </w:r>
      <w:r w:rsidRPr="00BA5C0A">
        <w:rPr>
          <w:rFonts w:ascii="Times New Roman" w:hAnsi="Times New Roman" w:cs="Times New Roman"/>
          <w:lang w:val="uk-UA"/>
        </w:rPr>
        <w:t>Pugh B або C) захворюванням печінки. Інгібітори протеаз протипоказані для цієї групи</w:t>
      </w:r>
      <w:r w:rsidR="00684F93">
        <w:rPr>
          <w:rFonts w:ascii="Times New Roman" w:hAnsi="Times New Roman" w:cs="Times New Roman"/>
          <w:lang w:val="uk-UA"/>
        </w:rPr>
        <w:t xml:space="preserve"> пацієнтів.</w:t>
      </w:r>
    </w:p>
    <w:p w14:paraId="67BD3D42" w14:textId="77777777" w:rsidR="00BA5C0A" w:rsidRPr="00BA5C0A" w:rsidRDefault="00BA5C0A" w:rsidP="00BA5C0A">
      <w:pPr>
        <w:jc w:val="both"/>
        <w:rPr>
          <w:rFonts w:ascii="Times New Roman" w:hAnsi="Times New Roman" w:cs="Times New Roman"/>
          <w:lang w:val="uk-U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A5C0A" w:rsidRPr="0080595E" w14:paraId="7A43FCC4" w14:textId="77777777" w:rsidTr="00544369">
        <w:trPr>
          <w:trHeight w:val="544"/>
        </w:trPr>
        <w:tc>
          <w:tcPr>
            <w:tcW w:w="9607" w:type="dxa"/>
            <w:shd w:val="clear" w:color="auto" w:fill="BDD6EE" w:themeFill="accent1" w:themeFillTint="66"/>
          </w:tcPr>
          <w:p w14:paraId="61E40935" w14:textId="77777777" w:rsidR="00BA5C0A" w:rsidRPr="00BA5C0A" w:rsidRDefault="00BA5C0A" w:rsidP="00BA5C0A">
            <w:pPr>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Рекомендації</w:t>
            </w:r>
          </w:p>
          <w:p w14:paraId="0442163E" w14:textId="77777777" w:rsidR="00BA5C0A" w:rsidRPr="00BA5C0A" w:rsidRDefault="00BA5C0A" w:rsidP="00BA5C0A">
            <w:pPr>
              <w:jc w:val="both"/>
              <w:rPr>
                <w:rFonts w:ascii="Times New Roman" w:hAnsi="Times New Roman" w:cs="Times New Roman"/>
                <w:b/>
                <w:color w:val="4472C4" w:themeColor="accent5"/>
                <w:lang w:val="uk-UA"/>
              </w:rPr>
            </w:pPr>
          </w:p>
          <w:p w14:paraId="765BEFC8" w14:textId="76606518" w:rsidR="00BA5C0A" w:rsidRPr="00BA5C0A" w:rsidRDefault="00BA5C0A" w:rsidP="00015E3B">
            <w:pPr>
              <w:numPr>
                <w:ilvl w:val="0"/>
                <w:numId w:val="36"/>
              </w:numPr>
              <w:contextualSpacing/>
              <w:jc w:val="both"/>
              <w:rPr>
                <w:rFonts w:ascii="Times New Roman" w:hAnsi="Times New Roman" w:cs="Times New Roman"/>
                <w:lang w:val="uk-UA"/>
              </w:rPr>
            </w:pPr>
            <w:r w:rsidRPr="00BA5C0A">
              <w:rPr>
                <w:rFonts w:ascii="Times New Roman" w:hAnsi="Times New Roman" w:cs="Times New Roman"/>
                <w:lang w:val="uk-UA"/>
              </w:rPr>
              <w:t>Без</w:t>
            </w:r>
            <w:r w:rsidR="009C10CF">
              <w:rPr>
                <w:rFonts w:ascii="Times New Roman" w:hAnsi="Times New Roman" w:cs="Times New Roman"/>
                <w:lang w:val="uk-UA"/>
              </w:rPr>
              <w:t>інтерферонові</w:t>
            </w:r>
            <w:r w:rsidRPr="00BA5C0A">
              <w:rPr>
                <w:rFonts w:ascii="Times New Roman" w:hAnsi="Times New Roman" w:cs="Times New Roman"/>
                <w:lang w:val="uk-UA"/>
              </w:rPr>
              <w:t xml:space="preserve"> схеми є єдиними варіантами для </w:t>
            </w:r>
            <w:r w:rsidR="00216285">
              <w:rPr>
                <w:rFonts w:ascii="Times New Roman" w:hAnsi="Times New Roman" w:cs="Times New Roman"/>
                <w:lang w:val="uk-UA"/>
              </w:rPr>
              <w:t xml:space="preserve">лікування хворих з </w:t>
            </w:r>
            <w:r w:rsidRPr="00BA5C0A">
              <w:rPr>
                <w:rFonts w:ascii="Times New Roman" w:hAnsi="Times New Roman" w:cs="Times New Roman"/>
                <w:lang w:val="uk-UA"/>
              </w:rPr>
              <w:t>ВГС та пацієнтів</w:t>
            </w:r>
            <w:r w:rsidR="00525692">
              <w:rPr>
                <w:rFonts w:ascii="Times New Roman" w:hAnsi="Times New Roman" w:cs="Times New Roman"/>
                <w:lang w:val="uk-UA"/>
              </w:rPr>
              <w:t xml:space="preserve"> з коінфекцією ВІЛ/ВГС</w:t>
            </w:r>
            <w:r w:rsidRPr="00BA5C0A">
              <w:rPr>
                <w:rFonts w:ascii="Times New Roman" w:hAnsi="Times New Roman" w:cs="Times New Roman"/>
                <w:lang w:val="uk-UA"/>
              </w:rPr>
              <w:t xml:space="preserve"> з декомпенсованим (Child</w:t>
            </w:r>
            <w:r w:rsidR="00FC6D8A">
              <w:rPr>
                <w:rFonts w:ascii="Times New Roman" w:hAnsi="Times New Roman" w:cs="Times New Roman"/>
                <w:lang w:val="uk-UA"/>
              </w:rPr>
              <w:t>–</w:t>
            </w:r>
            <w:r w:rsidRPr="00BA5C0A">
              <w:rPr>
                <w:rFonts w:ascii="Times New Roman" w:hAnsi="Times New Roman" w:cs="Times New Roman"/>
                <w:lang w:val="uk-UA"/>
              </w:rPr>
              <w:t>Pugh B або C) цирозо</w:t>
            </w:r>
            <w:r w:rsidR="009C10CF">
              <w:rPr>
                <w:rFonts w:ascii="Times New Roman" w:hAnsi="Times New Roman" w:cs="Times New Roman"/>
                <w:lang w:val="uk-UA"/>
              </w:rPr>
              <w:t>м</w:t>
            </w:r>
            <w:r w:rsidRPr="00BA5C0A">
              <w:rPr>
                <w:rFonts w:ascii="Times New Roman" w:hAnsi="Times New Roman" w:cs="Times New Roman"/>
                <w:lang w:val="uk-UA"/>
              </w:rPr>
              <w:t xml:space="preserve">, з показаннями </w:t>
            </w:r>
            <w:r w:rsidR="009C10CF">
              <w:rPr>
                <w:rFonts w:ascii="Times New Roman" w:hAnsi="Times New Roman" w:cs="Times New Roman"/>
                <w:lang w:val="uk-UA"/>
              </w:rPr>
              <w:t xml:space="preserve">до </w:t>
            </w:r>
            <w:r w:rsidRPr="00BA5C0A">
              <w:rPr>
                <w:rFonts w:ascii="Times New Roman" w:hAnsi="Times New Roman" w:cs="Times New Roman"/>
                <w:lang w:val="uk-UA"/>
              </w:rPr>
              <w:t>трансплантації печінки або без них, а також у пацієнтів після трансплантації печінки через їх вірусологічну ефективність, легкість використання, безпеку та переносимість (A1).</w:t>
            </w:r>
          </w:p>
          <w:p w14:paraId="400AD2C1" w14:textId="17CDE117" w:rsidR="00BA5C0A" w:rsidRPr="00BA5C0A" w:rsidRDefault="008120D2" w:rsidP="00015E3B">
            <w:pPr>
              <w:numPr>
                <w:ilvl w:val="0"/>
                <w:numId w:val="36"/>
              </w:numPr>
              <w:contextualSpacing/>
              <w:jc w:val="both"/>
              <w:rPr>
                <w:rFonts w:ascii="Times New Roman" w:hAnsi="Times New Roman" w:cs="Times New Roman"/>
                <w:lang w:val="uk-UA"/>
              </w:rPr>
            </w:pPr>
            <w:r>
              <w:rPr>
                <w:rFonts w:ascii="Times New Roman" w:hAnsi="Times New Roman" w:cs="Times New Roman"/>
                <w:lang w:val="uk-UA"/>
              </w:rPr>
              <w:t>Схеми</w:t>
            </w:r>
            <w:r w:rsidR="00BA5C0A" w:rsidRPr="00BA5C0A">
              <w:rPr>
                <w:rFonts w:ascii="Times New Roman" w:hAnsi="Times New Roman" w:cs="Times New Roman"/>
                <w:lang w:val="uk-UA"/>
              </w:rPr>
              <w:t>, що містять інгібітор протеази, протипоказані пацієнтам з декомпенсованим цирозом (Child</w:t>
            </w:r>
            <w:r w:rsidR="00FC6D8A">
              <w:rPr>
                <w:rFonts w:ascii="Times New Roman" w:hAnsi="Times New Roman" w:cs="Times New Roman"/>
                <w:lang w:val="uk-UA"/>
              </w:rPr>
              <w:t>–</w:t>
            </w:r>
            <w:r w:rsidR="00BA5C0A" w:rsidRPr="00BA5C0A">
              <w:rPr>
                <w:rFonts w:ascii="Times New Roman" w:hAnsi="Times New Roman" w:cs="Times New Roman"/>
                <w:lang w:val="uk-UA"/>
              </w:rPr>
              <w:t>Pugh B або C) (A1)</w:t>
            </w:r>
          </w:p>
        </w:tc>
      </w:tr>
    </w:tbl>
    <w:p w14:paraId="1D44F66C" w14:textId="77777777" w:rsidR="00BA5C0A" w:rsidRPr="00BA5C0A" w:rsidRDefault="00BA5C0A" w:rsidP="00BA5C0A">
      <w:pPr>
        <w:jc w:val="both"/>
        <w:rPr>
          <w:rFonts w:ascii="Times New Roman" w:hAnsi="Times New Roman" w:cs="Times New Roman"/>
          <w:lang w:val="uk-UA"/>
        </w:rPr>
      </w:pPr>
    </w:p>
    <w:p w14:paraId="79AE5397" w14:textId="77777777" w:rsidR="00BA5C0A" w:rsidRPr="00B01259" w:rsidRDefault="00BA5C0A" w:rsidP="00BA5C0A">
      <w:pPr>
        <w:jc w:val="both"/>
        <w:rPr>
          <w:rFonts w:ascii="Times New Roman" w:hAnsi="Times New Roman" w:cs="Times New Roman"/>
          <w:b/>
          <w:color w:val="4472C4" w:themeColor="accent5"/>
          <w:sz w:val="32"/>
          <w:szCs w:val="32"/>
          <w:lang w:val="uk-UA"/>
        </w:rPr>
      </w:pPr>
      <w:r w:rsidRPr="00B01259">
        <w:rPr>
          <w:rFonts w:ascii="Times New Roman" w:hAnsi="Times New Roman" w:cs="Times New Roman"/>
          <w:b/>
          <w:color w:val="4472C4" w:themeColor="accent5"/>
          <w:sz w:val="32"/>
          <w:szCs w:val="32"/>
          <w:lang w:val="uk-UA"/>
        </w:rPr>
        <w:t>Пацієнти з декомпенсованим цирозом печінки, без ГКЦ, із показаннями до трансплантації печінки</w:t>
      </w:r>
    </w:p>
    <w:p w14:paraId="618D99A5" w14:textId="77777777" w:rsidR="008120D2" w:rsidRDefault="008120D2" w:rsidP="00BA5C0A">
      <w:pPr>
        <w:jc w:val="both"/>
        <w:rPr>
          <w:rFonts w:ascii="Times New Roman" w:hAnsi="Times New Roman" w:cs="Times New Roman"/>
          <w:lang w:val="uk-UA"/>
        </w:rPr>
      </w:pPr>
    </w:p>
    <w:p w14:paraId="5793F1FF" w14:textId="64E33032" w:rsidR="008120D2" w:rsidRDefault="008120D2" w:rsidP="00BA5C0A">
      <w:pPr>
        <w:jc w:val="both"/>
        <w:rPr>
          <w:rFonts w:ascii="Times New Roman" w:hAnsi="Times New Roman" w:cs="Times New Roman"/>
          <w:lang w:val="uk-UA"/>
        </w:rPr>
      </w:pPr>
      <w:r w:rsidRPr="008120D2">
        <w:rPr>
          <w:rFonts w:ascii="Times New Roman" w:hAnsi="Times New Roman" w:cs="Times New Roman"/>
          <w:lang w:val="uk-UA"/>
        </w:rPr>
        <w:t xml:space="preserve">Трансплантація печінки </w:t>
      </w:r>
      <w:r w:rsidR="00FC6D8A">
        <w:rPr>
          <w:rFonts w:ascii="Times New Roman" w:hAnsi="Times New Roman" w:cs="Times New Roman"/>
          <w:lang w:val="uk-UA"/>
        </w:rPr>
        <w:t>–</w:t>
      </w:r>
      <w:r w:rsidRPr="008120D2">
        <w:rPr>
          <w:rFonts w:ascii="Times New Roman" w:hAnsi="Times New Roman" w:cs="Times New Roman"/>
          <w:lang w:val="uk-UA"/>
        </w:rPr>
        <w:t xml:space="preserve"> це вибір для пацієнтів з </w:t>
      </w:r>
      <w:r w:rsidR="00216285">
        <w:rPr>
          <w:rFonts w:ascii="Times New Roman" w:hAnsi="Times New Roman" w:cs="Times New Roman"/>
          <w:lang w:val="uk-UA"/>
        </w:rPr>
        <w:t>термінальною</w:t>
      </w:r>
      <w:r w:rsidR="00216285" w:rsidRPr="008120D2">
        <w:rPr>
          <w:rFonts w:ascii="Times New Roman" w:hAnsi="Times New Roman" w:cs="Times New Roman"/>
          <w:lang w:val="uk-UA"/>
        </w:rPr>
        <w:t xml:space="preserve"> </w:t>
      </w:r>
      <w:r w:rsidRPr="008120D2">
        <w:rPr>
          <w:rFonts w:ascii="Times New Roman" w:hAnsi="Times New Roman" w:cs="Times New Roman"/>
          <w:lang w:val="uk-UA"/>
        </w:rPr>
        <w:t>стадією хвороби печінки. Рецидив гепатиту</w:t>
      </w:r>
      <w:r w:rsidR="00781F33">
        <w:rPr>
          <w:rFonts w:ascii="Times New Roman" w:hAnsi="Times New Roman" w:cs="Times New Roman"/>
          <w:lang w:val="uk-UA"/>
        </w:rPr>
        <w:t xml:space="preserve"> </w:t>
      </w:r>
      <w:r w:rsidRPr="008120D2">
        <w:rPr>
          <w:rFonts w:ascii="Times New Roman" w:hAnsi="Times New Roman" w:cs="Times New Roman"/>
          <w:lang w:val="uk-UA"/>
        </w:rPr>
        <w:t>С внаслідок інфікування трансплант</w:t>
      </w:r>
      <w:r w:rsidR="00781F33">
        <w:rPr>
          <w:rFonts w:ascii="Times New Roman" w:hAnsi="Times New Roman" w:cs="Times New Roman"/>
          <w:lang w:val="uk-UA"/>
        </w:rPr>
        <w:t>ованої печінки</w:t>
      </w:r>
      <w:r w:rsidRPr="008120D2">
        <w:rPr>
          <w:rFonts w:ascii="Times New Roman" w:hAnsi="Times New Roman" w:cs="Times New Roman"/>
          <w:lang w:val="uk-UA"/>
        </w:rPr>
        <w:t xml:space="preserve"> є розповсюдженим явищем після трансплантації за відсутності профілактики</w:t>
      </w:r>
      <w:r w:rsidRPr="00557239">
        <w:rPr>
          <w:rFonts w:ascii="Times New Roman" w:hAnsi="Times New Roman" w:cs="Times New Roman"/>
          <w:vertAlign w:val="superscript"/>
          <w:lang w:val="uk-UA"/>
        </w:rPr>
        <w:t>114</w:t>
      </w:r>
      <w:r w:rsidRPr="008120D2">
        <w:rPr>
          <w:rFonts w:ascii="Times New Roman" w:hAnsi="Times New Roman" w:cs="Times New Roman"/>
          <w:lang w:val="uk-UA"/>
        </w:rPr>
        <w:t xml:space="preserve">, а тривалість життя </w:t>
      </w:r>
      <w:r w:rsidR="00781F33">
        <w:rPr>
          <w:rFonts w:ascii="Times New Roman" w:hAnsi="Times New Roman" w:cs="Times New Roman"/>
          <w:lang w:val="uk-UA"/>
        </w:rPr>
        <w:t xml:space="preserve">хворого після </w:t>
      </w:r>
      <w:r w:rsidRPr="008120D2">
        <w:rPr>
          <w:rFonts w:ascii="Times New Roman" w:hAnsi="Times New Roman" w:cs="Times New Roman"/>
          <w:lang w:val="uk-UA"/>
        </w:rPr>
        <w:t>тра</w:t>
      </w:r>
      <w:r w:rsidR="00781F33">
        <w:rPr>
          <w:rFonts w:ascii="Times New Roman" w:hAnsi="Times New Roman" w:cs="Times New Roman"/>
          <w:lang w:val="uk-UA"/>
        </w:rPr>
        <w:t>нсплантації</w:t>
      </w:r>
      <w:r w:rsidRPr="008120D2">
        <w:rPr>
          <w:rFonts w:ascii="Times New Roman" w:hAnsi="Times New Roman" w:cs="Times New Roman"/>
          <w:lang w:val="uk-UA"/>
        </w:rPr>
        <w:t xml:space="preserve"> зменшу</w:t>
      </w:r>
      <w:r w:rsidR="00781F33">
        <w:rPr>
          <w:rFonts w:ascii="Times New Roman" w:hAnsi="Times New Roman" w:cs="Times New Roman"/>
          <w:lang w:val="uk-UA"/>
        </w:rPr>
        <w:t>є</w:t>
      </w:r>
      <w:r w:rsidRPr="008120D2">
        <w:rPr>
          <w:rFonts w:ascii="Times New Roman" w:hAnsi="Times New Roman" w:cs="Times New Roman"/>
          <w:lang w:val="uk-UA"/>
        </w:rPr>
        <w:t>ться у пацієнтів з рецидивуючим гепатитом С</w:t>
      </w:r>
      <w:r>
        <w:rPr>
          <w:rFonts w:ascii="Times New Roman" w:hAnsi="Times New Roman" w:cs="Times New Roman"/>
          <w:lang w:val="uk-UA"/>
        </w:rPr>
        <w:t>.</w:t>
      </w:r>
    </w:p>
    <w:p w14:paraId="099290A5" w14:textId="77777777" w:rsidR="007C2A3A" w:rsidRDefault="007C2A3A" w:rsidP="00BA5C0A">
      <w:pPr>
        <w:jc w:val="both"/>
        <w:rPr>
          <w:rFonts w:ascii="Times New Roman" w:hAnsi="Times New Roman" w:cs="Times New Roman"/>
          <w:lang w:val="uk-UA"/>
        </w:rPr>
      </w:pPr>
    </w:p>
    <w:p w14:paraId="34EAA03D" w14:textId="3E886CE3" w:rsidR="0073225F" w:rsidRDefault="00BA5C0A" w:rsidP="00BA5C0A">
      <w:pPr>
        <w:jc w:val="both"/>
        <w:rPr>
          <w:rFonts w:ascii="Times New Roman" w:hAnsi="Times New Roman" w:cs="Times New Roman"/>
          <w:lang w:val="uk-UA"/>
        </w:rPr>
      </w:pPr>
      <w:r w:rsidRPr="00BA5C0A">
        <w:rPr>
          <w:rFonts w:ascii="Times New Roman" w:hAnsi="Times New Roman" w:cs="Times New Roman"/>
          <w:lang w:val="uk-UA"/>
        </w:rPr>
        <w:t>Лікування пацієнтів, які очікують на трансплантацію печінки, має дві додаткові мети: запобігання і</w:t>
      </w:r>
      <w:r w:rsidR="00781F33">
        <w:rPr>
          <w:rFonts w:ascii="Times New Roman" w:hAnsi="Times New Roman" w:cs="Times New Roman"/>
          <w:lang w:val="uk-UA"/>
        </w:rPr>
        <w:t>н</w:t>
      </w:r>
      <w:r w:rsidRPr="00BA5C0A">
        <w:rPr>
          <w:rFonts w:ascii="Times New Roman" w:hAnsi="Times New Roman" w:cs="Times New Roman"/>
          <w:lang w:val="uk-UA"/>
        </w:rPr>
        <w:t>фікуванн</w:t>
      </w:r>
      <w:r w:rsidR="00781F33">
        <w:rPr>
          <w:rFonts w:ascii="Times New Roman" w:hAnsi="Times New Roman" w:cs="Times New Roman"/>
          <w:lang w:val="uk-UA"/>
        </w:rPr>
        <w:t>ю</w:t>
      </w:r>
      <w:r w:rsidRPr="00BA5C0A">
        <w:rPr>
          <w:rFonts w:ascii="Times New Roman" w:hAnsi="Times New Roman" w:cs="Times New Roman"/>
          <w:lang w:val="uk-UA"/>
        </w:rPr>
        <w:t xml:space="preserve"> печінки після трансплантації шляхом досягнення вірусного кліренсу та стабілізаці</w:t>
      </w:r>
      <w:r w:rsidR="00216285">
        <w:rPr>
          <w:rFonts w:ascii="Times New Roman" w:hAnsi="Times New Roman" w:cs="Times New Roman"/>
          <w:lang w:val="uk-UA"/>
        </w:rPr>
        <w:t>я</w:t>
      </w:r>
      <w:r w:rsidRPr="00BA5C0A">
        <w:rPr>
          <w:rFonts w:ascii="Times New Roman" w:hAnsi="Times New Roman" w:cs="Times New Roman"/>
          <w:lang w:val="uk-UA"/>
        </w:rPr>
        <w:t xml:space="preserve"> або поліпшення функції печінки перед трансплантацією. У деяких регіонах</w:t>
      </w:r>
      <w:r w:rsidR="00216285">
        <w:rPr>
          <w:rFonts w:ascii="Times New Roman" w:hAnsi="Times New Roman" w:cs="Times New Roman"/>
          <w:lang w:val="uk-UA"/>
        </w:rPr>
        <w:t>,</w:t>
      </w:r>
      <w:r w:rsidRPr="00BA5C0A">
        <w:rPr>
          <w:rFonts w:ascii="Times New Roman" w:hAnsi="Times New Roman" w:cs="Times New Roman"/>
          <w:lang w:val="uk-UA"/>
        </w:rPr>
        <w:t xml:space="preserve"> лікування ВГС</w:t>
      </w:r>
      <w:r w:rsidR="00FC6D8A">
        <w:rPr>
          <w:rFonts w:ascii="Times New Roman" w:hAnsi="Times New Roman" w:cs="Times New Roman"/>
          <w:lang w:val="uk-UA"/>
        </w:rPr>
        <w:t>–</w:t>
      </w:r>
      <w:r w:rsidRPr="00BA5C0A">
        <w:rPr>
          <w:rFonts w:ascii="Times New Roman" w:hAnsi="Times New Roman" w:cs="Times New Roman"/>
          <w:lang w:val="uk-UA"/>
        </w:rPr>
        <w:t>інфекції підвищує доступ до трансплант</w:t>
      </w:r>
      <w:r w:rsidR="008A0E13">
        <w:rPr>
          <w:rFonts w:ascii="Times New Roman" w:hAnsi="Times New Roman" w:cs="Times New Roman"/>
          <w:lang w:val="uk-UA"/>
        </w:rPr>
        <w:t>ації</w:t>
      </w:r>
      <w:r w:rsidRPr="00BA5C0A">
        <w:rPr>
          <w:rFonts w:ascii="Times New Roman" w:hAnsi="Times New Roman" w:cs="Times New Roman"/>
          <w:lang w:val="uk-UA"/>
        </w:rPr>
        <w:t xml:space="preserve">, </w:t>
      </w:r>
      <w:r w:rsidR="008A0E13">
        <w:rPr>
          <w:rFonts w:ascii="Times New Roman" w:hAnsi="Times New Roman" w:cs="Times New Roman"/>
          <w:lang w:val="uk-UA"/>
        </w:rPr>
        <w:t>що</w:t>
      </w:r>
      <w:r w:rsidRPr="00BA5C0A">
        <w:rPr>
          <w:rFonts w:ascii="Times New Roman" w:hAnsi="Times New Roman" w:cs="Times New Roman"/>
          <w:lang w:val="uk-UA"/>
        </w:rPr>
        <w:t xml:space="preserve"> не мож</w:t>
      </w:r>
      <w:r w:rsidR="008A0E13">
        <w:rPr>
          <w:rFonts w:ascii="Times New Roman" w:hAnsi="Times New Roman" w:cs="Times New Roman"/>
          <w:lang w:val="uk-UA"/>
        </w:rPr>
        <w:t>е</w:t>
      </w:r>
      <w:r w:rsidRPr="00BA5C0A">
        <w:rPr>
          <w:rFonts w:ascii="Times New Roman" w:hAnsi="Times New Roman" w:cs="Times New Roman"/>
          <w:lang w:val="uk-UA"/>
        </w:rPr>
        <w:t xml:space="preserve"> бути доступн</w:t>
      </w:r>
      <w:r w:rsidR="008A0E13">
        <w:rPr>
          <w:rFonts w:ascii="Times New Roman" w:hAnsi="Times New Roman" w:cs="Times New Roman"/>
          <w:lang w:val="uk-UA"/>
        </w:rPr>
        <w:t>ою</w:t>
      </w:r>
      <w:r w:rsidRPr="00BA5C0A">
        <w:rPr>
          <w:rFonts w:ascii="Times New Roman" w:hAnsi="Times New Roman" w:cs="Times New Roman"/>
          <w:lang w:val="uk-UA"/>
        </w:rPr>
        <w:t xml:space="preserve"> для пацієнтів з наявною ВГС</w:t>
      </w:r>
      <w:r w:rsidR="00FC6D8A">
        <w:rPr>
          <w:rFonts w:ascii="Times New Roman" w:hAnsi="Times New Roman" w:cs="Times New Roman"/>
          <w:lang w:val="uk-UA"/>
        </w:rPr>
        <w:t>–</w:t>
      </w:r>
      <w:r w:rsidRPr="00BA5C0A">
        <w:rPr>
          <w:rFonts w:ascii="Times New Roman" w:hAnsi="Times New Roman" w:cs="Times New Roman"/>
          <w:lang w:val="uk-UA"/>
        </w:rPr>
        <w:t xml:space="preserve">інфекцією. Профілактика печінкової трансплантаційної інфекції </w:t>
      </w:r>
      <w:r w:rsidRPr="00BA5C0A">
        <w:rPr>
          <w:rFonts w:ascii="Times New Roman" w:hAnsi="Times New Roman" w:cs="Times New Roman"/>
          <w:lang w:val="uk-UA"/>
        </w:rPr>
        <w:lastRenderedPageBreak/>
        <w:t>суттєво полегшує післятрансплантаційну терапію. Крім того, поліпшення функції печінки означає делістинг (виключення зі списку очікування) деяких пацієнтів.</w:t>
      </w:r>
      <w:r w:rsidRPr="00BA5C0A">
        <w:rPr>
          <w:rFonts w:ascii="Times New Roman" w:hAnsi="Times New Roman" w:cs="Times New Roman"/>
          <w:vertAlign w:val="superscript"/>
          <w:lang w:val="uk-UA"/>
        </w:rPr>
        <w:t>115</w:t>
      </w:r>
      <w:r w:rsidRPr="00BA5C0A">
        <w:rPr>
          <w:rFonts w:ascii="Times New Roman" w:hAnsi="Times New Roman" w:cs="Times New Roman"/>
          <w:lang w:val="uk-UA"/>
        </w:rPr>
        <w:t xml:space="preserve"> </w:t>
      </w:r>
      <w:r w:rsidR="00277304" w:rsidRPr="00277304">
        <w:rPr>
          <w:rFonts w:ascii="Times New Roman" w:hAnsi="Times New Roman" w:cs="Times New Roman"/>
          <w:lang w:val="uk-UA"/>
        </w:rPr>
        <w:t>За</w:t>
      </w:r>
      <w:r w:rsidRPr="00277304">
        <w:rPr>
          <w:rFonts w:ascii="Times New Roman" w:hAnsi="Times New Roman" w:cs="Times New Roman"/>
          <w:lang w:val="uk-UA"/>
        </w:rPr>
        <w:t xml:space="preserve"> винятком операцій від живих донорів, </w:t>
      </w:r>
      <w:r w:rsidR="002015CF" w:rsidRPr="00277304">
        <w:rPr>
          <w:rFonts w:ascii="Times New Roman" w:hAnsi="Times New Roman" w:cs="Times New Roman"/>
          <w:lang w:val="uk-UA"/>
        </w:rPr>
        <w:t>тривалість проти</w:t>
      </w:r>
      <w:r w:rsidRPr="00277304">
        <w:rPr>
          <w:rFonts w:ascii="Times New Roman" w:hAnsi="Times New Roman" w:cs="Times New Roman"/>
          <w:lang w:val="uk-UA"/>
        </w:rPr>
        <w:t>вірусної терапії у пацієнтів зі списку очікування</w:t>
      </w:r>
      <w:r w:rsidR="002015CF" w:rsidRPr="00277304">
        <w:rPr>
          <w:rFonts w:ascii="Times New Roman" w:hAnsi="Times New Roman" w:cs="Times New Roman"/>
          <w:lang w:val="uk-UA"/>
        </w:rPr>
        <w:t xml:space="preserve"> важко передбачити</w:t>
      </w:r>
      <w:r w:rsidRPr="00277304">
        <w:rPr>
          <w:rFonts w:ascii="Times New Roman" w:hAnsi="Times New Roman" w:cs="Times New Roman"/>
          <w:lang w:val="uk-UA"/>
        </w:rPr>
        <w:t xml:space="preserve">, </w:t>
      </w:r>
      <w:r w:rsidR="0073225F" w:rsidRPr="00277304">
        <w:rPr>
          <w:rFonts w:ascii="Times New Roman" w:hAnsi="Times New Roman" w:cs="Times New Roman"/>
          <w:lang w:val="uk-UA"/>
        </w:rPr>
        <w:t xml:space="preserve">тому трансплантацію печінки </w:t>
      </w:r>
      <w:r w:rsidRPr="00277304">
        <w:rPr>
          <w:rFonts w:ascii="Times New Roman" w:hAnsi="Times New Roman" w:cs="Times New Roman"/>
          <w:lang w:val="uk-UA"/>
        </w:rPr>
        <w:t>мож</w:t>
      </w:r>
      <w:r w:rsidR="0073225F" w:rsidRPr="00277304">
        <w:rPr>
          <w:rFonts w:ascii="Times New Roman" w:hAnsi="Times New Roman" w:cs="Times New Roman"/>
          <w:lang w:val="uk-UA"/>
        </w:rPr>
        <w:t xml:space="preserve">на </w:t>
      </w:r>
      <w:r w:rsidR="00277304" w:rsidRPr="00277304">
        <w:rPr>
          <w:rFonts w:ascii="Times New Roman" w:hAnsi="Times New Roman" w:cs="Times New Roman"/>
          <w:lang w:val="uk-UA"/>
        </w:rPr>
        <w:t>проводити</w:t>
      </w:r>
      <w:r w:rsidR="0073225F" w:rsidRPr="00277304">
        <w:rPr>
          <w:rFonts w:ascii="Times New Roman" w:hAnsi="Times New Roman" w:cs="Times New Roman"/>
          <w:lang w:val="uk-UA"/>
        </w:rPr>
        <w:t xml:space="preserve"> перед тим, як відбудеться кліренс </w:t>
      </w:r>
      <w:r w:rsidRPr="00277304">
        <w:rPr>
          <w:rFonts w:ascii="Times New Roman" w:hAnsi="Times New Roman" w:cs="Times New Roman"/>
          <w:lang w:val="uk-UA"/>
        </w:rPr>
        <w:t>віруса. Крім того, після делістингу, у пацієнта залишається ризик подальшої декомпенсації, виникнення ГЦК і смерті</w:t>
      </w:r>
      <w:r w:rsidR="007342E9" w:rsidRPr="00277304">
        <w:rPr>
          <w:rFonts w:ascii="Times New Roman" w:hAnsi="Times New Roman" w:cs="Times New Roman"/>
          <w:lang w:val="uk-UA"/>
        </w:rPr>
        <w:t>.</w:t>
      </w:r>
      <w:r w:rsidR="007342E9">
        <w:rPr>
          <w:rFonts w:ascii="Times New Roman" w:hAnsi="Times New Roman" w:cs="Times New Roman"/>
          <w:lang w:val="uk-UA"/>
        </w:rPr>
        <w:t xml:space="preserve"> </w:t>
      </w:r>
    </w:p>
    <w:p w14:paraId="7841320D" w14:textId="5B34CE78" w:rsidR="00BA5C0A" w:rsidRPr="00BA5C0A" w:rsidRDefault="00277304" w:rsidP="00BA5C0A">
      <w:pPr>
        <w:jc w:val="both"/>
        <w:rPr>
          <w:rFonts w:ascii="Times New Roman" w:hAnsi="Times New Roman" w:cs="Times New Roman"/>
          <w:vertAlign w:val="superscript"/>
          <w:lang w:val="uk-UA"/>
        </w:rPr>
      </w:pPr>
      <w:r w:rsidRPr="00277304">
        <w:rPr>
          <w:rFonts w:ascii="Times New Roman" w:hAnsi="Times New Roman" w:cs="Times New Roman"/>
          <w:lang w:val="uk-UA"/>
        </w:rPr>
        <w:t xml:space="preserve">Інгібітори </w:t>
      </w:r>
      <w:r w:rsidR="00BA5C0A" w:rsidRPr="00277304">
        <w:rPr>
          <w:rFonts w:ascii="Times New Roman" w:hAnsi="Times New Roman" w:cs="Times New Roman"/>
          <w:lang w:val="uk-UA"/>
        </w:rPr>
        <w:t>протеази протипоказан</w:t>
      </w:r>
      <w:r w:rsidRPr="00277304">
        <w:rPr>
          <w:rFonts w:ascii="Times New Roman" w:hAnsi="Times New Roman" w:cs="Times New Roman"/>
          <w:lang w:val="uk-UA"/>
        </w:rPr>
        <w:t>і</w:t>
      </w:r>
      <w:r w:rsidR="0073225F" w:rsidRPr="00277304">
        <w:rPr>
          <w:rFonts w:ascii="Times New Roman" w:hAnsi="Times New Roman" w:cs="Times New Roman"/>
          <w:lang w:val="uk-UA"/>
        </w:rPr>
        <w:t xml:space="preserve"> </w:t>
      </w:r>
      <w:r w:rsidR="00BA5C0A" w:rsidRPr="00277304">
        <w:rPr>
          <w:rFonts w:ascii="Times New Roman" w:hAnsi="Times New Roman" w:cs="Times New Roman"/>
          <w:lang w:val="uk-UA"/>
        </w:rPr>
        <w:t>пацієнт</w:t>
      </w:r>
      <w:r w:rsidRPr="00277304">
        <w:rPr>
          <w:rFonts w:ascii="Times New Roman" w:hAnsi="Times New Roman" w:cs="Times New Roman"/>
          <w:lang w:val="uk-UA"/>
        </w:rPr>
        <w:t>ам</w:t>
      </w:r>
      <w:r w:rsidR="00BA5C0A" w:rsidRPr="00277304">
        <w:rPr>
          <w:rFonts w:ascii="Times New Roman" w:hAnsi="Times New Roman" w:cs="Times New Roman"/>
          <w:lang w:val="uk-UA"/>
        </w:rPr>
        <w:t xml:space="preserve"> з декомпенсованим цироз</w:t>
      </w:r>
      <w:r w:rsidR="007342E9" w:rsidRPr="00277304">
        <w:rPr>
          <w:rFonts w:ascii="Times New Roman" w:hAnsi="Times New Roman" w:cs="Times New Roman"/>
          <w:lang w:val="uk-UA"/>
        </w:rPr>
        <w:t>о</w:t>
      </w:r>
      <w:r w:rsidR="00BA5C0A" w:rsidRPr="00277304">
        <w:rPr>
          <w:rFonts w:ascii="Times New Roman" w:hAnsi="Times New Roman" w:cs="Times New Roman"/>
          <w:lang w:val="uk-UA"/>
        </w:rPr>
        <w:t xml:space="preserve">м </w:t>
      </w:r>
      <w:r w:rsidR="0073225F" w:rsidRPr="00277304">
        <w:rPr>
          <w:rFonts w:ascii="Times New Roman" w:hAnsi="Times New Roman" w:cs="Times New Roman"/>
          <w:lang w:val="uk-UA"/>
        </w:rPr>
        <w:t>(</w:t>
      </w:r>
      <w:r w:rsidR="007342E9" w:rsidRPr="00277304">
        <w:rPr>
          <w:rFonts w:ascii="Times New Roman" w:hAnsi="Times New Roman" w:cs="Times New Roman"/>
          <w:lang w:val="uk-UA"/>
        </w:rPr>
        <w:t xml:space="preserve">класу </w:t>
      </w:r>
      <w:r w:rsidR="00BA5C0A" w:rsidRPr="00277304">
        <w:rPr>
          <w:rFonts w:ascii="Times New Roman" w:hAnsi="Times New Roman" w:cs="Times New Roman"/>
          <w:lang w:val="uk-UA"/>
        </w:rPr>
        <w:t>B та C Child</w:t>
      </w:r>
      <w:r w:rsidR="00FC6D8A" w:rsidRPr="00277304">
        <w:rPr>
          <w:rFonts w:ascii="Times New Roman" w:hAnsi="Times New Roman" w:cs="Times New Roman"/>
          <w:lang w:val="uk-UA"/>
        </w:rPr>
        <w:t>–</w:t>
      </w:r>
      <w:r w:rsidR="00BA5C0A" w:rsidRPr="00277304">
        <w:rPr>
          <w:rFonts w:ascii="Times New Roman" w:hAnsi="Times New Roman" w:cs="Times New Roman"/>
          <w:lang w:val="uk-UA"/>
        </w:rPr>
        <w:t>Pugh</w:t>
      </w:r>
      <w:r w:rsidR="0073225F" w:rsidRPr="00277304">
        <w:rPr>
          <w:rFonts w:ascii="Times New Roman" w:hAnsi="Times New Roman" w:cs="Times New Roman"/>
          <w:lang w:val="uk-UA"/>
        </w:rPr>
        <w:t>)</w:t>
      </w:r>
      <w:r w:rsidR="00BA5C0A" w:rsidRPr="00277304">
        <w:rPr>
          <w:rFonts w:ascii="Times New Roman" w:hAnsi="Times New Roman" w:cs="Times New Roman"/>
          <w:lang w:val="uk-UA"/>
        </w:rPr>
        <w:t xml:space="preserve"> через значно </w:t>
      </w:r>
      <w:r w:rsidRPr="00277304">
        <w:rPr>
          <w:rFonts w:ascii="Times New Roman" w:hAnsi="Times New Roman" w:cs="Times New Roman"/>
          <w:lang w:val="uk-UA"/>
        </w:rPr>
        <w:t>вищий</w:t>
      </w:r>
      <w:r w:rsidR="00BA5C0A" w:rsidRPr="00277304">
        <w:rPr>
          <w:rFonts w:ascii="Times New Roman" w:hAnsi="Times New Roman" w:cs="Times New Roman"/>
          <w:lang w:val="uk-UA"/>
        </w:rPr>
        <w:t xml:space="preserve"> рівень експозиції </w:t>
      </w:r>
      <w:r w:rsidRPr="00277304">
        <w:rPr>
          <w:rFonts w:ascii="Times New Roman" w:hAnsi="Times New Roman" w:cs="Times New Roman"/>
          <w:lang w:val="uk-UA"/>
        </w:rPr>
        <w:t xml:space="preserve">у плазмі крові </w:t>
      </w:r>
      <w:r w:rsidR="00BA5C0A" w:rsidRPr="00277304">
        <w:rPr>
          <w:rFonts w:ascii="Times New Roman" w:hAnsi="Times New Roman" w:cs="Times New Roman"/>
          <w:lang w:val="uk-UA"/>
        </w:rPr>
        <w:t>цих препаратів, що пов'язано з токсичністю</w:t>
      </w:r>
      <w:r w:rsidR="0073225F" w:rsidRPr="00277304">
        <w:rPr>
          <w:rFonts w:ascii="Times New Roman" w:hAnsi="Times New Roman" w:cs="Times New Roman"/>
          <w:lang w:val="uk-UA"/>
        </w:rPr>
        <w:t xml:space="preserve"> </w:t>
      </w:r>
      <w:r w:rsidRPr="00277304">
        <w:rPr>
          <w:rFonts w:ascii="Times New Roman" w:hAnsi="Times New Roman" w:cs="Times New Roman"/>
          <w:lang w:val="uk-UA"/>
        </w:rPr>
        <w:t xml:space="preserve">цих </w:t>
      </w:r>
      <w:r w:rsidR="0073225F" w:rsidRPr="00277304">
        <w:rPr>
          <w:rFonts w:ascii="Times New Roman" w:hAnsi="Times New Roman" w:cs="Times New Roman"/>
          <w:lang w:val="uk-UA"/>
        </w:rPr>
        <w:t>препаратів</w:t>
      </w:r>
      <w:r w:rsidR="00BA5C0A" w:rsidRPr="00277304">
        <w:rPr>
          <w:rFonts w:ascii="Times New Roman" w:hAnsi="Times New Roman" w:cs="Times New Roman"/>
          <w:lang w:val="uk-UA"/>
        </w:rPr>
        <w:t xml:space="preserve">. </w:t>
      </w:r>
      <w:r>
        <w:rPr>
          <w:rFonts w:ascii="Times New Roman" w:hAnsi="Times New Roman" w:cs="Times New Roman"/>
          <w:lang w:val="uk-UA"/>
        </w:rPr>
        <w:t>Оскільки</w:t>
      </w:r>
      <w:r w:rsidRPr="00BA5C0A">
        <w:rPr>
          <w:rFonts w:ascii="Times New Roman" w:hAnsi="Times New Roman" w:cs="Times New Roman"/>
          <w:lang w:val="uk-UA"/>
        </w:rPr>
        <w:t xml:space="preserve"> під час лікування</w:t>
      </w:r>
      <w:r>
        <w:rPr>
          <w:rFonts w:ascii="Times New Roman" w:hAnsi="Times New Roman" w:cs="Times New Roman"/>
          <w:lang w:val="uk-UA"/>
        </w:rPr>
        <w:t xml:space="preserve"> інгібіторами протеази </w:t>
      </w:r>
      <w:r w:rsidRPr="00BA5C0A">
        <w:rPr>
          <w:rFonts w:ascii="Times New Roman" w:hAnsi="Times New Roman" w:cs="Times New Roman"/>
          <w:lang w:val="uk-UA"/>
        </w:rPr>
        <w:t>були зареєстровані випадки декомпенсації</w:t>
      </w:r>
      <w:r w:rsidRPr="00277304">
        <w:rPr>
          <w:rFonts w:ascii="Times New Roman" w:hAnsi="Times New Roman" w:cs="Times New Roman"/>
          <w:lang w:val="uk-UA"/>
        </w:rPr>
        <w:t xml:space="preserve"> </w:t>
      </w:r>
      <w:r>
        <w:rPr>
          <w:rFonts w:ascii="Times New Roman" w:hAnsi="Times New Roman" w:cs="Times New Roman"/>
          <w:lang w:val="uk-UA"/>
        </w:rPr>
        <w:t>печінки, ці препарати</w:t>
      </w:r>
      <w:r w:rsidR="00BA5C0A" w:rsidRPr="00BA5C0A">
        <w:rPr>
          <w:rFonts w:ascii="Times New Roman" w:hAnsi="Times New Roman" w:cs="Times New Roman"/>
          <w:lang w:val="uk-UA"/>
        </w:rPr>
        <w:t xml:space="preserve"> не повинні </w:t>
      </w:r>
      <w:r>
        <w:rPr>
          <w:rFonts w:ascii="Times New Roman" w:hAnsi="Times New Roman" w:cs="Times New Roman"/>
          <w:lang w:val="uk-UA"/>
        </w:rPr>
        <w:t>використовуватися</w:t>
      </w:r>
      <w:r w:rsidR="00BA5C0A" w:rsidRPr="00BA5C0A">
        <w:rPr>
          <w:rFonts w:ascii="Times New Roman" w:hAnsi="Times New Roman" w:cs="Times New Roman"/>
          <w:lang w:val="uk-UA"/>
        </w:rPr>
        <w:t xml:space="preserve"> </w:t>
      </w:r>
      <w:r>
        <w:rPr>
          <w:rFonts w:ascii="Times New Roman" w:hAnsi="Times New Roman" w:cs="Times New Roman"/>
          <w:lang w:val="uk-UA"/>
        </w:rPr>
        <w:t xml:space="preserve">також </w:t>
      </w:r>
      <w:r w:rsidR="00BA5C0A" w:rsidRPr="00BA5C0A">
        <w:rPr>
          <w:rFonts w:ascii="Times New Roman" w:hAnsi="Times New Roman" w:cs="Times New Roman"/>
          <w:lang w:val="uk-UA"/>
        </w:rPr>
        <w:t xml:space="preserve">у пацієнтів з компенсованим цирозом і </w:t>
      </w:r>
      <w:r>
        <w:rPr>
          <w:rFonts w:ascii="Times New Roman" w:hAnsi="Times New Roman" w:cs="Times New Roman"/>
          <w:lang w:val="uk-UA"/>
        </w:rPr>
        <w:t>в яких в анамнезі були епізоди декомпенсації</w:t>
      </w:r>
      <w:r w:rsidR="00BA5C0A" w:rsidRPr="00BA5C0A">
        <w:rPr>
          <w:rFonts w:ascii="Times New Roman" w:hAnsi="Times New Roman" w:cs="Times New Roman"/>
          <w:lang w:val="uk-UA"/>
        </w:rPr>
        <w:t>.</w:t>
      </w:r>
      <w:r w:rsidR="00BA5C0A" w:rsidRPr="00BA5C0A">
        <w:rPr>
          <w:rFonts w:ascii="Times New Roman" w:hAnsi="Times New Roman" w:cs="Times New Roman"/>
          <w:vertAlign w:val="superscript"/>
          <w:lang w:val="uk-UA"/>
        </w:rPr>
        <w:t>116</w:t>
      </w:r>
      <w:r w:rsidR="00BA5C0A" w:rsidRPr="00BA5C0A">
        <w:rPr>
          <w:rFonts w:ascii="Times New Roman" w:hAnsi="Times New Roman" w:cs="Times New Roman"/>
          <w:lang w:val="uk-UA"/>
        </w:rPr>
        <w:t xml:space="preserve"> Таким чином, лікування пацієнтів з декомпенсованим цирозом</w:t>
      </w:r>
      <w:r w:rsidR="0073225F">
        <w:rPr>
          <w:rFonts w:ascii="Times New Roman" w:hAnsi="Times New Roman" w:cs="Times New Roman"/>
          <w:lang w:val="uk-UA"/>
        </w:rPr>
        <w:t>, які перебувають у</w:t>
      </w:r>
      <w:r w:rsidR="00BA5C0A" w:rsidRPr="00BA5C0A">
        <w:rPr>
          <w:rFonts w:ascii="Times New Roman" w:hAnsi="Times New Roman" w:cs="Times New Roman"/>
          <w:lang w:val="uk-UA"/>
        </w:rPr>
        <w:t xml:space="preserve"> списку очікування трансплантата, повинно грунтуватися на комбінації софосбувір</w:t>
      </w:r>
      <w:r w:rsidR="00216285">
        <w:rPr>
          <w:rFonts w:ascii="Times New Roman" w:hAnsi="Times New Roman" w:cs="Times New Roman"/>
          <w:lang w:val="uk-UA"/>
        </w:rPr>
        <w:t>у</w:t>
      </w:r>
      <w:r w:rsidR="00BA5C0A" w:rsidRPr="00BA5C0A">
        <w:rPr>
          <w:rFonts w:ascii="Times New Roman" w:hAnsi="Times New Roman" w:cs="Times New Roman"/>
          <w:lang w:val="uk-UA"/>
        </w:rPr>
        <w:t xml:space="preserve"> і інгібітор</w:t>
      </w:r>
      <w:r w:rsidR="00216285">
        <w:rPr>
          <w:rFonts w:ascii="Times New Roman" w:hAnsi="Times New Roman" w:cs="Times New Roman"/>
          <w:lang w:val="uk-UA"/>
        </w:rPr>
        <w:t>у</w:t>
      </w:r>
      <w:r w:rsidR="00BA5C0A" w:rsidRPr="00BA5C0A">
        <w:rPr>
          <w:rFonts w:ascii="Times New Roman" w:hAnsi="Times New Roman" w:cs="Times New Roman"/>
          <w:lang w:val="uk-UA"/>
        </w:rPr>
        <w:t xml:space="preserve"> NS5A, а саме софосбувір/ледіпасвір або софосбувір/велпатасвір. Якщо ці режими недоступні, комбінація софосбувіру і даклатасвіру залишається прийнятним варіантом відповідно до Рекомендацій EASL для лікування гепатиту С 2016 </w:t>
      </w:r>
      <w:r w:rsidR="00BA5C0A" w:rsidRPr="00BA5C0A">
        <w:rPr>
          <w:rFonts w:ascii="Times New Roman" w:hAnsi="Times New Roman" w:cs="Times New Roman"/>
          <w:vertAlign w:val="superscript"/>
          <w:lang w:val="uk-UA"/>
        </w:rPr>
        <w:t>54</w:t>
      </w:r>
    </w:p>
    <w:p w14:paraId="782A0266" w14:textId="77777777" w:rsidR="00BA5C0A" w:rsidRPr="00BA5C0A" w:rsidRDefault="00BA5C0A" w:rsidP="00BA5C0A">
      <w:pPr>
        <w:jc w:val="both"/>
        <w:rPr>
          <w:rFonts w:ascii="Times New Roman" w:hAnsi="Times New Roman" w:cs="Times New Roman"/>
          <w:vertAlign w:val="superscript"/>
          <w:lang w:val="uk-UA"/>
        </w:rPr>
      </w:pPr>
    </w:p>
    <w:p w14:paraId="7EAAEF9F" w14:textId="4ABC6188"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У дослідженні SOLAR</w:t>
      </w:r>
      <w:r w:rsidR="00FC6D8A">
        <w:rPr>
          <w:rFonts w:ascii="Times New Roman" w:hAnsi="Times New Roman" w:cs="Times New Roman"/>
          <w:lang w:val="uk-UA"/>
        </w:rPr>
        <w:t>–</w:t>
      </w:r>
      <w:r w:rsidRPr="00BA5C0A">
        <w:rPr>
          <w:rFonts w:ascii="Times New Roman" w:hAnsi="Times New Roman" w:cs="Times New Roman"/>
          <w:lang w:val="uk-UA"/>
        </w:rPr>
        <w:t>1 пацієнтів, інфікованих генотипом 1 або 4 з декомпенсованим цирозом печінки, лікували комбінацією з фіксованою дозою софосбувіру та ледіпасвіру протягом 12 або 24 тижнів з</w:t>
      </w:r>
      <w:r w:rsidR="00216285">
        <w:rPr>
          <w:rFonts w:ascii="Times New Roman" w:hAnsi="Times New Roman" w:cs="Times New Roman"/>
          <w:lang w:val="uk-UA"/>
        </w:rPr>
        <w:t xml:space="preserve"> додаванням</w:t>
      </w:r>
      <w:r w:rsidRPr="00BA5C0A">
        <w:rPr>
          <w:rFonts w:ascii="Times New Roman" w:hAnsi="Times New Roman" w:cs="Times New Roman"/>
          <w:lang w:val="uk-UA"/>
        </w:rPr>
        <w:t xml:space="preserve"> рибавірин</w:t>
      </w:r>
      <w:r w:rsidR="00216285">
        <w:rPr>
          <w:rFonts w:ascii="Times New Roman" w:hAnsi="Times New Roman" w:cs="Times New Roman"/>
          <w:lang w:val="uk-UA"/>
        </w:rPr>
        <w:t>у</w:t>
      </w:r>
      <w:r w:rsidRPr="00BA5C0A">
        <w:rPr>
          <w:rFonts w:ascii="Times New Roman" w:hAnsi="Times New Roman" w:cs="Times New Roman"/>
          <w:lang w:val="uk-UA"/>
        </w:rPr>
        <w:t>. У пацієнтів з цирозом Child</w:t>
      </w:r>
      <w:r w:rsidR="00FC6D8A">
        <w:rPr>
          <w:rFonts w:ascii="Times New Roman" w:hAnsi="Times New Roman" w:cs="Times New Roman"/>
          <w:lang w:val="uk-UA"/>
        </w:rPr>
        <w:t>–</w:t>
      </w:r>
      <w:r w:rsidRPr="00BA5C0A">
        <w:rPr>
          <w:rFonts w:ascii="Times New Roman" w:hAnsi="Times New Roman" w:cs="Times New Roman"/>
          <w:lang w:val="uk-UA"/>
        </w:rPr>
        <w:t xml:space="preserve">Pugh B показники СВВ12 становили 87% (26/30) та 89% (24/27) після 12 та 24 тижнів терапії відповідно; у пацієнтів </w:t>
      </w:r>
      <w:r w:rsidR="00216285">
        <w:rPr>
          <w:rFonts w:ascii="Times New Roman" w:hAnsi="Times New Roman" w:cs="Times New Roman"/>
          <w:lang w:val="uk-UA"/>
        </w:rPr>
        <w:t xml:space="preserve">з </w:t>
      </w:r>
      <w:r w:rsidRPr="00BA5C0A">
        <w:rPr>
          <w:rFonts w:ascii="Times New Roman" w:hAnsi="Times New Roman" w:cs="Times New Roman"/>
          <w:lang w:val="uk-UA"/>
        </w:rPr>
        <w:t>Child</w:t>
      </w:r>
      <w:r w:rsidR="00FC6D8A">
        <w:rPr>
          <w:rFonts w:ascii="Times New Roman" w:hAnsi="Times New Roman" w:cs="Times New Roman"/>
          <w:lang w:val="uk-UA"/>
        </w:rPr>
        <w:t>–</w:t>
      </w:r>
      <w:r w:rsidRPr="00BA5C0A">
        <w:rPr>
          <w:rFonts w:ascii="Times New Roman" w:hAnsi="Times New Roman" w:cs="Times New Roman"/>
          <w:lang w:val="uk-UA"/>
        </w:rPr>
        <w:t>Pugh C вони становили 86% (19/22) та 87% (20/23) після 12 та 24 тижнів терапії, відповідно. Оцінки MELD та Child</w:t>
      </w:r>
      <w:r w:rsidR="00FC6D8A">
        <w:rPr>
          <w:rFonts w:ascii="Times New Roman" w:hAnsi="Times New Roman" w:cs="Times New Roman"/>
          <w:lang w:val="uk-UA"/>
        </w:rPr>
        <w:t>–</w:t>
      </w:r>
      <w:r w:rsidRPr="00BA5C0A">
        <w:rPr>
          <w:rFonts w:ascii="Times New Roman" w:hAnsi="Times New Roman" w:cs="Times New Roman"/>
          <w:lang w:val="uk-UA"/>
        </w:rPr>
        <w:t>Pugh покращилися приблизно у половини пацієнтів, які пройшли лікування.</w:t>
      </w:r>
      <w:r w:rsidRPr="00BA5C0A">
        <w:rPr>
          <w:rFonts w:ascii="Times New Roman" w:hAnsi="Times New Roman" w:cs="Times New Roman"/>
          <w:vertAlign w:val="superscript"/>
          <w:lang w:val="uk-UA"/>
        </w:rPr>
        <w:t xml:space="preserve">55 </w:t>
      </w:r>
      <w:r w:rsidRPr="00BA5C0A">
        <w:rPr>
          <w:rFonts w:ascii="Times New Roman" w:hAnsi="Times New Roman" w:cs="Times New Roman"/>
          <w:lang w:val="uk-UA"/>
        </w:rPr>
        <w:t>Дизайн дослідження SOLAR</w:t>
      </w:r>
      <w:r w:rsidR="00FC6D8A">
        <w:rPr>
          <w:rFonts w:ascii="Times New Roman" w:hAnsi="Times New Roman" w:cs="Times New Roman"/>
          <w:lang w:val="uk-UA"/>
        </w:rPr>
        <w:t>–</w:t>
      </w:r>
      <w:r w:rsidRPr="00BA5C0A">
        <w:rPr>
          <w:rFonts w:ascii="Times New Roman" w:hAnsi="Times New Roman" w:cs="Times New Roman"/>
          <w:lang w:val="uk-UA"/>
        </w:rPr>
        <w:t>2 був ідентичним у пацієнтів, інфікованих генотипом 1 або 4 з декомпенсованим цирозом, які отримували такі ж схеми лікування. Показники СВВ12 були 87% (20/23) та 96% (22/23) після 12 та 24 тижнів терапії відповідно у пацієнтів з Child Pugh B; у хворих з Child Pugh С вони становили 85% (17/20) та 78% (18/23) після 12 та 24 тижнів терапії відповідно. Оцінки MELD та Child</w:t>
      </w:r>
      <w:r w:rsidR="00FC6D8A">
        <w:rPr>
          <w:rFonts w:ascii="Times New Roman" w:hAnsi="Times New Roman" w:cs="Times New Roman"/>
          <w:lang w:val="uk-UA"/>
        </w:rPr>
        <w:t>–</w:t>
      </w:r>
      <w:r w:rsidRPr="00BA5C0A">
        <w:rPr>
          <w:rFonts w:ascii="Times New Roman" w:hAnsi="Times New Roman" w:cs="Times New Roman"/>
          <w:lang w:val="uk-UA"/>
        </w:rPr>
        <w:t>Pugh покращилися приблизно у половини пацієнтів, які пройшли лікування</w:t>
      </w:r>
      <w:r w:rsidRPr="00BA5C0A">
        <w:rPr>
          <w:rFonts w:ascii="Times New Roman" w:hAnsi="Times New Roman" w:cs="Times New Roman"/>
          <w:vertAlign w:val="superscript"/>
          <w:lang w:val="uk-UA"/>
        </w:rPr>
        <w:t>.56</w:t>
      </w:r>
      <w:r w:rsidRPr="00BA5C0A">
        <w:rPr>
          <w:rFonts w:ascii="Times New Roman" w:hAnsi="Times New Roman" w:cs="Times New Roman"/>
          <w:lang w:val="uk-UA"/>
        </w:rPr>
        <w:t xml:space="preserve"> Нижчі показники СВВ у пацієнтів з декомпенсованим цирозом у порівнянні з пацієнтами з компенсованим цирозом в інших дослідженнях були пов'язані з припиненням лікування, а не з вірусологічними невдачами. Незважаючи на раннє поліпшення показника MELD, довгострокові дані обмежені, для того, щоб визначити, чи пов'язане клінічне поліпшення стану цих пацієнтів з </w:t>
      </w:r>
      <w:r w:rsidR="003A1B63">
        <w:rPr>
          <w:rFonts w:ascii="Times New Roman" w:hAnsi="Times New Roman" w:cs="Times New Roman"/>
          <w:lang w:val="uk-UA"/>
        </w:rPr>
        <w:t xml:space="preserve">досягненням </w:t>
      </w:r>
      <w:r w:rsidRPr="00BA5C0A">
        <w:rPr>
          <w:rFonts w:ascii="Times New Roman" w:hAnsi="Times New Roman" w:cs="Times New Roman"/>
          <w:lang w:val="uk-UA"/>
        </w:rPr>
        <w:t>СВВ.</w:t>
      </w:r>
    </w:p>
    <w:p w14:paraId="7EB7AE9A" w14:textId="77777777" w:rsidR="00BA5C0A" w:rsidRPr="00BA5C0A" w:rsidRDefault="00BA5C0A" w:rsidP="00BA5C0A">
      <w:pPr>
        <w:jc w:val="both"/>
        <w:rPr>
          <w:rFonts w:ascii="Times New Roman" w:hAnsi="Times New Roman" w:cs="Times New Roman"/>
          <w:lang w:val="uk-UA"/>
        </w:rPr>
      </w:pPr>
    </w:p>
    <w:p w14:paraId="67B25649" w14:textId="72D47F56"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У дослідженні, заснованому на програмі раннього доступу Об'єднаного Королівства, пацієнти з декомпенсованим цирозом, інфіковані </w:t>
      </w:r>
      <w:r w:rsidR="00216285">
        <w:rPr>
          <w:rFonts w:ascii="Times New Roman" w:hAnsi="Times New Roman" w:cs="Times New Roman"/>
          <w:lang w:val="uk-UA"/>
        </w:rPr>
        <w:t>1</w:t>
      </w:r>
      <w:r w:rsidR="00216285" w:rsidRPr="00BA5C0A">
        <w:rPr>
          <w:rFonts w:ascii="Times New Roman" w:hAnsi="Times New Roman" w:cs="Times New Roman"/>
          <w:lang w:val="uk-UA"/>
        </w:rPr>
        <w:t xml:space="preserve"> </w:t>
      </w:r>
      <w:r w:rsidRPr="00BA5C0A">
        <w:rPr>
          <w:rFonts w:ascii="Times New Roman" w:hAnsi="Times New Roman" w:cs="Times New Roman"/>
          <w:lang w:val="uk-UA"/>
        </w:rPr>
        <w:t>генотип</w:t>
      </w:r>
      <w:r w:rsidR="00216285">
        <w:rPr>
          <w:rFonts w:ascii="Times New Roman" w:hAnsi="Times New Roman" w:cs="Times New Roman"/>
          <w:lang w:val="uk-UA"/>
        </w:rPr>
        <w:t>ом ВГС</w:t>
      </w:r>
      <w:r w:rsidRPr="00BA5C0A">
        <w:rPr>
          <w:rFonts w:ascii="Times New Roman" w:hAnsi="Times New Roman" w:cs="Times New Roman"/>
          <w:lang w:val="uk-UA"/>
        </w:rPr>
        <w:t xml:space="preserve">, лікувалися софосбувіром і ледіпасвіром або софосбувіром і даклатасвіром протягом 12 тижнів з або без рибавірину. Показники СВВ12 склали: 85% (11/13) після 12 тижнів </w:t>
      </w:r>
      <w:r w:rsidR="00216285">
        <w:rPr>
          <w:rFonts w:ascii="Times New Roman" w:hAnsi="Times New Roman" w:cs="Times New Roman"/>
          <w:lang w:val="uk-UA"/>
        </w:rPr>
        <w:t xml:space="preserve">прийому </w:t>
      </w:r>
      <w:r w:rsidRPr="00BA5C0A">
        <w:rPr>
          <w:rFonts w:ascii="Times New Roman" w:hAnsi="Times New Roman" w:cs="Times New Roman"/>
          <w:lang w:val="uk-UA"/>
        </w:rPr>
        <w:t xml:space="preserve">софосбувіру і ледіпасвіру без рибавірину; 91% (136/149) після 12 тижнів </w:t>
      </w:r>
      <w:r w:rsidR="00741FC6">
        <w:rPr>
          <w:rFonts w:ascii="Times New Roman" w:hAnsi="Times New Roman" w:cs="Times New Roman"/>
          <w:lang w:val="uk-UA"/>
        </w:rPr>
        <w:t xml:space="preserve">використання </w:t>
      </w:r>
      <w:r w:rsidRPr="00BA5C0A">
        <w:rPr>
          <w:rFonts w:ascii="Times New Roman" w:hAnsi="Times New Roman" w:cs="Times New Roman"/>
          <w:lang w:val="uk-UA"/>
        </w:rPr>
        <w:t>софосбувір</w:t>
      </w:r>
      <w:r w:rsidR="00741FC6">
        <w:rPr>
          <w:rFonts w:ascii="Times New Roman" w:hAnsi="Times New Roman" w:cs="Times New Roman"/>
          <w:lang w:val="uk-UA"/>
        </w:rPr>
        <w:t>у</w:t>
      </w:r>
      <w:r w:rsidRPr="00BA5C0A">
        <w:rPr>
          <w:rFonts w:ascii="Times New Roman" w:hAnsi="Times New Roman" w:cs="Times New Roman"/>
          <w:lang w:val="uk-UA"/>
        </w:rPr>
        <w:t xml:space="preserve"> і ледіпасвіру з рибавірином; 50% (2/4) після 12 тижнів софосбувіру і даклатасвіру без рибавірину; і 88% (30/34) після 12 тижнів софосбувіру і даклатасвіру з рибавірином. Однак у хворих з декомпенсованим цирозом, інфіковани</w:t>
      </w:r>
      <w:r w:rsidR="00741FC6">
        <w:rPr>
          <w:rFonts w:ascii="Times New Roman" w:hAnsi="Times New Roman" w:cs="Times New Roman"/>
          <w:lang w:val="uk-UA"/>
        </w:rPr>
        <w:t>х</w:t>
      </w:r>
      <w:r w:rsidRPr="00BA5C0A">
        <w:rPr>
          <w:rFonts w:ascii="Times New Roman" w:hAnsi="Times New Roman" w:cs="Times New Roman"/>
          <w:lang w:val="uk-UA"/>
        </w:rPr>
        <w:t xml:space="preserve"> генотипом 3, частота СВВ12 склал</w:t>
      </w:r>
      <w:r w:rsidR="00741FC6">
        <w:rPr>
          <w:rFonts w:ascii="Times New Roman" w:hAnsi="Times New Roman" w:cs="Times New Roman"/>
          <w:lang w:val="uk-UA"/>
        </w:rPr>
        <w:t>а</w:t>
      </w:r>
      <w:r w:rsidRPr="00BA5C0A">
        <w:rPr>
          <w:rFonts w:ascii="Times New Roman" w:hAnsi="Times New Roman" w:cs="Times New Roman"/>
          <w:lang w:val="uk-UA"/>
        </w:rPr>
        <w:t xml:space="preserve"> 60 % (3/5) після 12 тижнів </w:t>
      </w:r>
      <w:r w:rsidR="00741FC6">
        <w:rPr>
          <w:rFonts w:ascii="Times New Roman" w:hAnsi="Times New Roman" w:cs="Times New Roman"/>
          <w:lang w:val="uk-UA"/>
        </w:rPr>
        <w:t xml:space="preserve">використання </w:t>
      </w:r>
      <w:r w:rsidRPr="00BA5C0A">
        <w:rPr>
          <w:rFonts w:ascii="Times New Roman" w:hAnsi="Times New Roman" w:cs="Times New Roman"/>
          <w:lang w:val="uk-UA"/>
        </w:rPr>
        <w:t xml:space="preserve">софосбувіру і даклатасвіру без рибавірину та 71% (75/105) після 12 тижнів </w:t>
      </w:r>
      <w:r w:rsidR="00741FC6">
        <w:rPr>
          <w:rFonts w:ascii="Times New Roman" w:hAnsi="Times New Roman" w:cs="Times New Roman"/>
          <w:lang w:val="uk-UA"/>
        </w:rPr>
        <w:t xml:space="preserve">використання </w:t>
      </w:r>
      <w:r w:rsidRPr="00BA5C0A">
        <w:rPr>
          <w:rFonts w:ascii="Times New Roman" w:hAnsi="Times New Roman" w:cs="Times New Roman"/>
          <w:lang w:val="uk-UA"/>
        </w:rPr>
        <w:t>софосбувіру та даклатасвіру з рибавірином.</w:t>
      </w:r>
      <w:r w:rsidRPr="00BA5C0A">
        <w:rPr>
          <w:rFonts w:ascii="Times New Roman" w:hAnsi="Times New Roman" w:cs="Times New Roman"/>
          <w:vertAlign w:val="superscript"/>
          <w:lang w:val="uk-UA"/>
        </w:rPr>
        <w:t>117</w:t>
      </w:r>
      <w:r w:rsidRPr="00BA5C0A">
        <w:rPr>
          <w:rFonts w:ascii="Times New Roman" w:hAnsi="Times New Roman" w:cs="Times New Roman"/>
          <w:lang w:val="uk-UA"/>
        </w:rPr>
        <w:t xml:space="preserve"> Приблизно одна третина пацієнтів покращили свої оцінки MELD, </w:t>
      </w:r>
      <w:r w:rsidR="0073225F">
        <w:rPr>
          <w:rFonts w:ascii="Times New Roman" w:hAnsi="Times New Roman" w:cs="Times New Roman"/>
          <w:lang w:val="uk-UA"/>
        </w:rPr>
        <w:t xml:space="preserve">в однієї </w:t>
      </w:r>
      <w:r w:rsidRPr="00BA5C0A">
        <w:rPr>
          <w:rFonts w:ascii="Times New Roman" w:hAnsi="Times New Roman" w:cs="Times New Roman"/>
          <w:lang w:val="uk-UA"/>
        </w:rPr>
        <w:t>третин</w:t>
      </w:r>
      <w:r w:rsidR="0073225F">
        <w:rPr>
          <w:rFonts w:ascii="Times New Roman" w:hAnsi="Times New Roman" w:cs="Times New Roman"/>
          <w:lang w:val="uk-UA"/>
        </w:rPr>
        <w:t xml:space="preserve">и показники не </w:t>
      </w:r>
      <w:r w:rsidRPr="00BA5C0A">
        <w:rPr>
          <w:rFonts w:ascii="Times New Roman" w:hAnsi="Times New Roman" w:cs="Times New Roman"/>
          <w:lang w:val="uk-UA"/>
        </w:rPr>
        <w:t>змінил</w:t>
      </w:r>
      <w:r w:rsidR="0073225F">
        <w:rPr>
          <w:rFonts w:ascii="Times New Roman" w:hAnsi="Times New Roman" w:cs="Times New Roman"/>
          <w:lang w:val="uk-UA"/>
        </w:rPr>
        <w:t>и</w:t>
      </w:r>
      <w:r w:rsidRPr="00BA5C0A">
        <w:rPr>
          <w:rFonts w:ascii="Times New Roman" w:hAnsi="Times New Roman" w:cs="Times New Roman"/>
          <w:lang w:val="uk-UA"/>
        </w:rPr>
        <w:t>с</w:t>
      </w:r>
      <w:r w:rsidR="0073225F">
        <w:rPr>
          <w:rFonts w:ascii="Times New Roman" w:hAnsi="Times New Roman" w:cs="Times New Roman"/>
          <w:lang w:val="uk-UA"/>
        </w:rPr>
        <w:t>ь</w:t>
      </w:r>
      <w:r w:rsidRPr="00BA5C0A">
        <w:rPr>
          <w:rFonts w:ascii="Times New Roman" w:hAnsi="Times New Roman" w:cs="Times New Roman"/>
          <w:lang w:val="uk-UA"/>
        </w:rPr>
        <w:t xml:space="preserve">, а третина мала погіршення функції печінки через 12 тижнів після лікування. Поліпшення показника MELD </w:t>
      </w:r>
      <w:r w:rsidR="00D60797">
        <w:rPr>
          <w:rFonts w:ascii="Times New Roman" w:hAnsi="Times New Roman" w:cs="Times New Roman"/>
          <w:lang w:val="uk-UA"/>
        </w:rPr>
        <w:t>частіше спостерігалось</w:t>
      </w:r>
      <w:r w:rsidRPr="00BA5C0A">
        <w:rPr>
          <w:rFonts w:ascii="Times New Roman" w:hAnsi="Times New Roman" w:cs="Times New Roman"/>
          <w:lang w:val="uk-UA"/>
        </w:rPr>
        <w:t xml:space="preserve"> у </w:t>
      </w:r>
      <w:r w:rsidR="00632C89">
        <w:rPr>
          <w:rFonts w:ascii="Times New Roman" w:hAnsi="Times New Roman" w:cs="Times New Roman"/>
          <w:lang w:val="uk-UA"/>
        </w:rPr>
        <w:t xml:space="preserve">пацієнтів </w:t>
      </w:r>
      <w:r w:rsidR="00632C89">
        <w:rPr>
          <w:rFonts w:ascii="Times New Roman" w:hAnsi="Times New Roman" w:cs="Times New Roman"/>
          <w:color w:val="000000" w:themeColor="text1"/>
          <w:lang w:val="uk-UA"/>
        </w:rPr>
        <w:t>з досвідом лікування</w:t>
      </w:r>
      <w:r w:rsidRPr="00BA5C0A">
        <w:rPr>
          <w:rFonts w:ascii="Times New Roman" w:hAnsi="Times New Roman" w:cs="Times New Roman"/>
          <w:lang w:val="uk-UA"/>
        </w:rPr>
        <w:t xml:space="preserve">, ніж </w:t>
      </w:r>
      <w:r w:rsidR="00632C89">
        <w:rPr>
          <w:rFonts w:ascii="Times New Roman" w:hAnsi="Times New Roman" w:cs="Times New Roman"/>
          <w:lang w:val="uk-UA"/>
        </w:rPr>
        <w:t xml:space="preserve">у </w:t>
      </w:r>
      <w:r w:rsidRPr="00BA5C0A">
        <w:rPr>
          <w:rFonts w:ascii="Times New Roman" w:hAnsi="Times New Roman" w:cs="Times New Roman"/>
          <w:lang w:val="uk-UA"/>
        </w:rPr>
        <w:t>“наївних”</w:t>
      </w:r>
      <w:r w:rsidR="00632C89">
        <w:rPr>
          <w:rFonts w:ascii="Times New Roman" w:hAnsi="Times New Roman" w:cs="Times New Roman"/>
          <w:lang w:val="uk-UA"/>
        </w:rPr>
        <w:t xml:space="preserve"> </w:t>
      </w:r>
      <w:r w:rsidRPr="00BA5C0A">
        <w:rPr>
          <w:rFonts w:ascii="Times New Roman" w:hAnsi="Times New Roman" w:cs="Times New Roman"/>
          <w:lang w:val="uk-UA"/>
        </w:rPr>
        <w:t xml:space="preserve">пацієнтів. Частка пацієнтів, </w:t>
      </w:r>
      <w:r w:rsidR="00D60797">
        <w:rPr>
          <w:rFonts w:ascii="Times New Roman" w:hAnsi="Times New Roman" w:cs="Times New Roman"/>
          <w:lang w:val="uk-UA"/>
        </w:rPr>
        <w:t>у</w:t>
      </w:r>
      <w:r w:rsidR="00275EE3">
        <w:rPr>
          <w:rFonts w:ascii="Times New Roman" w:hAnsi="Times New Roman" w:cs="Times New Roman"/>
          <w:lang w:val="uk-UA"/>
        </w:rPr>
        <w:t xml:space="preserve"> яких </w:t>
      </w:r>
      <w:r w:rsidR="00574332">
        <w:rPr>
          <w:rFonts w:ascii="Times New Roman" w:hAnsi="Times New Roman" w:cs="Times New Roman"/>
          <w:lang w:val="uk-UA"/>
        </w:rPr>
        <w:t xml:space="preserve">був хоча б один випадок декомпенсації, </w:t>
      </w:r>
      <w:r w:rsidRPr="00BA5C0A">
        <w:rPr>
          <w:rFonts w:ascii="Times New Roman" w:hAnsi="Times New Roman" w:cs="Times New Roman"/>
          <w:lang w:val="uk-UA"/>
        </w:rPr>
        <w:t>протягом досліджуваного періоду (базовий рівень 12</w:t>
      </w:r>
      <w:r w:rsidR="00FC6D8A">
        <w:rPr>
          <w:rFonts w:ascii="Times New Roman" w:hAnsi="Times New Roman" w:cs="Times New Roman"/>
          <w:lang w:val="uk-UA"/>
        </w:rPr>
        <w:t>–</w:t>
      </w:r>
      <w:r w:rsidRPr="00BA5C0A">
        <w:rPr>
          <w:rFonts w:ascii="Times New Roman" w:hAnsi="Times New Roman" w:cs="Times New Roman"/>
          <w:lang w:val="uk-UA"/>
        </w:rPr>
        <w:t>й тиждень після лікування), бул</w:t>
      </w:r>
      <w:r w:rsidR="00574332">
        <w:rPr>
          <w:rFonts w:ascii="Times New Roman" w:hAnsi="Times New Roman" w:cs="Times New Roman"/>
          <w:lang w:val="uk-UA"/>
        </w:rPr>
        <w:t>а</w:t>
      </w:r>
      <w:r w:rsidRPr="00BA5C0A">
        <w:rPr>
          <w:rFonts w:ascii="Times New Roman" w:hAnsi="Times New Roman" w:cs="Times New Roman"/>
          <w:lang w:val="uk-UA"/>
        </w:rPr>
        <w:t xml:space="preserve"> меншою у </w:t>
      </w:r>
      <w:r w:rsidR="00574332">
        <w:rPr>
          <w:rFonts w:ascii="Times New Roman" w:hAnsi="Times New Roman" w:cs="Times New Roman"/>
          <w:lang w:val="uk-UA"/>
        </w:rPr>
        <w:t>групі пацієнтів, які мали досвід лікування, порівн</w:t>
      </w:r>
      <w:r w:rsidR="009F1581">
        <w:rPr>
          <w:rFonts w:ascii="Times New Roman" w:hAnsi="Times New Roman" w:cs="Times New Roman"/>
          <w:lang w:val="uk-UA"/>
        </w:rPr>
        <w:t xml:space="preserve">юючи </w:t>
      </w:r>
      <w:r w:rsidRPr="00BA5C0A">
        <w:rPr>
          <w:rFonts w:ascii="Times New Roman" w:hAnsi="Times New Roman" w:cs="Times New Roman"/>
          <w:lang w:val="uk-UA"/>
        </w:rPr>
        <w:t>з групою “наївних”</w:t>
      </w:r>
      <w:r w:rsidR="00574332">
        <w:rPr>
          <w:rFonts w:ascii="Times New Roman" w:hAnsi="Times New Roman" w:cs="Times New Roman"/>
          <w:lang w:val="uk-UA"/>
        </w:rPr>
        <w:t xml:space="preserve"> пацієнтів</w:t>
      </w:r>
      <w:r w:rsidRPr="00BA5C0A">
        <w:rPr>
          <w:rFonts w:ascii="Times New Roman" w:hAnsi="Times New Roman" w:cs="Times New Roman"/>
          <w:lang w:val="uk-UA"/>
        </w:rPr>
        <w:t xml:space="preserve">, за винятком підгрупи з базовим показником MELD ≥15. Показники нової декомпенсації у пацієнтів з </w:t>
      </w:r>
      <w:r w:rsidR="00741FC6">
        <w:rPr>
          <w:rFonts w:ascii="Times New Roman" w:hAnsi="Times New Roman" w:cs="Times New Roman"/>
          <w:lang w:val="uk-UA"/>
        </w:rPr>
        <w:t>д</w:t>
      </w:r>
      <w:r w:rsidRPr="00BA5C0A">
        <w:rPr>
          <w:rFonts w:ascii="Times New Roman" w:hAnsi="Times New Roman" w:cs="Times New Roman"/>
          <w:lang w:val="uk-UA"/>
        </w:rPr>
        <w:t xml:space="preserve">екомпенсованим захворюванням на початковому етапі були значно </w:t>
      </w:r>
      <w:r w:rsidRPr="00BA5C0A">
        <w:rPr>
          <w:rFonts w:ascii="Times New Roman" w:hAnsi="Times New Roman" w:cs="Times New Roman"/>
          <w:lang w:val="uk-UA"/>
        </w:rPr>
        <w:lastRenderedPageBreak/>
        <w:t xml:space="preserve">нижчими </w:t>
      </w:r>
      <w:r w:rsidR="00D60797">
        <w:rPr>
          <w:rFonts w:ascii="Times New Roman" w:hAnsi="Times New Roman" w:cs="Times New Roman"/>
          <w:lang w:val="uk-UA"/>
        </w:rPr>
        <w:t xml:space="preserve">у </w:t>
      </w:r>
      <w:r w:rsidRPr="00BA5C0A">
        <w:rPr>
          <w:rFonts w:ascii="Times New Roman" w:hAnsi="Times New Roman" w:cs="Times New Roman"/>
          <w:lang w:val="uk-UA"/>
        </w:rPr>
        <w:t xml:space="preserve">когорті, яка пройшла лікування (4% проти 10%). </w:t>
      </w:r>
      <w:r w:rsidRPr="00BA5C0A">
        <w:rPr>
          <w:rFonts w:ascii="Times New Roman" w:hAnsi="Times New Roman" w:cs="Times New Roman"/>
          <w:vertAlign w:val="superscript"/>
          <w:lang w:val="uk-UA"/>
        </w:rPr>
        <w:t xml:space="preserve">117 </w:t>
      </w:r>
      <w:r w:rsidRPr="00BA5C0A">
        <w:rPr>
          <w:rFonts w:ascii="Times New Roman" w:hAnsi="Times New Roman" w:cs="Times New Roman"/>
          <w:lang w:val="uk-UA"/>
        </w:rPr>
        <w:t>Тривалі спостереження за тією ж групою пацієнтів підтвердили, що лікування є клінічно корисним у пацієнтів з розвиненою печінковою хворобою.</w:t>
      </w:r>
      <w:r w:rsidRPr="00BA5C0A">
        <w:rPr>
          <w:rFonts w:ascii="Times New Roman" w:hAnsi="Times New Roman" w:cs="Times New Roman"/>
          <w:vertAlign w:val="superscript"/>
          <w:lang w:val="uk-UA"/>
        </w:rPr>
        <w:t>118</w:t>
      </w:r>
    </w:p>
    <w:p w14:paraId="3FA5109A" w14:textId="77777777" w:rsidR="00BA5C0A" w:rsidRPr="00BA5C0A" w:rsidRDefault="00BA5C0A" w:rsidP="00BA5C0A">
      <w:pPr>
        <w:jc w:val="both"/>
        <w:rPr>
          <w:rFonts w:ascii="Times New Roman" w:hAnsi="Times New Roman" w:cs="Times New Roman"/>
          <w:lang w:val="uk-UA"/>
        </w:rPr>
      </w:pPr>
    </w:p>
    <w:p w14:paraId="3A7AB4DE" w14:textId="064E2469" w:rsidR="00BA5C0A" w:rsidRPr="00BA5C0A" w:rsidRDefault="00D60797" w:rsidP="00BA5C0A">
      <w:pPr>
        <w:jc w:val="both"/>
        <w:rPr>
          <w:rFonts w:ascii="Times New Roman" w:hAnsi="Times New Roman" w:cs="Times New Roman"/>
          <w:vertAlign w:val="superscript"/>
          <w:lang w:val="uk-UA"/>
        </w:rPr>
      </w:pPr>
      <w:r>
        <w:rPr>
          <w:rFonts w:ascii="Times New Roman" w:hAnsi="Times New Roman" w:cs="Times New Roman"/>
          <w:lang w:val="uk-UA"/>
        </w:rPr>
        <w:t>У двох</w:t>
      </w:r>
      <w:r w:rsidR="00BA5C0A" w:rsidRPr="00BA5C0A">
        <w:rPr>
          <w:rFonts w:ascii="Times New Roman" w:hAnsi="Times New Roman" w:cs="Times New Roman"/>
          <w:lang w:val="uk-UA"/>
        </w:rPr>
        <w:t xml:space="preserve"> дослідження</w:t>
      </w:r>
      <w:r>
        <w:rPr>
          <w:rFonts w:ascii="Times New Roman" w:hAnsi="Times New Roman" w:cs="Times New Roman"/>
          <w:lang w:val="uk-UA"/>
        </w:rPr>
        <w:t>х</w:t>
      </w:r>
      <w:r w:rsidR="00BA5C0A" w:rsidRPr="00BA5C0A">
        <w:rPr>
          <w:rFonts w:ascii="Times New Roman" w:hAnsi="Times New Roman" w:cs="Times New Roman"/>
          <w:lang w:val="uk-UA"/>
        </w:rPr>
        <w:t xml:space="preserve"> </w:t>
      </w:r>
      <w:r w:rsidR="00D619D6">
        <w:rPr>
          <w:rFonts w:ascii="Times New Roman" w:hAnsi="Times New Roman" w:cs="Times New Roman"/>
          <w:lang w:val="uk-UA"/>
        </w:rPr>
        <w:t xml:space="preserve">– </w:t>
      </w:r>
      <w:r w:rsidR="00BA5C0A" w:rsidRPr="00BA5C0A">
        <w:rPr>
          <w:rFonts w:ascii="Times New Roman" w:hAnsi="Times New Roman" w:cs="Times New Roman"/>
          <w:lang w:val="uk-UA"/>
        </w:rPr>
        <w:t>SOLAR та спільн</w:t>
      </w:r>
      <w:r>
        <w:rPr>
          <w:rFonts w:ascii="Times New Roman" w:hAnsi="Times New Roman" w:cs="Times New Roman"/>
          <w:lang w:val="uk-UA"/>
        </w:rPr>
        <w:t>ому</w:t>
      </w:r>
      <w:r w:rsidR="00BA5C0A" w:rsidRPr="00BA5C0A">
        <w:rPr>
          <w:rFonts w:ascii="Times New Roman" w:hAnsi="Times New Roman" w:cs="Times New Roman"/>
          <w:lang w:val="uk-UA"/>
        </w:rPr>
        <w:t xml:space="preserve"> дослідженн</w:t>
      </w:r>
      <w:r>
        <w:rPr>
          <w:rFonts w:ascii="Times New Roman" w:hAnsi="Times New Roman" w:cs="Times New Roman"/>
          <w:lang w:val="uk-UA"/>
        </w:rPr>
        <w:t>і</w:t>
      </w:r>
      <w:r w:rsidR="00BA5C0A" w:rsidRPr="00BA5C0A">
        <w:rPr>
          <w:rFonts w:ascii="Times New Roman" w:hAnsi="Times New Roman" w:cs="Times New Roman"/>
          <w:lang w:val="uk-UA"/>
        </w:rPr>
        <w:t xml:space="preserve"> Об'єднаного Королівства для вивчення раннього доступу</w:t>
      </w:r>
      <w:r w:rsidR="00574332" w:rsidRPr="00D005A1">
        <w:rPr>
          <w:rFonts w:ascii="Times New Roman" w:hAnsi="Times New Roman" w:cs="Times New Roman"/>
          <w:lang w:val="uk-UA"/>
        </w:rPr>
        <w:t xml:space="preserve"> </w:t>
      </w:r>
      <w:r w:rsidR="00574332">
        <w:rPr>
          <w:rFonts w:ascii="Times New Roman" w:hAnsi="Times New Roman" w:cs="Times New Roman"/>
          <w:lang w:val="uk-UA"/>
        </w:rPr>
        <w:t>до лікування</w:t>
      </w:r>
      <w:r w:rsidR="00BA5C0A" w:rsidRPr="00BA5C0A">
        <w:rPr>
          <w:rFonts w:ascii="Times New Roman" w:hAnsi="Times New Roman" w:cs="Times New Roman"/>
          <w:lang w:val="uk-UA"/>
        </w:rPr>
        <w:t>, частка пацієнтів, які значно покращили свої показники MELD після досягнення СВВ, бул</w:t>
      </w:r>
      <w:r w:rsidR="00D619D6">
        <w:rPr>
          <w:rFonts w:ascii="Times New Roman" w:hAnsi="Times New Roman" w:cs="Times New Roman"/>
          <w:lang w:val="uk-UA"/>
        </w:rPr>
        <w:t>а</w:t>
      </w:r>
      <w:r w:rsidR="00BA5C0A" w:rsidRPr="00BA5C0A">
        <w:rPr>
          <w:rFonts w:ascii="Times New Roman" w:hAnsi="Times New Roman" w:cs="Times New Roman"/>
          <w:lang w:val="uk-UA"/>
        </w:rPr>
        <w:t xml:space="preserve"> незначн</w:t>
      </w:r>
      <w:r w:rsidR="00D619D6">
        <w:rPr>
          <w:rFonts w:ascii="Times New Roman" w:hAnsi="Times New Roman" w:cs="Times New Roman"/>
          <w:lang w:val="uk-UA"/>
        </w:rPr>
        <w:t>ою.</w:t>
      </w:r>
      <w:r w:rsidR="00BA5C0A" w:rsidRPr="00BA5C0A">
        <w:rPr>
          <w:rFonts w:ascii="Times New Roman" w:hAnsi="Times New Roman" w:cs="Times New Roman"/>
          <w:lang w:val="uk-UA"/>
        </w:rPr>
        <w:t xml:space="preserve"> Тільки </w:t>
      </w:r>
      <w:r w:rsidR="00574332">
        <w:rPr>
          <w:rFonts w:ascii="Times New Roman" w:hAnsi="Times New Roman" w:cs="Times New Roman"/>
          <w:lang w:val="uk-UA"/>
        </w:rPr>
        <w:t xml:space="preserve">у </w:t>
      </w:r>
      <w:r w:rsidR="00BA5C0A" w:rsidRPr="00BA5C0A">
        <w:rPr>
          <w:rFonts w:ascii="Times New Roman" w:hAnsi="Times New Roman" w:cs="Times New Roman"/>
          <w:lang w:val="uk-UA"/>
        </w:rPr>
        <w:t>24% (10/42) пацієнтів з Child</w:t>
      </w:r>
      <w:r w:rsidR="00FC6D8A">
        <w:rPr>
          <w:rFonts w:ascii="Times New Roman" w:hAnsi="Times New Roman" w:cs="Times New Roman"/>
          <w:lang w:val="uk-UA"/>
        </w:rPr>
        <w:t>–</w:t>
      </w:r>
      <w:r w:rsidR="00BA5C0A" w:rsidRPr="00BA5C0A">
        <w:rPr>
          <w:rFonts w:ascii="Times New Roman" w:hAnsi="Times New Roman" w:cs="Times New Roman"/>
          <w:lang w:val="uk-UA"/>
        </w:rPr>
        <w:t xml:space="preserve">Pugh B та 38% (13/34) пацієнтів з цирозом </w:t>
      </w:r>
      <w:r w:rsidR="00574332">
        <w:rPr>
          <w:rFonts w:ascii="Times New Roman" w:hAnsi="Times New Roman" w:cs="Times New Roman"/>
          <w:lang w:val="uk-UA"/>
        </w:rPr>
        <w:t>(</w:t>
      </w:r>
      <w:r w:rsidR="00BA5C0A" w:rsidRPr="00BA5C0A">
        <w:rPr>
          <w:rFonts w:ascii="Times New Roman" w:hAnsi="Times New Roman" w:cs="Times New Roman"/>
          <w:lang w:val="uk-UA"/>
        </w:rPr>
        <w:t>Child</w:t>
      </w:r>
      <w:r w:rsidR="00FC6D8A">
        <w:rPr>
          <w:rFonts w:ascii="Times New Roman" w:hAnsi="Times New Roman" w:cs="Times New Roman"/>
          <w:lang w:val="uk-UA"/>
        </w:rPr>
        <w:t>–</w:t>
      </w:r>
      <w:r w:rsidR="00BA5C0A" w:rsidRPr="00BA5C0A">
        <w:rPr>
          <w:rFonts w:ascii="Times New Roman" w:hAnsi="Times New Roman" w:cs="Times New Roman"/>
          <w:lang w:val="uk-UA"/>
        </w:rPr>
        <w:t>Pugh C</w:t>
      </w:r>
      <w:r w:rsidR="00574332">
        <w:rPr>
          <w:rFonts w:ascii="Times New Roman" w:hAnsi="Times New Roman" w:cs="Times New Roman"/>
          <w:lang w:val="uk-UA"/>
        </w:rPr>
        <w:t>)</w:t>
      </w:r>
      <w:r w:rsidR="00BA5C0A" w:rsidRPr="00BA5C0A">
        <w:rPr>
          <w:rFonts w:ascii="Times New Roman" w:hAnsi="Times New Roman" w:cs="Times New Roman"/>
          <w:lang w:val="uk-UA"/>
        </w:rPr>
        <w:t xml:space="preserve"> </w:t>
      </w:r>
      <w:r w:rsidR="00A57EF1">
        <w:rPr>
          <w:rFonts w:ascii="Times New Roman" w:hAnsi="Times New Roman" w:cs="Times New Roman"/>
          <w:lang w:val="uk-UA"/>
        </w:rPr>
        <w:t>було покращення</w:t>
      </w:r>
      <w:r w:rsidR="00BA5C0A" w:rsidRPr="00BA5C0A">
        <w:rPr>
          <w:rFonts w:ascii="Times New Roman" w:hAnsi="Times New Roman" w:cs="Times New Roman"/>
          <w:lang w:val="uk-UA"/>
        </w:rPr>
        <w:t xml:space="preserve"> показника MELD ≥ 3 через 12 тижнів після закінчення лікування </w:t>
      </w:r>
      <w:r w:rsidR="00A57EF1">
        <w:rPr>
          <w:rFonts w:ascii="Times New Roman" w:hAnsi="Times New Roman" w:cs="Times New Roman"/>
          <w:lang w:val="uk-UA"/>
        </w:rPr>
        <w:t>(</w:t>
      </w:r>
      <w:r w:rsidR="00BA5C0A" w:rsidRPr="00BA5C0A">
        <w:rPr>
          <w:rFonts w:ascii="Times New Roman" w:hAnsi="Times New Roman" w:cs="Times New Roman"/>
          <w:lang w:val="uk-UA"/>
        </w:rPr>
        <w:t>згідно</w:t>
      </w:r>
      <w:r w:rsidR="00A57EF1">
        <w:rPr>
          <w:rFonts w:ascii="Times New Roman" w:hAnsi="Times New Roman" w:cs="Times New Roman"/>
          <w:lang w:val="uk-UA"/>
        </w:rPr>
        <w:t xml:space="preserve"> з</w:t>
      </w:r>
      <w:r w:rsidR="00BA5C0A" w:rsidRPr="00BA5C0A">
        <w:rPr>
          <w:rFonts w:ascii="Times New Roman" w:hAnsi="Times New Roman" w:cs="Times New Roman"/>
          <w:lang w:val="uk-UA"/>
        </w:rPr>
        <w:t xml:space="preserve"> об'єднани</w:t>
      </w:r>
      <w:r w:rsidR="00A57EF1">
        <w:rPr>
          <w:rFonts w:ascii="Times New Roman" w:hAnsi="Times New Roman" w:cs="Times New Roman"/>
          <w:lang w:val="uk-UA"/>
        </w:rPr>
        <w:t>ми</w:t>
      </w:r>
      <w:r w:rsidR="00BA5C0A" w:rsidRPr="00BA5C0A">
        <w:rPr>
          <w:rFonts w:ascii="Times New Roman" w:hAnsi="Times New Roman" w:cs="Times New Roman"/>
          <w:lang w:val="uk-UA"/>
        </w:rPr>
        <w:t xml:space="preserve"> результат</w:t>
      </w:r>
      <w:r w:rsidR="00A57EF1">
        <w:rPr>
          <w:rFonts w:ascii="Times New Roman" w:hAnsi="Times New Roman" w:cs="Times New Roman"/>
          <w:lang w:val="uk-UA"/>
        </w:rPr>
        <w:t>ами</w:t>
      </w:r>
      <w:r w:rsidR="00BA5C0A" w:rsidRPr="00BA5C0A">
        <w:rPr>
          <w:rFonts w:ascii="Times New Roman" w:hAnsi="Times New Roman" w:cs="Times New Roman"/>
          <w:lang w:val="uk-UA"/>
        </w:rPr>
        <w:t xml:space="preserve"> від SOLAR</w:t>
      </w:r>
      <w:r w:rsidR="00FC6D8A">
        <w:rPr>
          <w:rFonts w:ascii="Times New Roman" w:hAnsi="Times New Roman" w:cs="Times New Roman"/>
          <w:lang w:val="uk-UA"/>
        </w:rPr>
        <w:t>–</w:t>
      </w:r>
      <w:r w:rsidR="00BA5C0A" w:rsidRPr="00BA5C0A">
        <w:rPr>
          <w:rFonts w:ascii="Times New Roman" w:hAnsi="Times New Roman" w:cs="Times New Roman"/>
          <w:lang w:val="uk-UA"/>
        </w:rPr>
        <w:t>1 і SOLAR</w:t>
      </w:r>
      <w:r w:rsidR="00FC6D8A">
        <w:rPr>
          <w:rFonts w:ascii="Times New Roman" w:hAnsi="Times New Roman" w:cs="Times New Roman"/>
          <w:lang w:val="uk-UA"/>
        </w:rPr>
        <w:t>–</w:t>
      </w:r>
      <w:r w:rsidR="00BA5C0A" w:rsidRPr="00BA5C0A">
        <w:rPr>
          <w:rFonts w:ascii="Times New Roman" w:hAnsi="Times New Roman" w:cs="Times New Roman"/>
          <w:lang w:val="uk-UA"/>
        </w:rPr>
        <w:t>2</w:t>
      </w:r>
      <w:r w:rsidR="00A57EF1">
        <w:rPr>
          <w:rFonts w:ascii="Times New Roman" w:hAnsi="Times New Roman" w:cs="Times New Roman"/>
          <w:lang w:val="uk-UA"/>
        </w:rPr>
        <w:t>)</w:t>
      </w:r>
      <w:r w:rsidR="00BA5C0A" w:rsidRPr="00BA5C0A">
        <w:rPr>
          <w:rFonts w:ascii="Times New Roman" w:hAnsi="Times New Roman" w:cs="Times New Roman"/>
          <w:lang w:val="uk-UA"/>
        </w:rPr>
        <w:t>. Ці результати порівн</w:t>
      </w:r>
      <w:r w:rsidR="00A57EF1">
        <w:rPr>
          <w:rFonts w:ascii="Times New Roman" w:hAnsi="Times New Roman" w:cs="Times New Roman"/>
          <w:lang w:val="uk-UA"/>
        </w:rPr>
        <w:t>ювалися</w:t>
      </w:r>
      <w:r w:rsidR="00BA5C0A" w:rsidRPr="00BA5C0A">
        <w:rPr>
          <w:rFonts w:ascii="Times New Roman" w:hAnsi="Times New Roman" w:cs="Times New Roman"/>
          <w:lang w:val="uk-UA"/>
        </w:rPr>
        <w:t xml:space="preserve"> з результатами дослідження в рамках програми раннього доступу Об'єднаного Королівства, </w:t>
      </w:r>
      <w:r w:rsidR="00D619D6">
        <w:rPr>
          <w:rFonts w:ascii="Times New Roman" w:hAnsi="Times New Roman" w:cs="Times New Roman"/>
          <w:lang w:val="uk-UA"/>
        </w:rPr>
        <w:t xml:space="preserve">що </w:t>
      </w:r>
      <w:r w:rsidR="00BA5C0A" w:rsidRPr="00BA5C0A">
        <w:rPr>
          <w:rFonts w:ascii="Times New Roman" w:hAnsi="Times New Roman" w:cs="Times New Roman"/>
          <w:lang w:val="uk-UA"/>
        </w:rPr>
        <w:t>показа</w:t>
      </w:r>
      <w:r w:rsidR="00D619D6">
        <w:rPr>
          <w:rFonts w:ascii="Times New Roman" w:hAnsi="Times New Roman" w:cs="Times New Roman"/>
          <w:lang w:val="uk-UA"/>
        </w:rPr>
        <w:t>л</w:t>
      </w:r>
      <w:r w:rsidR="00BA5C0A" w:rsidRPr="00BA5C0A">
        <w:rPr>
          <w:rFonts w:ascii="Times New Roman" w:hAnsi="Times New Roman" w:cs="Times New Roman"/>
          <w:lang w:val="uk-UA"/>
        </w:rPr>
        <w:t xml:space="preserve">и </w:t>
      </w:r>
      <w:r w:rsidR="00D619D6">
        <w:rPr>
          <w:rFonts w:ascii="Times New Roman" w:hAnsi="Times New Roman" w:cs="Times New Roman"/>
          <w:lang w:val="uk-UA"/>
        </w:rPr>
        <w:t>покращення</w:t>
      </w:r>
      <w:r w:rsidR="00BA5C0A" w:rsidRPr="00BA5C0A">
        <w:rPr>
          <w:rFonts w:ascii="Times New Roman" w:hAnsi="Times New Roman" w:cs="Times New Roman"/>
          <w:lang w:val="uk-UA"/>
        </w:rPr>
        <w:t xml:space="preserve"> показника MELD лише у 17% (15/88) та 33% (3/9) пацієнтів з цирозом печінки </w:t>
      </w:r>
      <w:r w:rsidR="00A57EF1">
        <w:rPr>
          <w:rFonts w:ascii="Times New Roman" w:hAnsi="Times New Roman" w:cs="Times New Roman"/>
          <w:lang w:val="uk-UA"/>
        </w:rPr>
        <w:t>(</w:t>
      </w:r>
      <w:r w:rsidR="00BA5C0A" w:rsidRPr="00BA5C0A">
        <w:rPr>
          <w:rFonts w:ascii="Times New Roman" w:hAnsi="Times New Roman" w:cs="Times New Roman"/>
          <w:lang w:val="uk-UA"/>
        </w:rPr>
        <w:t>Child</w:t>
      </w:r>
      <w:r w:rsidR="00FC6D8A">
        <w:rPr>
          <w:rFonts w:ascii="Times New Roman" w:hAnsi="Times New Roman" w:cs="Times New Roman"/>
          <w:lang w:val="uk-UA"/>
        </w:rPr>
        <w:t>–</w:t>
      </w:r>
      <w:r w:rsidR="00BA5C0A" w:rsidRPr="00BA5C0A">
        <w:rPr>
          <w:rFonts w:ascii="Times New Roman" w:hAnsi="Times New Roman" w:cs="Times New Roman"/>
          <w:lang w:val="uk-UA"/>
        </w:rPr>
        <w:t>Pugh B та С, відповідно</w:t>
      </w:r>
      <w:r w:rsidR="00A57EF1">
        <w:rPr>
          <w:rFonts w:ascii="Times New Roman" w:hAnsi="Times New Roman" w:cs="Times New Roman"/>
          <w:lang w:val="uk-UA"/>
        </w:rPr>
        <w:t>)</w:t>
      </w:r>
      <w:r w:rsidR="00BA5C0A" w:rsidRPr="00BA5C0A">
        <w:rPr>
          <w:rFonts w:ascii="Times New Roman" w:hAnsi="Times New Roman" w:cs="Times New Roman"/>
          <w:lang w:val="uk-UA"/>
        </w:rPr>
        <w:t>.</w:t>
      </w:r>
      <w:r w:rsidR="00BA5C0A" w:rsidRPr="00BA5C0A">
        <w:rPr>
          <w:rFonts w:ascii="Times New Roman" w:hAnsi="Times New Roman" w:cs="Times New Roman"/>
          <w:vertAlign w:val="superscript"/>
          <w:lang w:val="uk-UA"/>
        </w:rPr>
        <w:t>119</w:t>
      </w:r>
    </w:p>
    <w:p w14:paraId="10798916" w14:textId="77777777"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vertAlign w:val="superscript"/>
          <w:lang w:val="uk-UA"/>
        </w:rPr>
        <w:t xml:space="preserve"> </w:t>
      </w:r>
    </w:p>
    <w:p w14:paraId="218CBBB4" w14:textId="677B106E"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У дослідженні ASTRAL</w:t>
      </w:r>
      <w:r w:rsidR="00FC6D8A">
        <w:rPr>
          <w:rFonts w:ascii="Times New Roman" w:hAnsi="Times New Roman" w:cs="Times New Roman"/>
          <w:lang w:val="uk-UA"/>
        </w:rPr>
        <w:t>–</w:t>
      </w:r>
      <w:r w:rsidRPr="00BA5C0A">
        <w:rPr>
          <w:rFonts w:ascii="Times New Roman" w:hAnsi="Times New Roman" w:cs="Times New Roman"/>
          <w:lang w:val="uk-UA"/>
        </w:rPr>
        <w:t xml:space="preserve">4 пацієнти з декомпонованими цирозом </w:t>
      </w:r>
      <w:r w:rsidR="00A57EF1">
        <w:rPr>
          <w:rFonts w:ascii="Times New Roman" w:hAnsi="Times New Roman" w:cs="Times New Roman"/>
          <w:lang w:val="uk-UA"/>
        </w:rPr>
        <w:t>(</w:t>
      </w:r>
      <w:r w:rsidRPr="00BA5C0A">
        <w:rPr>
          <w:rFonts w:ascii="Times New Roman" w:hAnsi="Times New Roman" w:cs="Times New Roman"/>
          <w:lang w:val="uk-UA"/>
        </w:rPr>
        <w:t>Child</w:t>
      </w:r>
      <w:r w:rsidR="00FC6D8A">
        <w:rPr>
          <w:rFonts w:ascii="Times New Roman" w:hAnsi="Times New Roman" w:cs="Times New Roman"/>
          <w:lang w:val="uk-UA"/>
        </w:rPr>
        <w:t>–</w:t>
      </w:r>
      <w:r w:rsidRPr="00BA5C0A">
        <w:rPr>
          <w:rFonts w:ascii="Times New Roman" w:hAnsi="Times New Roman" w:cs="Times New Roman"/>
          <w:lang w:val="uk-UA"/>
        </w:rPr>
        <w:t>Pugh B</w:t>
      </w:r>
      <w:r w:rsidR="00A57EF1">
        <w:rPr>
          <w:rFonts w:ascii="Times New Roman" w:hAnsi="Times New Roman" w:cs="Times New Roman"/>
          <w:lang w:val="uk-UA"/>
        </w:rPr>
        <w:t>)</w:t>
      </w:r>
      <w:r w:rsidRPr="00BA5C0A">
        <w:rPr>
          <w:rFonts w:ascii="Times New Roman" w:hAnsi="Times New Roman" w:cs="Times New Roman"/>
          <w:lang w:val="uk-UA"/>
        </w:rPr>
        <w:t xml:space="preserve">, </w:t>
      </w:r>
      <w:r w:rsidR="00D619D6">
        <w:rPr>
          <w:rFonts w:ascii="Times New Roman" w:hAnsi="Times New Roman" w:cs="Times New Roman"/>
          <w:lang w:val="uk-UA"/>
        </w:rPr>
        <w:t>які</w:t>
      </w:r>
      <w:r w:rsidR="00741FC6">
        <w:rPr>
          <w:rFonts w:ascii="Times New Roman" w:hAnsi="Times New Roman" w:cs="Times New Roman"/>
          <w:lang w:val="uk-UA"/>
        </w:rPr>
        <w:t xml:space="preserve"> </w:t>
      </w:r>
      <w:r w:rsidRPr="00BA5C0A">
        <w:rPr>
          <w:rFonts w:ascii="Times New Roman" w:hAnsi="Times New Roman" w:cs="Times New Roman"/>
          <w:lang w:val="uk-UA"/>
        </w:rPr>
        <w:t>інфікован</w:t>
      </w:r>
      <w:r w:rsidR="00741FC6">
        <w:rPr>
          <w:rFonts w:ascii="Times New Roman" w:hAnsi="Times New Roman" w:cs="Times New Roman"/>
          <w:lang w:val="uk-UA"/>
        </w:rPr>
        <w:t>і</w:t>
      </w:r>
      <w:r w:rsidRPr="00BA5C0A">
        <w:rPr>
          <w:rFonts w:ascii="Times New Roman" w:hAnsi="Times New Roman" w:cs="Times New Roman"/>
          <w:lang w:val="uk-UA"/>
        </w:rPr>
        <w:t xml:space="preserve"> генотипами від 1 до 4, були рандомізовані в 3 групи</w:t>
      </w:r>
      <w:r w:rsidR="00741FC6">
        <w:rPr>
          <w:rFonts w:ascii="Times New Roman" w:hAnsi="Times New Roman" w:cs="Times New Roman"/>
          <w:lang w:val="uk-UA"/>
        </w:rPr>
        <w:t xml:space="preserve"> та </w:t>
      </w:r>
      <w:r w:rsidRPr="00BA5C0A">
        <w:rPr>
          <w:rFonts w:ascii="Times New Roman" w:hAnsi="Times New Roman" w:cs="Times New Roman"/>
          <w:lang w:val="uk-UA"/>
        </w:rPr>
        <w:t>отримува</w:t>
      </w:r>
      <w:r w:rsidR="00741FC6">
        <w:rPr>
          <w:rFonts w:ascii="Times New Roman" w:hAnsi="Times New Roman" w:cs="Times New Roman"/>
          <w:lang w:val="uk-UA"/>
        </w:rPr>
        <w:t>ли</w:t>
      </w:r>
      <w:r w:rsidRPr="00BA5C0A">
        <w:rPr>
          <w:rFonts w:ascii="Times New Roman" w:hAnsi="Times New Roman" w:cs="Times New Roman"/>
          <w:lang w:val="uk-UA"/>
        </w:rPr>
        <w:t xml:space="preserve"> комбінацію з фіксованою дозою софосбувіру і велпатасвіру протягом 12 тижнів без рибавірину; протягом 12 тижнів, на основі дозованого згідно маси тіла рибавірину; протягом 24 тижнів без рибавірину. Відсоткові показники СВВ12 за цими трьома схемами лікування відповідно були: 88% (44/50), 94% (51/54) та 93% (51/55) у пацієнтів з інфекцією генотипу 1а; 89% (16/18), 100% (14/14) та 88% (14/16) у пацієнтів з інфекцією генотипу 1b; 100% (4/4), 100% (4/4) та 75% (3/4) у хворих із генотипом 2; 50% (7/14), 85% (11/13) та 50% (6/12) у пацієнтів з інфекцією генотипу 3; 100% (4/4), 100% (2/2) та 100% (2/2) у хворих з інфекцією генотипу 4. У дослідження не була включена група з софосбувіром, велпатасвіром та рибавірином.</w:t>
      </w:r>
      <w:r w:rsidRPr="00BA5C0A">
        <w:rPr>
          <w:rFonts w:ascii="Times New Roman" w:hAnsi="Times New Roman" w:cs="Times New Roman"/>
          <w:vertAlign w:val="superscript"/>
          <w:lang w:val="uk-UA"/>
        </w:rPr>
        <w:t>120</w:t>
      </w:r>
      <w:r w:rsidRPr="00BA5C0A">
        <w:rPr>
          <w:rFonts w:ascii="Times New Roman" w:hAnsi="Times New Roman" w:cs="Times New Roman"/>
          <w:lang w:val="uk-UA"/>
        </w:rPr>
        <w:t xml:space="preserve"> У пацієнтів з вихідним показником MELD &lt;15, 51% (114/223), показник поліпшився через 12 тижнів після лікування у 22% (49/223) MELD не </w:t>
      </w:r>
      <w:r w:rsidR="00A57EF1" w:rsidRPr="00BA5C0A">
        <w:rPr>
          <w:rFonts w:ascii="Times New Roman" w:hAnsi="Times New Roman" w:cs="Times New Roman"/>
          <w:lang w:val="uk-UA"/>
        </w:rPr>
        <w:t>зміни</w:t>
      </w:r>
      <w:r w:rsidR="00A57EF1">
        <w:rPr>
          <w:rFonts w:ascii="Times New Roman" w:hAnsi="Times New Roman" w:cs="Times New Roman"/>
          <w:lang w:val="uk-UA"/>
        </w:rPr>
        <w:t>вся</w:t>
      </w:r>
      <w:r w:rsidRPr="00BA5C0A">
        <w:rPr>
          <w:rFonts w:ascii="Times New Roman" w:hAnsi="Times New Roman" w:cs="Times New Roman"/>
          <w:lang w:val="uk-UA"/>
        </w:rPr>
        <w:t>, а 27% (60/223) мали гірший показник MELD. У цих дослідженнях медіана поліпшення показника MELD складала 2 бали (діапазон: 1</w:t>
      </w:r>
      <w:r w:rsidR="00FC6D8A">
        <w:rPr>
          <w:rFonts w:ascii="Times New Roman" w:hAnsi="Times New Roman" w:cs="Times New Roman"/>
          <w:lang w:val="uk-UA"/>
        </w:rPr>
        <w:t>–</w:t>
      </w:r>
      <w:r w:rsidRPr="00BA5C0A">
        <w:rPr>
          <w:rFonts w:ascii="Times New Roman" w:hAnsi="Times New Roman" w:cs="Times New Roman"/>
          <w:lang w:val="uk-UA"/>
        </w:rPr>
        <w:t xml:space="preserve">17). Важливо відзначити, що майже не існує даних </w:t>
      </w:r>
      <w:r w:rsidR="00A57EF1">
        <w:rPr>
          <w:rFonts w:ascii="Times New Roman" w:hAnsi="Times New Roman" w:cs="Times New Roman"/>
          <w:lang w:val="uk-UA"/>
        </w:rPr>
        <w:t>щодо</w:t>
      </w:r>
      <w:r w:rsidR="00A57EF1" w:rsidRPr="00BA5C0A">
        <w:rPr>
          <w:rFonts w:ascii="Times New Roman" w:hAnsi="Times New Roman" w:cs="Times New Roman"/>
          <w:lang w:val="uk-UA"/>
        </w:rPr>
        <w:t xml:space="preserve"> </w:t>
      </w:r>
      <w:r w:rsidRPr="00BA5C0A">
        <w:rPr>
          <w:rFonts w:ascii="Times New Roman" w:hAnsi="Times New Roman" w:cs="Times New Roman"/>
          <w:lang w:val="uk-UA"/>
        </w:rPr>
        <w:t>пацієнтів з розвинутими стадіями захворювання (показник Child</w:t>
      </w:r>
      <w:r w:rsidR="00FC6D8A">
        <w:rPr>
          <w:rFonts w:ascii="Times New Roman" w:hAnsi="Times New Roman" w:cs="Times New Roman"/>
          <w:lang w:val="uk-UA"/>
        </w:rPr>
        <w:t>–</w:t>
      </w:r>
      <w:r w:rsidRPr="00BA5C0A">
        <w:rPr>
          <w:rFonts w:ascii="Times New Roman" w:hAnsi="Times New Roman" w:cs="Times New Roman"/>
          <w:lang w:val="uk-UA"/>
        </w:rPr>
        <w:t>Pugh&gt; 12 або MELD &gt; 20), які були виключені з досліджень.</w:t>
      </w:r>
    </w:p>
    <w:p w14:paraId="2F09B066" w14:textId="77777777" w:rsidR="00BA5C0A" w:rsidRPr="00BA5C0A" w:rsidRDefault="00BA5C0A" w:rsidP="00BA5C0A">
      <w:pPr>
        <w:jc w:val="both"/>
        <w:rPr>
          <w:rFonts w:ascii="Times New Roman" w:hAnsi="Times New Roman" w:cs="Times New Roman"/>
          <w:lang w:val="uk-UA"/>
        </w:rPr>
      </w:pPr>
    </w:p>
    <w:p w14:paraId="21C101E3" w14:textId="12372F3E" w:rsidR="00BA5C0A" w:rsidRPr="00BA5C0A" w:rsidRDefault="00BA5C0A" w:rsidP="00BA5C0A">
      <w:pPr>
        <w:jc w:val="both"/>
        <w:rPr>
          <w:rFonts w:ascii="Times New Roman" w:hAnsi="Times New Roman" w:cs="Times New Roman"/>
          <w:vertAlign w:val="superscript"/>
          <w:lang w:val="uk-UA"/>
        </w:rPr>
      </w:pPr>
      <w:r w:rsidRPr="00BA5C0A">
        <w:rPr>
          <w:rFonts w:ascii="Times New Roman" w:hAnsi="Times New Roman" w:cs="Times New Roman"/>
          <w:lang w:val="uk-UA"/>
        </w:rPr>
        <w:t>Кілька досліджень оцінювали, чи досягнення СВВ перед трансплантацією печінки призведе до вилучення пацієнтів зі списку очікування.</w:t>
      </w:r>
      <w:r w:rsidR="00D43206">
        <w:rPr>
          <w:rFonts w:ascii="Times New Roman" w:hAnsi="Times New Roman" w:cs="Times New Roman"/>
          <w:lang w:val="uk-UA"/>
        </w:rPr>
        <w:t xml:space="preserve"> </w:t>
      </w:r>
      <w:r w:rsidRPr="00BA5C0A">
        <w:rPr>
          <w:rFonts w:ascii="Times New Roman" w:hAnsi="Times New Roman" w:cs="Times New Roman"/>
          <w:lang w:val="uk-UA"/>
        </w:rPr>
        <w:t>У багатоцентровому європейському</w:t>
      </w:r>
      <w:r w:rsidR="00330AD6">
        <w:rPr>
          <w:rFonts w:ascii="Times New Roman" w:hAnsi="Times New Roman" w:cs="Times New Roman"/>
          <w:lang w:val="uk-UA"/>
        </w:rPr>
        <w:t xml:space="preserve"> </w:t>
      </w:r>
      <w:r w:rsidRPr="00BA5C0A">
        <w:rPr>
          <w:rFonts w:ascii="Times New Roman" w:hAnsi="Times New Roman" w:cs="Times New Roman"/>
          <w:lang w:val="uk-UA"/>
        </w:rPr>
        <w:t>дослідженні пацієнтів, які отримували без</w:t>
      </w:r>
      <w:r w:rsidR="00FC6D8A">
        <w:rPr>
          <w:rFonts w:ascii="Times New Roman" w:hAnsi="Times New Roman" w:cs="Times New Roman"/>
          <w:lang w:val="uk-UA"/>
        </w:rPr>
        <w:t>–</w:t>
      </w:r>
      <w:r w:rsidRPr="00BA5C0A">
        <w:rPr>
          <w:rFonts w:ascii="Times New Roman" w:hAnsi="Times New Roman" w:cs="Times New Roman"/>
          <w:lang w:val="uk-UA"/>
        </w:rPr>
        <w:t>IFN терапію на основі ПППД з середньою тривалістю спостереження 52 тижні (діапазон 33</w:t>
      </w:r>
      <w:r w:rsidR="00FC6D8A">
        <w:rPr>
          <w:rFonts w:ascii="Times New Roman" w:hAnsi="Times New Roman" w:cs="Times New Roman"/>
          <w:lang w:val="uk-UA"/>
        </w:rPr>
        <w:t>–</w:t>
      </w:r>
      <w:r w:rsidRPr="00BA5C0A">
        <w:rPr>
          <w:rFonts w:ascii="Times New Roman" w:hAnsi="Times New Roman" w:cs="Times New Roman"/>
          <w:lang w:val="uk-UA"/>
        </w:rPr>
        <w:t xml:space="preserve">67), 40% (41/103) пацієнтів пересадили печінку, тоді як лише 20% (21/103) було виключено </w:t>
      </w:r>
      <w:r w:rsidR="00A57EF1">
        <w:rPr>
          <w:rFonts w:ascii="Times New Roman" w:hAnsi="Times New Roman" w:cs="Times New Roman"/>
          <w:lang w:val="uk-UA"/>
        </w:rPr>
        <w:t>зі</w:t>
      </w:r>
      <w:r w:rsidRPr="00BA5C0A">
        <w:rPr>
          <w:rFonts w:ascii="Times New Roman" w:hAnsi="Times New Roman" w:cs="Times New Roman"/>
          <w:lang w:val="uk-UA"/>
        </w:rPr>
        <w:t xml:space="preserve"> списку</w:t>
      </w:r>
      <w:r w:rsidR="00A57EF1">
        <w:rPr>
          <w:rFonts w:ascii="Times New Roman" w:hAnsi="Times New Roman" w:cs="Times New Roman"/>
          <w:lang w:val="uk-UA"/>
        </w:rPr>
        <w:t xml:space="preserve"> очікування</w:t>
      </w:r>
      <w:r w:rsidRPr="00BA5C0A">
        <w:rPr>
          <w:rFonts w:ascii="Times New Roman" w:hAnsi="Times New Roman" w:cs="Times New Roman"/>
          <w:lang w:val="uk-UA"/>
        </w:rPr>
        <w:t xml:space="preserve"> та у</w:t>
      </w:r>
      <w:r w:rsidR="00330AD6">
        <w:rPr>
          <w:rFonts w:ascii="Times New Roman" w:hAnsi="Times New Roman" w:cs="Times New Roman"/>
          <w:lang w:val="uk-UA"/>
        </w:rPr>
        <w:t xml:space="preserve"> </w:t>
      </w:r>
      <w:r w:rsidRPr="00BA5C0A">
        <w:rPr>
          <w:rFonts w:ascii="Times New Roman" w:hAnsi="Times New Roman" w:cs="Times New Roman"/>
          <w:lang w:val="uk-UA"/>
        </w:rPr>
        <w:t>13% (13/103) очікування транспланта було призупинено. Пацієнти з нижчими показниками MELD були більш схильні до делістингу, тоді як середній показник MELD знизився з 15,5 до 14,0 (р = 0,0008) від початку терапії ПППД до 24 тижнів після лікування.</w:t>
      </w:r>
      <w:r w:rsidRPr="00BA5C0A">
        <w:rPr>
          <w:rFonts w:ascii="Times New Roman" w:hAnsi="Times New Roman" w:cs="Times New Roman"/>
          <w:vertAlign w:val="superscript"/>
          <w:lang w:val="uk-UA"/>
        </w:rPr>
        <w:t>58</w:t>
      </w:r>
      <w:r w:rsidRPr="00BA5C0A">
        <w:rPr>
          <w:rFonts w:ascii="Times New Roman" w:hAnsi="Times New Roman" w:cs="Times New Roman"/>
          <w:lang w:val="uk-UA"/>
        </w:rPr>
        <w:t xml:space="preserve"> Серед 23,9% пацієнтів, які були видалені зі списку очікування через клінічні поліпшення та спостереженням з середньою тривалістю 58 тижнів, лише 8,8% (3/34) були знову перенесені до списку за рахунок повторної декомпенсації. Випадків ГКЦ не спостерігалося.</w:t>
      </w:r>
      <w:r w:rsidRPr="00BA5C0A">
        <w:rPr>
          <w:rFonts w:ascii="Times New Roman" w:hAnsi="Times New Roman" w:cs="Times New Roman"/>
          <w:vertAlign w:val="superscript"/>
          <w:lang w:val="uk-UA"/>
        </w:rPr>
        <w:t>121</w:t>
      </w:r>
    </w:p>
    <w:p w14:paraId="37C9640C" w14:textId="77777777" w:rsidR="00BA5C0A" w:rsidRPr="00BA5C0A" w:rsidRDefault="00BA5C0A" w:rsidP="00BA5C0A">
      <w:pPr>
        <w:jc w:val="both"/>
        <w:rPr>
          <w:rFonts w:ascii="Times New Roman" w:hAnsi="Times New Roman" w:cs="Times New Roman"/>
          <w:vertAlign w:val="superscript"/>
          <w:lang w:val="uk-UA"/>
        </w:rPr>
      </w:pPr>
    </w:p>
    <w:p w14:paraId="440FE5E5" w14:textId="464CE689"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У французькому когортному дослідженні, </w:t>
      </w:r>
      <w:r w:rsidR="00D619D6">
        <w:rPr>
          <w:rFonts w:ascii="Times New Roman" w:hAnsi="Times New Roman" w:cs="Times New Roman"/>
          <w:lang w:val="uk-UA"/>
        </w:rPr>
        <w:t>у</w:t>
      </w:r>
      <w:r w:rsidRPr="00BA5C0A">
        <w:rPr>
          <w:rFonts w:ascii="Times New Roman" w:hAnsi="Times New Roman" w:cs="Times New Roman"/>
          <w:lang w:val="uk-UA"/>
        </w:rPr>
        <w:t xml:space="preserve"> тому числі у 18 центрах трансплантації із середнім спостереженням 68 тижнів (діапазон: 12</w:t>
      </w:r>
      <w:r w:rsidR="00FC6D8A">
        <w:rPr>
          <w:rFonts w:ascii="Times New Roman" w:hAnsi="Times New Roman" w:cs="Times New Roman"/>
          <w:lang w:val="uk-UA"/>
        </w:rPr>
        <w:t>–</w:t>
      </w:r>
      <w:r w:rsidRPr="00BA5C0A">
        <w:rPr>
          <w:rFonts w:ascii="Times New Roman" w:hAnsi="Times New Roman" w:cs="Times New Roman"/>
          <w:lang w:val="uk-UA"/>
        </w:rPr>
        <w:t>95 тижнів), 18% пацієнтів (14/77) були виключені зі списку очікування та у 16% (12/77) відбулося покращення. У подібному іспанському дослідженні 24% (29/122) пацієнтів були виключені зі списку очікування після терапії на основі ПППД. Жоден пацієнт з базовим показником MELD &gt; 20 не був виключен.</w:t>
      </w:r>
      <w:r w:rsidRPr="00BA5C0A">
        <w:rPr>
          <w:rFonts w:ascii="Times New Roman" w:hAnsi="Times New Roman" w:cs="Times New Roman"/>
          <w:vertAlign w:val="superscript"/>
          <w:lang w:val="uk-UA"/>
        </w:rPr>
        <w:t>60</w:t>
      </w:r>
      <w:r w:rsidRPr="00BA5C0A">
        <w:rPr>
          <w:rFonts w:ascii="Times New Roman" w:hAnsi="Times New Roman" w:cs="Times New Roman"/>
          <w:lang w:val="uk-UA"/>
        </w:rPr>
        <w:t xml:space="preserve"> Загалом, короткострокові вигоди, повинні порівнюватися з відповідними ризиками та вірогідністю трансплантації. Нещодавнє дослідження в США, в якому поєднувалися реальні дані та дані моделювання, показало, що лікування ВГС перед трансплантацією печінки, збільшило б тривалість життя у пацієнтів з оцінкою MELD ≤23</w:t>
      </w:r>
      <w:r w:rsidR="00FC6D8A">
        <w:rPr>
          <w:rFonts w:ascii="Times New Roman" w:hAnsi="Times New Roman" w:cs="Times New Roman"/>
          <w:lang w:val="uk-UA"/>
        </w:rPr>
        <w:t>–</w:t>
      </w:r>
      <w:r w:rsidRPr="00BA5C0A">
        <w:rPr>
          <w:rFonts w:ascii="Times New Roman" w:hAnsi="Times New Roman" w:cs="Times New Roman"/>
          <w:lang w:val="uk-UA"/>
        </w:rPr>
        <w:t xml:space="preserve">27, залежно від регіону. Коли показник MELD вище 20, очікувана тривалість життя перед трансплантацією печінки в моделі завжди була меншою, ніж один рік, </w:t>
      </w:r>
      <w:r w:rsidRPr="00BA5C0A">
        <w:rPr>
          <w:rFonts w:ascii="Times New Roman" w:hAnsi="Times New Roman" w:cs="Times New Roman"/>
          <w:lang w:val="uk-UA"/>
        </w:rPr>
        <w:lastRenderedPageBreak/>
        <w:t xml:space="preserve">що свідчить на захист пересадки </w:t>
      </w:r>
      <w:r w:rsidR="00D619D6">
        <w:rPr>
          <w:rFonts w:ascii="Times New Roman" w:hAnsi="Times New Roman" w:cs="Times New Roman"/>
          <w:lang w:val="uk-UA"/>
        </w:rPr>
        <w:t xml:space="preserve">печінки </w:t>
      </w:r>
      <w:r w:rsidRPr="00BA5C0A">
        <w:rPr>
          <w:rFonts w:ascii="Times New Roman" w:hAnsi="Times New Roman" w:cs="Times New Roman"/>
          <w:lang w:val="uk-UA"/>
        </w:rPr>
        <w:t xml:space="preserve">до терапії </w:t>
      </w:r>
      <w:r w:rsidR="00D619D6">
        <w:rPr>
          <w:rFonts w:ascii="Times New Roman" w:hAnsi="Times New Roman" w:cs="Times New Roman"/>
          <w:lang w:val="uk-UA"/>
        </w:rPr>
        <w:t>в</w:t>
      </w:r>
      <w:r w:rsidRPr="00BA5C0A">
        <w:rPr>
          <w:rFonts w:ascii="Times New Roman" w:hAnsi="Times New Roman" w:cs="Times New Roman"/>
          <w:lang w:val="uk-UA"/>
        </w:rPr>
        <w:t xml:space="preserve"> осіб з дуже важким захворюванням.</w:t>
      </w:r>
      <w:r w:rsidRPr="00BA5C0A">
        <w:rPr>
          <w:rFonts w:ascii="Times New Roman" w:hAnsi="Times New Roman" w:cs="Times New Roman"/>
          <w:vertAlign w:val="superscript"/>
          <w:lang w:val="uk-UA"/>
        </w:rPr>
        <w:t>59.</w:t>
      </w:r>
      <w:r w:rsidRPr="00BA5C0A">
        <w:rPr>
          <w:rFonts w:ascii="Times New Roman" w:hAnsi="Times New Roman" w:cs="Times New Roman"/>
          <w:lang w:val="uk-UA"/>
        </w:rPr>
        <w:t xml:space="preserve"> Нарешті, лікування до пересадки печінки було </w:t>
      </w:r>
      <w:r w:rsidR="00330AD6">
        <w:rPr>
          <w:rFonts w:ascii="Times New Roman" w:hAnsi="Times New Roman" w:cs="Times New Roman"/>
          <w:lang w:val="uk-UA"/>
        </w:rPr>
        <w:t xml:space="preserve">ефективним </w:t>
      </w:r>
      <w:r w:rsidRPr="00BA5C0A">
        <w:rPr>
          <w:rFonts w:ascii="Times New Roman" w:hAnsi="Times New Roman" w:cs="Times New Roman"/>
          <w:lang w:val="uk-UA"/>
        </w:rPr>
        <w:t xml:space="preserve">для пацієнтів без ГЦК з оцінкою MELD ≤20, тоді як противірусна терапія після трансплантації печінки була </w:t>
      </w:r>
      <w:r w:rsidR="00A57EF1">
        <w:rPr>
          <w:rFonts w:ascii="Times New Roman" w:hAnsi="Times New Roman" w:cs="Times New Roman"/>
          <w:lang w:val="uk-UA"/>
        </w:rPr>
        <w:t>економічно ефективною</w:t>
      </w:r>
      <w:r w:rsidR="00A57EF1" w:rsidRPr="00BA5C0A">
        <w:rPr>
          <w:rFonts w:ascii="Times New Roman" w:hAnsi="Times New Roman" w:cs="Times New Roman"/>
          <w:lang w:val="uk-UA"/>
        </w:rPr>
        <w:t xml:space="preserve"> </w:t>
      </w:r>
      <w:r w:rsidRPr="00BA5C0A">
        <w:rPr>
          <w:rFonts w:ascii="Times New Roman" w:hAnsi="Times New Roman" w:cs="Times New Roman"/>
          <w:lang w:val="uk-UA"/>
        </w:rPr>
        <w:t>у пацієнтів з оцінкою MELD&gt; 20.</w:t>
      </w:r>
      <w:r w:rsidRPr="00BA5C0A">
        <w:rPr>
          <w:rFonts w:ascii="Times New Roman" w:hAnsi="Times New Roman" w:cs="Times New Roman"/>
          <w:vertAlign w:val="superscript"/>
          <w:lang w:val="uk-UA"/>
        </w:rPr>
        <w:t>122</w:t>
      </w:r>
    </w:p>
    <w:p w14:paraId="009A8D8D" w14:textId="77777777" w:rsidR="00BA5C0A" w:rsidRPr="00BA5C0A" w:rsidRDefault="00BA5C0A" w:rsidP="00BA5C0A">
      <w:pPr>
        <w:jc w:val="both"/>
        <w:rPr>
          <w:rFonts w:ascii="Times New Roman" w:hAnsi="Times New Roman" w:cs="Times New Roman"/>
          <w:lang w:val="uk-UA"/>
        </w:rPr>
      </w:pPr>
    </w:p>
    <w:tbl>
      <w:tblPr>
        <w:tblW w:w="983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BA5C0A" w:rsidRPr="00BA5C0A" w14:paraId="7AB28B34" w14:textId="77777777" w:rsidTr="00330AD6">
        <w:trPr>
          <w:trHeight w:val="544"/>
        </w:trPr>
        <w:tc>
          <w:tcPr>
            <w:tcW w:w="9836" w:type="dxa"/>
            <w:shd w:val="clear" w:color="auto" w:fill="BDD6EE" w:themeFill="accent1" w:themeFillTint="66"/>
          </w:tcPr>
          <w:p w14:paraId="44350FA6" w14:textId="03FED737" w:rsidR="00BA5C0A" w:rsidRDefault="00BA5C0A" w:rsidP="00BA5C0A">
            <w:pPr>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Рекомендації</w:t>
            </w:r>
          </w:p>
          <w:p w14:paraId="6293111A" w14:textId="77777777" w:rsidR="00A251D4" w:rsidRPr="00BA5C0A" w:rsidRDefault="00A251D4" w:rsidP="00BA5C0A">
            <w:pPr>
              <w:jc w:val="both"/>
              <w:rPr>
                <w:rFonts w:ascii="Times New Roman" w:hAnsi="Times New Roman" w:cs="Times New Roman"/>
                <w:b/>
                <w:color w:val="4472C4" w:themeColor="accent5"/>
                <w:lang w:val="uk-UA"/>
              </w:rPr>
            </w:pPr>
          </w:p>
          <w:p w14:paraId="42A61A57" w14:textId="7E15371D" w:rsidR="00BA5C0A" w:rsidRPr="00BA5C0A" w:rsidRDefault="00BA5C0A" w:rsidP="00015E3B">
            <w:pPr>
              <w:numPr>
                <w:ilvl w:val="0"/>
                <w:numId w:val="37"/>
              </w:numPr>
              <w:contextualSpacing/>
              <w:jc w:val="both"/>
              <w:rPr>
                <w:rFonts w:ascii="Times New Roman" w:hAnsi="Times New Roman" w:cs="Times New Roman"/>
                <w:lang w:val="uk-UA"/>
              </w:rPr>
            </w:pPr>
            <w:r w:rsidRPr="00BA5C0A">
              <w:rPr>
                <w:rFonts w:ascii="Times New Roman" w:hAnsi="Times New Roman" w:cs="Times New Roman"/>
                <w:lang w:val="uk-UA"/>
              </w:rPr>
              <w:t>Хвор</w:t>
            </w:r>
            <w:r w:rsidR="00A251D4">
              <w:rPr>
                <w:rFonts w:ascii="Times New Roman" w:hAnsi="Times New Roman" w:cs="Times New Roman"/>
                <w:lang w:val="uk-UA"/>
              </w:rPr>
              <w:t>их</w:t>
            </w:r>
            <w:r w:rsidRPr="00BA5C0A">
              <w:rPr>
                <w:rFonts w:ascii="Times New Roman" w:hAnsi="Times New Roman" w:cs="Times New Roman"/>
                <w:lang w:val="uk-UA"/>
              </w:rPr>
              <w:t xml:space="preserve"> з декомпенсованим цирозом </w:t>
            </w:r>
            <w:r w:rsidR="00D619D6">
              <w:rPr>
                <w:rFonts w:ascii="Times New Roman" w:hAnsi="Times New Roman" w:cs="Times New Roman"/>
                <w:lang w:val="uk-UA"/>
              </w:rPr>
              <w:t xml:space="preserve">печінки </w:t>
            </w:r>
            <w:r w:rsidRPr="00BA5C0A">
              <w:rPr>
                <w:rFonts w:ascii="Times New Roman" w:hAnsi="Times New Roman" w:cs="Times New Roman"/>
                <w:lang w:val="uk-UA"/>
              </w:rPr>
              <w:t>(Child</w:t>
            </w:r>
            <w:r w:rsidR="00FC6D8A">
              <w:rPr>
                <w:rFonts w:ascii="Times New Roman" w:hAnsi="Times New Roman" w:cs="Times New Roman"/>
                <w:lang w:val="uk-UA"/>
              </w:rPr>
              <w:t>–</w:t>
            </w:r>
            <w:r w:rsidRPr="00BA5C0A">
              <w:rPr>
                <w:rFonts w:ascii="Times New Roman" w:hAnsi="Times New Roman" w:cs="Times New Roman"/>
                <w:lang w:val="uk-UA"/>
              </w:rPr>
              <w:t xml:space="preserve">Pugh B або C) слід лікувати в </w:t>
            </w:r>
            <w:r w:rsidR="00A251D4">
              <w:rPr>
                <w:rFonts w:ascii="Times New Roman" w:hAnsi="Times New Roman" w:cs="Times New Roman"/>
                <w:lang w:val="uk-UA"/>
              </w:rPr>
              <w:t xml:space="preserve">спеціалізованих </w:t>
            </w:r>
            <w:r w:rsidRPr="00BA5C0A">
              <w:rPr>
                <w:rFonts w:ascii="Times New Roman" w:hAnsi="Times New Roman" w:cs="Times New Roman"/>
                <w:lang w:val="uk-UA"/>
              </w:rPr>
              <w:t xml:space="preserve">центрах з легким доступом до трансплантації печінки, і необхідно проводити </w:t>
            </w:r>
            <w:r w:rsidR="0038526E">
              <w:rPr>
                <w:rFonts w:ascii="Times New Roman" w:hAnsi="Times New Roman" w:cs="Times New Roman"/>
                <w:lang w:val="uk-UA"/>
              </w:rPr>
              <w:t>пильний</w:t>
            </w:r>
            <w:r w:rsidRPr="00BA5C0A">
              <w:rPr>
                <w:rFonts w:ascii="Times New Roman" w:hAnsi="Times New Roman" w:cs="Times New Roman"/>
                <w:lang w:val="uk-UA"/>
              </w:rPr>
              <w:t xml:space="preserve"> моніторинг під час терапії, з можливістю припинення терапії у разі підтвердження погіршення декомпенсації під час лікування ( A1).</w:t>
            </w:r>
          </w:p>
          <w:p w14:paraId="794D4209" w14:textId="53938206" w:rsidR="00BA5C0A" w:rsidRPr="00BA5C0A" w:rsidRDefault="00BA5C0A" w:rsidP="00015E3B">
            <w:pPr>
              <w:numPr>
                <w:ilvl w:val="0"/>
                <w:numId w:val="37"/>
              </w:numPr>
              <w:contextualSpacing/>
              <w:jc w:val="both"/>
              <w:rPr>
                <w:rFonts w:ascii="Times New Roman" w:hAnsi="Times New Roman" w:cs="Times New Roman"/>
                <w:lang w:val="uk-UA"/>
              </w:rPr>
            </w:pPr>
            <w:r w:rsidRPr="00BA5C0A">
              <w:rPr>
                <w:rFonts w:ascii="Times New Roman" w:hAnsi="Times New Roman" w:cs="Times New Roman"/>
                <w:lang w:val="uk-UA"/>
              </w:rPr>
              <w:t>Пацієнтів з декомпенсованим цирозом (Child</w:t>
            </w:r>
            <w:r w:rsidR="00FC6D8A">
              <w:rPr>
                <w:rFonts w:ascii="Times New Roman" w:hAnsi="Times New Roman" w:cs="Times New Roman"/>
                <w:lang w:val="uk-UA"/>
              </w:rPr>
              <w:t>–</w:t>
            </w:r>
            <w:r w:rsidRPr="00BA5C0A">
              <w:rPr>
                <w:rFonts w:ascii="Times New Roman" w:hAnsi="Times New Roman" w:cs="Times New Roman"/>
                <w:lang w:val="uk-UA"/>
              </w:rPr>
              <w:t>Pugh B або C) без ГКЦ, які очікують на трансплантацію печінки з оцінкою MELD &lt;18</w:t>
            </w:r>
            <w:r w:rsidR="00FC6D8A">
              <w:rPr>
                <w:rFonts w:ascii="Times New Roman" w:hAnsi="Times New Roman" w:cs="Times New Roman"/>
                <w:lang w:val="uk-UA"/>
              </w:rPr>
              <w:t>–</w:t>
            </w:r>
            <w:r w:rsidRPr="00BA5C0A">
              <w:rPr>
                <w:rFonts w:ascii="Times New Roman" w:hAnsi="Times New Roman" w:cs="Times New Roman"/>
                <w:lang w:val="uk-UA"/>
              </w:rPr>
              <w:t xml:space="preserve">20, слід лікувати перед трансплантацією печінки. Лікування слід розпочати якнайшвидше, щоб завершити повний курс лікування до трансплантації та оцінити вплив СВВ на функцію печінки, оскільки значне покращення функції печінки може призвести до вилучення </w:t>
            </w:r>
            <w:r w:rsidR="00D619D6">
              <w:rPr>
                <w:rFonts w:ascii="Times New Roman" w:hAnsi="Times New Roman" w:cs="Times New Roman"/>
                <w:lang w:val="uk-UA"/>
              </w:rPr>
              <w:t xml:space="preserve">пацієнта </w:t>
            </w:r>
            <w:r w:rsidRPr="00BA5C0A">
              <w:rPr>
                <w:rFonts w:ascii="Times New Roman" w:hAnsi="Times New Roman" w:cs="Times New Roman"/>
                <w:lang w:val="uk-UA"/>
              </w:rPr>
              <w:t xml:space="preserve">зі списку очікування </w:t>
            </w:r>
            <w:r w:rsidR="00D619D6">
              <w:rPr>
                <w:rFonts w:ascii="Times New Roman" w:hAnsi="Times New Roman" w:cs="Times New Roman"/>
                <w:lang w:val="uk-UA"/>
              </w:rPr>
              <w:t xml:space="preserve">на трансплантацію </w:t>
            </w:r>
            <w:r w:rsidRPr="00BA5C0A">
              <w:rPr>
                <w:rFonts w:ascii="Times New Roman" w:hAnsi="Times New Roman" w:cs="Times New Roman"/>
                <w:lang w:val="uk-UA"/>
              </w:rPr>
              <w:t>в окремих випадках (A1).</w:t>
            </w:r>
          </w:p>
          <w:p w14:paraId="23EB4995" w14:textId="00961E1E" w:rsidR="00BA5C0A" w:rsidRPr="00BA5C0A" w:rsidRDefault="00BA5C0A" w:rsidP="00015E3B">
            <w:pPr>
              <w:numPr>
                <w:ilvl w:val="0"/>
                <w:numId w:val="37"/>
              </w:numPr>
              <w:contextualSpacing/>
              <w:jc w:val="both"/>
              <w:rPr>
                <w:rFonts w:ascii="Times New Roman" w:hAnsi="Times New Roman" w:cs="Times New Roman"/>
                <w:lang w:val="uk-UA"/>
              </w:rPr>
            </w:pPr>
            <w:r w:rsidRPr="00BA5C0A">
              <w:rPr>
                <w:rFonts w:ascii="Times New Roman" w:hAnsi="Times New Roman" w:cs="Times New Roman"/>
                <w:lang w:val="uk-UA"/>
              </w:rPr>
              <w:t>Інгібітори протеази протипоказані пацієнтам з декомпенсованим цирозом (Child</w:t>
            </w:r>
            <w:r w:rsidR="00FC6D8A">
              <w:rPr>
                <w:rFonts w:ascii="Times New Roman" w:hAnsi="Times New Roman" w:cs="Times New Roman"/>
                <w:lang w:val="uk-UA"/>
              </w:rPr>
              <w:t>–</w:t>
            </w:r>
            <w:r w:rsidRPr="00BA5C0A">
              <w:rPr>
                <w:rFonts w:ascii="Times New Roman" w:hAnsi="Times New Roman" w:cs="Times New Roman"/>
                <w:lang w:val="uk-UA"/>
              </w:rPr>
              <w:t>Pugh B або C) (A1).</w:t>
            </w:r>
          </w:p>
          <w:p w14:paraId="1472ABC7" w14:textId="14B2DBBF" w:rsidR="00BA5C0A" w:rsidRPr="00BA5C0A" w:rsidRDefault="00BA5C0A" w:rsidP="00015E3B">
            <w:pPr>
              <w:numPr>
                <w:ilvl w:val="0"/>
                <w:numId w:val="37"/>
              </w:numPr>
              <w:contextualSpacing/>
              <w:jc w:val="both"/>
              <w:rPr>
                <w:rFonts w:ascii="Times New Roman" w:hAnsi="Times New Roman" w:cs="Times New Roman"/>
                <w:lang w:val="uk-UA"/>
              </w:rPr>
            </w:pPr>
            <w:r w:rsidRPr="00BA5C0A">
              <w:rPr>
                <w:rFonts w:ascii="Times New Roman" w:hAnsi="Times New Roman" w:cs="Times New Roman"/>
                <w:lang w:val="uk-UA"/>
              </w:rPr>
              <w:t>Пацієнтів з декомпенсованим цирозом (Child</w:t>
            </w:r>
            <w:r w:rsidR="00FC6D8A">
              <w:rPr>
                <w:rFonts w:ascii="Times New Roman" w:hAnsi="Times New Roman" w:cs="Times New Roman"/>
                <w:lang w:val="uk-UA"/>
              </w:rPr>
              <w:t>–</w:t>
            </w:r>
            <w:r w:rsidRPr="00BA5C0A">
              <w:rPr>
                <w:rFonts w:ascii="Times New Roman" w:hAnsi="Times New Roman" w:cs="Times New Roman"/>
                <w:lang w:val="uk-UA"/>
              </w:rPr>
              <w:t>Pugh B або C) без ГКЦ, що очікують на трансплантацію печінки з оцінкою MELD &lt;18</w:t>
            </w:r>
            <w:r w:rsidR="00FC6D8A">
              <w:rPr>
                <w:rFonts w:ascii="Times New Roman" w:hAnsi="Times New Roman" w:cs="Times New Roman"/>
                <w:lang w:val="uk-UA"/>
              </w:rPr>
              <w:t>–</w:t>
            </w:r>
            <w:r w:rsidRPr="00BA5C0A">
              <w:rPr>
                <w:rFonts w:ascii="Times New Roman" w:hAnsi="Times New Roman" w:cs="Times New Roman"/>
                <w:lang w:val="uk-UA"/>
              </w:rPr>
              <w:t>20, можна лікувати софосбувіром і ледіпасвіром (генотипи 1, 4, 5 і 6) або софосбувіром і велпатасвіром (всі генотипи) з щоденним прийомом рибавірину залежно від ваги (1000 або 1200 мг у пацієнтів &lt;75 кг або ≥75 кг, відповідно) протягом 12 тижнів (A1).</w:t>
            </w:r>
          </w:p>
          <w:p w14:paraId="0E34B22F" w14:textId="10CE7CC1" w:rsidR="00BA5C0A" w:rsidRPr="00BA5C0A" w:rsidRDefault="00BA5C0A" w:rsidP="00015E3B">
            <w:pPr>
              <w:numPr>
                <w:ilvl w:val="0"/>
                <w:numId w:val="37"/>
              </w:numPr>
              <w:contextualSpacing/>
              <w:jc w:val="both"/>
              <w:rPr>
                <w:rFonts w:ascii="Times New Roman" w:hAnsi="Times New Roman" w:cs="Times New Roman"/>
                <w:lang w:val="uk-UA"/>
              </w:rPr>
            </w:pPr>
            <w:r w:rsidRPr="00BA5C0A">
              <w:rPr>
                <w:rFonts w:ascii="Times New Roman" w:hAnsi="Times New Roman" w:cs="Times New Roman"/>
                <w:lang w:val="uk-UA"/>
              </w:rPr>
              <w:t>У хворих з декомпенсованим цирозом без ГКЦ (Child</w:t>
            </w:r>
            <w:r w:rsidR="00FC6D8A">
              <w:rPr>
                <w:rFonts w:ascii="Times New Roman" w:hAnsi="Times New Roman" w:cs="Times New Roman"/>
                <w:lang w:val="uk-UA"/>
              </w:rPr>
              <w:t>–</w:t>
            </w:r>
            <w:r w:rsidRPr="00BA5C0A">
              <w:rPr>
                <w:rFonts w:ascii="Times New Roman" w:hAnsi="Times New Roman" w:cs="Times New Roman"/>
                <w:lang w:val="uk-UA"/>
              </w:rPr>
              <w:t>Pugh B або C), як</w:t>
            </w:r>
            <w:r w:rsidR="00A57EF1">
              <w:rPr>
                <w:rFonts w:ascii="Times New Roman" w:hAnsi="Times New Roman" w:cs="Times New Roman"/>
                <w:lang w:val="uk-UA"/>
              </w:rPr>
              <w:t>і</w:t>
            </w:r>
            <w:r w:rsidRPr="00BA5C0A">
              <w:rPr>
                <w:rFonts w:ascii="Times New Roman" w:hAnsi="Times New Roman" w:cs="Times New Roman"/>
                <w:lang w:val="uk-UA"/>
              </w:rPr>
              <w:t xml:space="preserve"> очіку</w:t>
            </w:r>
            <w:r w:rsidR="00A57EF1">
              <w:rPr>
                <w:rFonts w:ascii="Times New Roman" w:hAnsi="Times New Roman" w:cs="Times New Roman"/>
                <w:lang w:val="uk-UA"/>
              </w:rPr>
              <w:t>ють</w:t>
            </w:r>
            <w:r w:rsidRPr="00BA5C0A">
              <w:rPr>
                <w:rFonts w:ascii="Times New Roman" w:hAnsi="Times New Roman" w:cs="Times New Roman"/>
                <w:lang w:val="uk-UA"/>
              </w:rPr>
              <w:t xml:space="preserve"> трансплантації печінки з оцінкою MELD &lt;18</w:t>
            </w:r>
            <w:r w:rsidR="00FC6D8A">
              <w:rPr>
                <w:rFonts w:ascii="Times New Roman" w:hAnsi="Times New Roman" w:cs="Times New Roman"/>
                <w:lang w:val="uk-UA"/>
              </w:rPr>
              <w:t>–</w:t>
            </w:r>
            <w:r w:rsidRPr="00BA5C0A">
              <w:rPr>
                <w:rFonts w:ascii="Times New Roman" w:hAnsi="Times New Roman" w:cs="Times New Roman"/>
                <w:lang w:val="uk-UA"/>
              </w:rPr>
              <w:t xml:space="preserve">20, </w:t>
            </w:r>
            <w:r w:rsidR="00A57EF1">
              <w:rPr>
                <w:rFonts w:ascii="Times New Roman" w:hAnsi="Times New Roman" w:cs="Times New Roman"/>
                <w:lang w:val="uk-UA"/>
              </w:rPr>
              <w:t xml:space="preserve">та </w:t>
            </w:r>
            <w:r w:rsidRPr="00BA5C0A">
              <w:rPr>
                <w:rFonts w:ascii="Times New Roman" w:hAnsi="Times New Roman" w:cs="Times New Roman"/>
                <w:lang w:val="uk-UA"/>
              </w:rPr>
              <w:t xml:space="preserve">отримують софосбувір і ледіпасвір з рибавірином, або софосбувір і велпатасвір з рибавірином, рибавірин можна почати у дозуванні 600 мг на добу, </w:t>
            </w:r>
            <w:r w:rsidR="00D619D6">
              <w:rPr>
                <w:rFonts w:ascii="Times New Roman" w:hAnsi="Times New Roman" w:cs="Times New Roman"/>
                <w:lang w:val="uk-UA"/>
              </w:rPr>
              <w:t>з подальшою корекцією дози</w:t>
            </w:r>
            <w:r w:rsidRPr="00BA5C0A">
              <w:rPr>
                <w:rFonts w:ascii="Times New Roman" w:hAnsi="Times New Roman" w:cs="Times New Roman"/>
                <w:lang w:val="uk-UA"/>
              </w:rPr>
              <w:t xml:space="preserve"> залежно від переносимості (B1).</w:t>
            </w:r>
          </w:p>
          <w:p w14:paraId="16A47417" w14:textId="4FCC62EA" w:rsidR="00BA5C0A" w:rsidRPr="00BA5C0A" w:rsidRDefault="00BA5C0A" w:rsidP="00015E3B">
            <w:pPr>
              <w:numPr>
                <w:ilvl w:val="0"/>
                <w:numId w:val="37"/>
              </w:numPr>
              <w:contextualSpacing/>
              <w:jc w:val="both"/>
              <w:rPr>
                <w:rFonts w:ascii="Times New Roman" w:hAnsi="Times New Roman" w:cs="Times New Roman"/>
                <w:lang w:val="uk-UA"/>
              </w:rPr>
            </w:pPr>
            <w:r w:rsidRPr="00BA5C0A">
              <w:rPr>
                <w:rFonts w:ascii="Times New Roman" w:hAnsi="Times New Roman" w:cs="Times New Roman"/>
                <w:lang w:val="uk-UA"/>
              </w:rPr>
              <w:t>Пацієнти з декомпенсованими (Child</w:t>
            </w:r>
            <w:r w:rsidR="00FC6D8A">
              <w:rPr>
                <w:rFonts w:ascii="Times New Roman" w:hAnsi="Times New Roman" w:cs="Times New Roman"/>
                <w:lang w:val="uk-UA"/>
              </w:rPr>
              <w:t>–</w:t>
            </w:r>
            <w:r w:rsidRPr="00BA5C0A">
              <w:rPr>
                <w:rFonts w:ascii="Times New Roman" w:hAnsi="Times New Roman" w:cs="Times New Roman"/>
                <w:lang w:val="uk-UA"/>
              </w:rPr>
              <w:t>Pugh B або C) цирозом з протипоказами до застосування рибавірину або з низькою переносимістю рибавірину, повинні отримувати комбінацію фіксованої дози софосбувіру та ледіпасвіру (генотипи 1, 4, 5 або 6), або комбінацію фіксованої дози софосбувіру і велпатасвіру (всіх генотипи) протягом 24 тижнів без рибавірину (А1).</w:t>
            </w:r>
          </w:p>
          <w:p w14:paraId="3E0666FB" w14:textId="1A615C1D" w:rsidR="00BA5C0A" w:rsidRPr="00BA5C0A" w:rsidRDefault="009C24D1" w:rsidP="00015E3B">
            <w:pPr>
              <w:numPr>
                <w:ilvl w:val="0"/>
                <w:numId w:val="37"/>
              </w:numPr>
              <w:contextualSpacing/>
              <w:jc w:val="both"/>
              <w:rPr>
                <w:rFonts w:ascii="Times New Roman" w:hAnsi="Times New Roman" w:cs="Times New Roman"/>
                <w:lang w:val="uk-UA"/>
              </w:rPr>
            </w:pPr>
            <w:r>
              <w:rPr>
                <w:rFonts w:ascii="Times New Roman" w:hAnsi="Times New Roman" w:cs="Times New Roman"/>
                <w:lang w:val="uk-UA"/>
              </w:rPr>
              <w:t>Вищий</w:t>
            </w:r>
            <w:r w:rsidR="00BA5C0A" w:rsidRPr="00BA5C0A">
              <w:rPr>
                <w:rFonts w:ascii="Times New Roman" w:hAnsi="Times New Roman" w:cs="Times New Roman"/>
                <w:lang w:val="uk-UA"/>
              </w:rPr>
              <w:t xml:space="preserve"> ризик побічних </w:t>
            </w:r>
            <w:r w:rsidR="00D619D6">
              <w:rPr>
                <w:rFonts w:ascii="Times New Roman" w:hAnsi="Times New Roman" w:cs="Times New Roman"/>
                <w:lang w:val="uk-UA"/>
              </w:rPr>
              <w:t>реакцій</w:t>
            </w:r>
            <w:r w:rsidR="00BA5C0A" w:rsidRPr="00BA5C0A">
              <w:rPr>
                <w:rFonts w:ascii="Times New Roman" w:hAnsi="Times New Roman" w:cs="Times New Roman"/>
                <w:lang w:val="uk-UA"/>
              </w:rPr>
              <w:t>, про які повідомляють у пацієнтів з декомпенсованим цирозом печінки, що очікують на трансплантацію печінки, вимагає належного періодичного клінічного та лабораторного обстеження під час та після терапії ВГС (B1).</w:t>
            </w:r>
          </w:p>
          <w:p w14:paraId="16A96FBF" w14:textId="2DCA1C19" w:rsidR="00BA5C0A" w:rsidRPr="00BA5C0A" w:rsidRDefault="00BA5C0A" w:rsidP="00015E3B">
            <w:pPr>
              <w:numPr>
                <w:ilvl w:val="0"/>
                <w:numId w:val="37"/>
              </w:numPr>
              <w:contextualSpacing/>
              <w:jc w:val="both"/>
              <w:rPr>
                <w:rFonts w:ascii="Times New Roman" w:hAnsi="Times New Roman" w:cs="Times New Roman"/>
                <w:lang w:val="uk-UA"/>
              </w:rPr>
            </w:pPr>
            <w:r w:rsidRPr="00BA5C0A">
              <w:rPr>
                <w:rFonts w:ascii="Times New Roman" w:hAnsi="Times New Roman" w:cs="Times New Roman"/>
                <w:lang w:val="uk-UA"/>
              </w:rPr>
              <w:t>Пацієнти з декомпенсованим цирозом печінки без ГЦК, які очікують на трансплантацію печінки з оцінкою MELD ≥18</w:t>
            </w:r>
            <w:r w:rsidR="00FC6D8A">
              <w:rPr>
                <w:rFonts w:ascii="Times New Roman" w:hAnsi="Times New Roman" w:cs="Times New Roman"/>
                <w:lang w:val="uk-UA"/>
              </w:rPr>
              <w:t>–</w:t>
            </w:r>
            <w:r w:rsidRPr="00BA5C0A">
              <w:rPr>
                <w:rFonts w:ascii="Times New Roman" w:hAnsi="Times New Roman" w:cs="Times New Roman"/>
                <w:lang w:val="uk-UA"/>
              </w:rPr>
              <w:t>20, спочатку повинні отримати операцію з трансплантації органу. ВГС</w:t>
            </w:r>
            <w:r w:rsidR="00FC6D8A">
              <w:rPr>
                <w:rFonts w:ascii="Times New Roman" w:hAnsi="Times New Roman" w:cs="Times New Roman"/>
                <w:lang w:val="uk-UA"/>
              </w:rPr>
              <w:t>–</w:t>
            </w:r>
            <w:r w:rsidRPr="00BA5C0A">
              <w:rPr>
                <w:rFonts w:ascii="Times New Roman" w:hAnsi="Times New Roman" w:cs="Times New Roman"/>
                <w:lang w:val="uk-UA"/>
              </w:rPr>
              <w:t>інфекцію слід лікувати після трансплантації печінки (B1).</w:t>
            </w:r>
          </w:p>
          <w:p w14:paraId="7D30AD94" w14:textId="72CD7E4E" w:rsidR="00BA5C0A" w:rsidRPr="00BA5C0A" w:rsidRDefault="00BA5C0A" w:rsidP="00015E3B">
            <w:pPr>
              <w:numPr>
                <w:ilvl w:val="0"/>
                <w:numId w:val="37"/>
              </w:numPr>
              <w:contextualSpacing/>
              <w:jc w:val="both"/>
              <w:rPr>
                <w:rFonts w:ascii="Times New Roman" w:hAnsi="Times New Roman" w:cs="Times New Roman"/>
                <w:lang w:val="uk-UA"/>
              </w:rPr>
            </w:pPr>
            <w:r w:rsidRPr="00BA5C0A">
              <w:rPr>
                <w:rFonts w:ascii="Times New Roman" w:hAnsi="Times New Roman" w:cs="Times New Roman"/>
                <w:lang w:val="uk-UA"/>
              </w:rPr>
              <w:t xml:space="preserve">Пацієнтів з декомпенсованим цирозом без ГЦК, які очікують на трансплантацію печінки з оцінкою MELD ≥18 </w:t>
            </w:r>
            <w:r w:rsidR="00FC6D8A">
              <w:rPr>
                <w:rFonts w:ascii="Times New Roman" w:hAnsi="Times New Roman" w:cs="Times New Roman"/>
                <w:lang w:val="uk-UA"/>
              </w:rPr>
              <w:t>–</w:t>
            </w:r>
            <w:r w:rsidRPr="00BA5C0A">
              <w:rPr>
                <w:rFonts w:ascii="Times New Roman" w:hAnsi="Times New Roman" w:cs="Times New Roman"/>
                <w:lang w:val="uk-UA"/>
              </w:rPr>
              <w:t xml:space="preserve"> 20, можна лікувати до трансплантації, якщо час </w:t>
            </w:r>
            <w:r w:rsidR="009C24D1">
              <w:rPr>
                <w:rFonts w:ascii="Times New Roman" w:hAnsi="Times New Roman" w:cs="Times New Roman"/>
                <w:lang w:val="uk-UA"/>
              </w:rPr>
              <w:t xml:space="preserve">перебування </w:t>
            </w:r>
            <w:r w:rsidRPr="00BA5C0A">
              <w:rPr>
                <w:rFonts w:ascii="Times New Roman" w:hAnsi="Times New Roman" w:cs="Times New Roman"/>
                <w:lang w:val="uk-UA"/>
              </w:rPr>
              <w:t>в списку очікування на пересадку</w:t>
            </w:r>
            <w:r w:rsidR="009C24D1">
              <w:rPr>
                <w:rFonts w:ascii="Times New Roman" w:hAnsi="Times New Roman" w:cs="Times New Roman"/>
                <w:lang w:val="uk-UA"/>
              </w:rPr>
              <w:t xml:space="preserve"> печінки</w:t>
            </w:r>
            <w:r w:rsidRPr="00BA5C0A">
              <w:rPr>
                <w:rFonts w:ascii="Times New Roman" w:hAnsi="Times New Roman" w:cs="Times New Roman"/>
                <w:lang w:val="uk-UA"/>
              </w:rPr>
              <w:t xml:space="preserve"> перевищує 6 місяців</w:t>
            </w:r>
            <w:r w:rsidR="00A57EF1">
              <w:rPr>
                <w:rFonts w:ascii="Times New Roman" w:hAnsi="Times New Roman" w:cs="Times New Roman"/>
                <w:lang w:val="uk-UA"/>
              </w:rPr>
              <w:t>,</w:t>
            </w:r>
            <w:r w:rsidRPr="00BA5C0A">
              <w:rPr>
                <w:rFonts w:ascii="Times New Roman" w:hAnsi="Times New Roman" w:cs="Times New Roman"/>
                <w:lang w:val="uk-UA"/>
              </w:rPr>
              <w:t xml:space="preserve"> залежно від конкретної ситуації (В2).</w:t>
            </w:r>
          </w:p>
          <w:p w14:paraId="4F7FF3A3" w14:textId="77777777" w:rsidR="00BA5C0A" w:rsidRPr="00BA5C0A" w:rsidRDefault="00BA5C0A" w:rsidP="00BA5C0A">
            <w:pPr>
              <w:jc w:val="both"/>
              <w:rPr>
                <w:rFonts w:ascii="Times New Roman" w:hAnsi="Times New Roman" w:cs="Times New Roman"/>
                <w:lang w:val="uk-UA"/>
              </w:rPr>
            </w:pPr>
          </w:p>
        </w:tc>
      </w:tr>
    </w:tbl>
    <w:p w14:paraId="2E9345AC" w14:textId="36C76084" w:rsidR="00BA5C0A" w:rsidRDefault="00BA5C0A" w:rsidP="00BA5C0A">
      <w:pPr>
        <w:jc w:val="both"/>
        <w:rPr>
          <w:rFonts w:ascii="Times New Roman" w:hAnsi="Times New Roman" w:cs="Times New Roman"/>
          <w:b/>
          <w:color w:val="4472C4" w:themeColor="accent5"/>
          <w:sz w:val="40"/>
          <w:szCs w:val="40"/>
          <w:lang w:val="uk-UA"/>
        </w:rPr>
      </w:pPr>
    </w:p>
    <w:p w14:paraId="19CE6E63" w14:textId="77777777" w:rsidR="00330AD6" w:rsidRPr="00BA5C0A" w:rsidRDefault="00330AD6" w:rsidP="00BA5C0A">
      <w:pPr>
        <w:jc w:val="both"/>
        <w:rPr>
          <w:rFonts w:ascii="Times New Roman" w:hAnsi="Times New Roman" w:cs="Times New Roman"/>
          <w:b/>
          <w:color w:val="4472C4" w:themeColor="accent5"/>
          <w:sz w:val="40"/>
          <w:szCs w:val="40"/>
          <w:lang w:val="uk-UA"/>
        </w:rPr>
      </w:pPr>
    </w:p>
    <w:p w14:paraId="62E4B405" w14:textId="77777777" w:rsidR="00BA5C0A" w:rsidRPr="00330AD6" w:rsidRDefault="00BA5C0A" w:rsidP="00BA5C0A">
      <w:pPr>
        <w:jc w:val="both"/>
        <w:rPr>
          <w:rFonts w:ascii="Times New Roman" w:hAnsi="Times New Roman" w:cs="Times New Roman"/>
          <w:b/>
          <w:color w:val="4472C4" w:themeColor="accent5"/>
          <w:sz w:val="32"/>
          <w:szCs w:val="32"/>
          <w:lang w:val="uk-UA"/>
        </w:rPr>
      </w:pPr>
      <w:r w:rsidRPr="00330AD6">
        <w:rPr>
          <w:rFonts w:ascii="Times New Roman" w:hAnsi="Times New Roman" w:cs="Times New Roman"/>
          <w:b/>
          <w:color w:val="4472C4" w:themeColor="accent5"/>
          <w:sz w:val="32"/>
          <w:szCs w:val="32"/>
          <w:lang w:val="uk-UA"/>
        </w:rPr>
        <w:lastRenderedPageBreak/>
        <w:t>Пацієнти з ГЦК, без цирозу або з компенсованим цирозом, з показаннями до трансплантації печінки</w:t>
      </w:r>
    </w:p>
    <w:p w14:paraId="7ADB0A2A" w14:textId="77777777" w:rsidR="00BA5C0A" w:rsidRPr="00BA5C0A" w:rsidRDefault="00BA5C0A" w:rsidP="00BA5C0A">
      <w:pPr>
        <w:jc w:val="both"/>
        <w:rPr>
          <w:rFonts w:ascii="Times New Roman" w:hAnsi="Times New Roman" w:cs="Times New Roman"/>
          <w:lang w:val="uk-UA"/>
        </w:rPr>
      </w:pPr>
    </w:p>
    <w:p w14:paraId="4021F21B" w14:textId="37AFDFFD"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У хворих </w:t>
      </w:r>
      <w:r w:rsidR="00A57EF1">
        <w:rPr>
          <w:rFonts w:ascii="Times New Roman" w:hAnsi="Times New Roman" w:cs="Times New Roman"/>
          <w:lang w:val="uk-UA"/>
        </w:rPr>
        <w:t xml:space="preserve">з </w:t>
      </w:r>
      <w:r w:rsidRPr="00BA5C0A">
        <w:rPr>
          <w:rFonts w:ascii="Times New Roman" w:hAnsi="Times New Roman" w:cs="Times New Roman"/>
          <w:lang w:val="uk-UA"/>
        </w:rPr>
        <w:t>ГЦК, без цирозу печінки або з компенсованим цирозом, які мають показання до трансплантації печінки, вибір оптимального варіанту противірусної терапії (до або після трансплантації печінки) все ще обговорюється</w:t>
      </w:r>
      <w:r w:rsidR="009C24D1">
        <w:rPr>
          <w:rFonts w:ascii="Times New Roman" w:hAnsi="Times New Roman" w:cs="Times New Roman"/>
          <w:lang w:val="uk-UA"/>
        </w:rPr>
        <w:t>.</w:t>
      </w:r>
      <w:r w:rsidRPr="00BA5C0A">
        <w:rPr>
          <w:rFonts w:ascii="Times New Roman" w:hAnsi="Times New Roman" w:cs="Times New Roman"/>
          <w:vertAlign w:val="superscript"/>
          <w:lang w:val="uk-UA"/>
        </w:rPr>
        <w:t>123,124</w:t>
      </w:r>
      <w:r w:rsidRPr="00BA5C0A">
        <w:rPr>
          <w:rFonts w:ascii="Times New Roman" w:hAnsi="Times New Roman" w:cs="Times New Roman"/>
          <w:lang w:val="uk-UA"/>
        </w:rPr>
        <w:t xml:space="preserve"> </w:t>
      </w:r>
      <w:r w:rsidR="009C24D1">
        <w:rPr>
          <w:rFonts w:ascii="Times New Roman" w:hAnsi="Times New Roman" w:cs="Times New Roman"/>
          <w:lang w:val="uk-UA"/>
        </w:rPr>
        <w:t>Нижчі</w:t>
      </w:r>
      <w:r w:rsidRPr="00BA5C0A">
        <w:rPr>
          <w:rFonts w:ascii="Times New Roman" w:hAnsi="Times New Roman" w:cs="Times New Roman"/>
          <w:lang w:val="uk-UA"/>
        </w:rPr>
        <w:t xml:space="preserve"> показники СВВ були зареєстровані у пацієнтів з ГЦК, </w:t>
      </w:r>
      <w:r w:rsidR="009C24D1">
        <w:rPr>
          <w:rFonts w:ascii="Times New Roman" w:hAnsi="Times New Roman" w:cs="Times New Roman"/>
          <w:lang w:val="uk-UA"/>
        </w:rPr>
        <w:t xml:space="preserve">які </w:t>
      </w:r>
      <w:r w:rsidRPr="00BA5C0A">
        <w:rPr>
          <w:rFonts w:ascii="Times New Roman" w:hAnsi="Times New Roman" w:cs="Times New Roman"/>
          <w:lang w:val="uk-UA"/>
        </w:rPr>
        <w:t xml:space="preserve">отримували схеми, що включали софосбувір, софосбувір і ледіпасвір, або </w:t>
      </w:r>
      <w:r w:rsidR="006326A5">
        <w:rPr>
          <w:rFonts w:ascii="Times New Roman" w:hAnsi="Times New Roman" w:cs="Times New Roman"/>
          <w:lang w:val="uk-UA"/>
        </w:rPr>
        <w:t xml:space="preserve">комбінація </w:t>
      </w:r>
      <w:r w:rsidR="006326A5" w:rsidRPr="006326A5">
        <w:rPr>
          <w:rFonts w:ascii="Times New Roman" w:hAnsi="Times New Roman" w:cs="Times New Roman"/>
          <w:lang w:val="uk-UA"/>
        </w:rPr>
        <w:t xml:space="preserve">омбітасвіру, паритапревіру, ритонавіру та дасабувіру </w:t>
      </w:r>
      <w:r w:rsidRPr="00BA5C0A">
        <w:rPr>
          <w:rFonts w:ascii="Times New Roman" w:hAnsi="Times New Roman" w:cs="Times New Roman"/>
          <w:lang w:val="uk-UA"/>
        </w:rPr>
        <w:t>з або без рибавірину, ніж у пацієнтів без ГЦК або у пацієнтів з ГЦК, які отримували лікування після трансплантації печінки (74% проти 91% та 94% відповідно).</w:t>
      </w:r>
      <w:r w:rsidRPr="00BA5C0A">
        <w:rPr>
          <w:rFonts w:ascii="Times New Roman" w:hAnsi="Times New Roman" w:cs="Times New Roman"/>
          <w:vertAlign w:val="superscript"/>
          <w:lang w:val="uk-UA"/>
        </w:rPr>
        <w:t>125.</w:t>
      </w:r>
      <w:r w:rsidRPr="00BA5C0A">
        <w:rPr>
          <w:rFonts w:ascii="Times New Roman" w:hAnsi="Times New Roman" w:cs="Times New Roman"/>
          <w:lang w:val="uk-UA"/>
        </w:rPr>
        <w:t xml:space="preserve"> Посттрансплантаційне лікування виявилося </w:t>
      </w:r>
      <w:r w:rsidR="004D684C">
        <w:rPr>
          <w:rFonts w:ascii="Times New Roman" w:hAnsi="Times New Roman" w:cs="Times New Roman"/>
          <w:lang w:val="uk-UA"/>
        </w:rPr>
        <w:t xml:space="preserve">економічно ефективним </w:t>
      </w:r>
      <w:r w:rsidRPr="00BA5C0A">
        <w:rPr>
          <w:rFonts w:ascii="Times New Roman" w:hAnsi="Times New Roman" w:cs="Times New Roman"/>
          <w:lang w:val="uk-UA"/>
        </w:rPr>
        <w:t>у пацієнтів з ГЦК</w:t>
      </w:r>
      <w:r w:rsidRPr="00BA5C0A">
        <w:rPr>
          <w:rFonts w:ascii="Times New Roman" w:hAnsi="Times New Roman" w:cs="Times New Roman"/>
          <w:vertAlign w:val="superscript"/>
          <w:lang w:val="uk-UA"/>
        </w:rPr>
        <w:t>122</w:t>
      </w:r>
      <w:r w:rsidRPr="00BA5C0A">
        <w:rPr>
          <w:rFonts w:ascii="Times New Roman" w:hAnsi="Times New Roman" w:cs="Times New Roman"/>
          <w:lang w:val="uk-UA"/>
        </w:rPr>
        <w:t xml:space="preserve">. У пацієнтів з ГЦК, без цирозу або з компенсованим цирозом, які мають показання до трансплантації печінки, показання до </w:t>
      </w:r>
      <w:r w:rsidR="000C4087">
        <w:rPr>
          <w:rFonts w:ascii="Times New Roman" w:hAnsi="Times New Roman" w:cs="Times New Roman"/>
          <w:lang w:val="uk-UA"/>
        </w:rPr>
        <w:t>проти</w:t>
      </w:r>
      <w:r w:rsidRPr="00BA5C0A">
        <w:rPr>
          <w:rFonts w:ascii="Times New Roman" w:hAnsi="Times New Roman" w:cs="Times New Roman"/>
          <w:lang w:val="uk-UA"/>
        </w:rPr>
        <w:t>вірусної терапії до і після трансплантації подібні показникам пацієнтів, які не мають ГЦК, і залежать від гено</w:t>
      </w:r>
      <w:r w:rsidR="004D684C">
        <w:rPr>
          <w:rFonts w:ascii="Times New Roman" w:hAnsi="Times New Roman" w:cs="Times New Roman"/>
          <w:lang w:val="uk-UA"/>
        </w:rPr>
        <w:t>типу</w:t>
      </w:r>
      <w:r w:rsidRPr="00BA5C0A">
        <w:rPr>
          <w:rFonts w:ascii="Times New Roman" w:hAnsi="Times New Roman" w:cs="Times New Roman"/>
          <w:lang w:val="uk-UA"/>
        </w:rPr>
        <w:t xml:space="preserve"> ВГС, попередньої терапії та важкості захворювання печінки (див. загальні рекомендації).</w:t>
      </w:r>
    </w:p>
    <w:p w14:paraId="7151D198" w14:textId="77777777" w:rsidR="00BA5C0A" w:rsidRPr="00BA5C0A" w:rsidRDefault="00BA5C0A" w:rsidP="00BA5C0A">
      <w:pPr>
        <w:jc w:val="both"/>
        <w:rPr>
          <w:rFonts w:ascii="Times New Roman" w:hAnsi="Times New Roman" w:cs="Times New Roman"/>
          <w:lang w:val="uk-U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A5C0A" w:rsidRPr="0080595E" w14:paraId="622D03AC" w14:textId="77777777" w:rsidTr="00544369">
        <w:trPr>
          <w:trHeight w:val="544"/>
        </w:trPr>
        <w:tc>
          <w:tcPr>
            <w:tcW w:w="9607" w:type="dxa"/>
            <w:shd w:val="clear" w:color="auto" w:fill="BDD6EE" w:themeFill="accent1" w:themeFillTint="66"/>
          </w:tcPr>
          <w:p w14:paraId="6AE2A19D" w14:textId="77777777" w:rsidR="00BA5C0A" w:rsidRPr="00BA5C0A" w:rsidRDefault="00BA5C0A" w:rsidP="00BA5C0A">
            <w:pPr>
              <w:jc w:val="both"/>
              <w:rPr>
                <w:rFonts w:ascii="Times New Roman" w:hAnsi="Times New Roman" w:cs="Times New Roman"/>
                <w:b/>
                <w:i/>
                <w:color w:val="4472C4" w:themeColor="accent5"/>
                <w:lang w:val="uk-UA"/>
              </w:rPr>
            </w:pPr>
            <w:r w:rsidRPr="00BA5C0A">
              <w:rPr>
                <w:rFonts w:ascii="Times New Roman" w:hAnsi="Times New Roman" w:cs="Times New Roman"/>
                <w:b/>
                <w:i/>
                <w:color w:val="4472C4" w:themeColor="accent5"/>
                <w:lang w:val="uk-UA"/>
              </w:rPr>
              <w:t>Рекомендації</w:t>
            </w:r>
          </w:p>
          <w:p w14:paraId="135EE55F" w14:textId="7B20EDFC" w:rsidR="00BA5C0A" w:rsidRPr="00BA5C0A" w:rsidRDefault="00A57EF1" w:rsidP="00015E3B">
            <w:pPr>
              <w:numPr>
                <w:ilvl w:val="0"/>
                <w:numId w:val="38"/>
              </w:numPr>
              <w:contextualSpacing/>
              <w:jc w:val="both"/>
              <w:rPr>
                <w:rFonts w:ascii="Times New Roman" w:hAnsi="Times New Roman" w:cs="Times New Roman"/>
                <w:lang w:val="uk-UA"/>
              </w:rPr>
            </w:pPr>
            <w:r>
              <w:rPr>
                <w:rFonts w:ascii="Times New Roman" w:hAnsi="Times New Roman" w:cs="Times New Roman"/>
                <w:lang w:val="uk-UA"/>
              </w:rPr>
              <w:t>Для</w:t>
            </w:r>
            <w:r w:rsidR="00BA5C0A" w:rsidRPr="00BA5C0A">
              <w:rPr>
                <w:rFonts w:ascii="Times New Roman" w:hAnsi="Times New Roman" w:cs="Times New Roman"/>
                <w:lang w:val="uk-UA"/>
              </w:rPr>
              <w:t xml:space="preserve"> пацієнтів з ГЦК та ВГС, які очікують трансплантацію печінки, </w:t>
            </w:r>
            <w:r>
              <w:rPr>
                <w:rFonts w:ascii="Times New Roman" w:hAnsi="Times New Roman" w:cs="Times New Roman"/>
                <w:lang w:val="uk-UA"/>
              </w:rPr>
              <w:t>необхідно</w:t>
            </w:r>
            <w:r w:rsidRPr="00BA5C0A">
              <w:rPr>
                <w:rFonts w:ascii="Times New Roman" w:hAnsi="Times New Roman" w:cs="Times New Roman"/>
                <w:lang w:val="uk-UA"/>
              </w:rPr>
              <w:t xml:space="preserve"> </w:t>
            </w:r>
            <w:r w:rsidR="00BA5C0A" w:rsidRPr="00BA5C0A">
              <w:rPr>
                <w:rFonts w:ascii="Times New Roman" w:hAnsi="Times New Roman" w:cs="Times New Roman"/>
                <w:lang w:val="uk-UA"/>
              </w:rPr>
              <w:t xml:space="preserve">розглядати трансплантацію печінки як </w:t>
            </w:r>
            <w:r w:rsidR="0053224A">
              <w:rPr>
                <w:rFonts w:ascii="Times New Roman" w:hAnsi="Times New Roman" w:cs="Times New Roman"/>
                <w:lang w:val="uk-UA"/>
              </w:rPr>
              <w:t>основну</w:t>
            </w:r>
            <w:r w:rsidR="00BA5C0A" w:rsidRPr="00BA5C0A">
              <w:rPr>
                <w:rFonts w:ascii="Times New Roman" w:hAnsi="Times New Roman" w:cs="Times New Roman"/>
                <w:lang w:val="uk-UA"/>
              </w:rPr>
              <w:t xml:space="preserve"> терапевтичну мету, а рішення про противірусне лікування повинно </w:t>
            </w:r>
            <w:r w:rsidR="0053224A">
              <w:rPr>
                <w:rFonts w:ascii="Times New Roman" w:hAnsi="Times New Roman" w:cs="Times New Roman"/>
                <w:lang w:val="uk-UA"/>
              </w:rPr>
              <w:t>прийматися</w:t>
            </w:r>
            <w:r w:rsidR="00BA5C0A" w:rsidRPr="00BA5C0A">
              <w:rPr>
                <w:rFonts w:ascii="Times New Roman" w:hAnsi="Times New Roman" w:cs="Times New Roman"/>
                <w:lang w:val="uk-UA"/>
              </w:rPr>
              <w:t xml:space="preserve"> консиліумом окремо у кожному конкретному випадку  (A1).</w:t>
            </w:r>
          </w:p>
          <w:p w14:paraId="3A921F31" w14:textId="77777777" w:rsidR="00BA5C0A" w:rsidRPr="00BA5C0A" w:rsidRDefault="00BA5C0A" w:rsidP="00015E3B">
            <w:pPr>
              <w:numPr>
                <w:ilvl w:val="0"/>
                <w:numId w:val="38"/>
              </w:numPr>
              <w:contextualSpacing/>
              <w:jc w:val="both"/>
              <w:rPr>
                <w:rFonts w:ascii="Times New Roman" w:hAnsi="Times New Roman" w:cs="Times New Roman"/>
                <w:lang w:val="uk-UA"/>
              </w:rPr>
            </w:pPr>
            <w:r w:rsidRPr="00BA5C0A">
              <w:rPr>
                <w:rFonts w:ascii="Times New Roman" w:hAnsi="Times New Roman" w:cs="Times New Roman"/>
                <w:lang w:val="uk-UA"/>
              </w:rPr>
              <w:t>Противірусне лікування може бути розпочато перед трансплантацією печінки для запобігання рецидиву інфекції та ускладнень після трансплантації, за умови, що це не вплине на статус пацієнта в черзі очікування (A2).</w:t>
            </w:r>
          </w:p>
          <w:p w14:paraId="12C35EB0" w14:textId="191B7F41" w:rsidR="00BA5C0A" w:rsidRPr="00BA5C0A" w:rsidRDefault="00BA5C0A" w:rsidP="00015E3B">
            <w:pPr>
              <w:numPr>
                <w:ilvl w:val="0"/>
                <w:numId w:val="38"/>
              </w:numPr>
              <w:contextualSpacing/>
              <w:jc w:val="both"/>
              <w:rPr>
                <w:rFonts w:ascii="Times New Roman" w:hAnsi="Times New Roman" w:cs="Times New Roman"/>
                <w:lang w:val="uk-UA"/>
              </w:rPr>
            </w:pPr>
            <w:r w:rsidRPr="00BA5C0A">
              <w:rPr>
                <w:rFonts w:ascii="Times New Roman" w:hAnsi="Times New Roman" w:cs="Times New Roman"/>
                <w:lang w:val="uk-UA"/>
              </w:rPr>
              <w:t xml:space="preserve">Противірусне лікування може бути відкладено до трансплантації, при високій ймовірності </w:t>
            </w:r>
            <w:r w:rsidR="004D684C">
              <w:rPr>
                <w:rFonts w:ascii="Times New Roman" w:hAnsi="Times New Roman" w:cs="Times New Roman"/>
                <w:lang w:val="uk-UA"/>
              </w:rPr>
              <w:t xml:space="preserve">досягнення </w:t>
            </w:r>
            <w:r w:rsidRPr="00BA5C0A">
              <w:rPr>
                <w:rFonts w:ascii="Times New Roman" w:hAnsi="Times New Roman" w:cs="Times New Roman"/>
                <w:lang w:val="uk-UA"/>
              </w:rPr>
              <w:t>СВВ (А2).</w:t>
            </w:r>
          </w:p>
          <w:p w14:paraId="6C144F24" w14:textId="74C04A1B" w:rsidR="00BA5C0A" w:rsidRPr="00BA5C0A" w:rsidRDefault="00BA5C0A" w:rsidP="00015E3B">
            <w:pPr>
              <w:numPr>
                <w:ilvl w:val="0"/>
                <w:numId w:val="38"/>
              </w:numPr>
              <w:contextualSpacing/>
              <w:jc w:val="both"/>
              <w:rPr>
                <w:rFonts w:ascii="Times New Roman" w:hAnsi="Times New Roman" w:cs="Times New Roman"/>
                <w:lang w:val="uk-UA"/>
              </w:rPr>
            </w:pPr>
            <w:r w:rsidRPr="00BA5C0A">
              <w:rPr>
                <w:rFonts w:ascii="Times New Roman" w:hAnsi="Times New Roman" w:cs="Times New Roman"/>
                <w:lang w:val="uk-UA"/>
              </w:rPr>
              <w:t>Пацієнти з ГЦК без цирозу або з компенсованим (Child</w:t>
            </w:r>
            <w:r w:rsidR="00FC6D8A">
              <w:rPr>
                <w:rFonts w:ascii="Times New Roman" w:hAnsi="Times New Roman" w:cs="Times New Roman"/>
                <w:lang w:val="uk-UA"/>
              </w:rPr>
              <w:t>–</w:t>
            </w:r>
            <w:r w:rsidRPr="00BA5C0A">
              <w:rPr>
                <w:rFonts w:ascii="Times New Roman" w:hAnsi="Times New Roman" w:cs="Times New Roman"/>
                <w:lang w:val="uk-UA"/>
              </w:rPr>
              <w:t>Pugh A) цирозом печінки, які очікують трансплантацію печінки, повинні отримувати лікування до або після трансплантації печінки відповідно до загальних рекомендацій щодо пацієнтів без ГЦК (А1).</w:t>
            </w:r>
          </w:p>
        </w:tc>
      </w:tr>
    </w:tbl>
    <w:p w14:paraId="73F2D764" w14:textId="77777777" w:rsidR="00BA5C0A" w:rsidRPr="00BA5C0A" w:rsidRDefault="00BA5C0A" w:rsidP="00BA5C0A">
      <w:pPr>
        <w:jc w:val="both"/>
        <w:rPr>
          <w:rFonts w:ascii="Times New Roman" w:hAnsi="Times New Roman" w:cs="Times New Roman"/>
          <w:lang w:val="uk-UA"/>
        </w:rPr>
      </w:pPr>
    </w:p>
    <w:p w14:paraId="463E0579" w14:textId="77777777" w:rsidR="00BA5C0A" w:rsidRPr="00330AD6" w:rsidRDefault="00BA5C0A" w:rsidP="00BA5C0A">
      <w:pPr>
        <w:jc w:val="both"/>
        <w:rPr>
          <w:rFonts w:ascii="Times New Roman" w:hAnsi="Times New Roman" w:cs="Times New Roman"/>
          <w:b/>
          <w:color w:val="4472C4" w:themeColor="accent5"/>
          <w:sz w:val="32"/>
          <w:szCs w:val="32"/>
          <w:lang w:val="uk-UA"/>
        </w:rPr>
      </w:pPr>
      <w:r w:rsidRPr="00330AD6">
        <w:rPr>
          <w:rFonts w:ascii="Times New Roman" w:hAnsi="Times New Roman" w:cs="Times New Roman"/>
          <w:b/>
          <w:color w:val="4472C4" w:themeColor="accent5"/>
          <w:sz w:val="32"/>
          <w:szCs w:val="32"/>
          <w:lang w:val="uk-UA"/>
        </w:rPr>
        <w:t>Рецидиви після трансплантації печінки</w:t>
      </w:r>
    </w:p>
    <w:p w14:paraId="5464CD65" w14:textId="77777777" w:rsidR="00BA5C0A" w:rsidRPr="00BA5C0A" w:rsidRDefault="00BA5C0A" w:rsidP="00BA5C0A">
      <w:pPr>
        <w:jc w:val="both"/>
        <w:rPr>
          <w:rFonts w:ascii="Times New Roman" w:hAnsi="Times New Roman" w:cs="Times New Roman"/>
          <w:lang w:val="uk-UA"/>
        </w:rPr>
      </w:pPr>
    </w:p>
    <w:p w14:paraId="3A287EBF" w14:textId="69FE1714"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Рецидив інфекції ВГС, як правило, трапляється у пацієнтів з виявленою РНК ВГС під час трансплантації печінки.</w:t>
      </w:r>
      <w:r w:rsidRPr="00BA5C0A">
        <w:rPr>
          <w:rFonts w:ascii="Times New Roman" w:hAnsi="Times New Roman" w:cs="Times New Roman"/>
          <w:vertAlign w:val="superscript"/>
          <w:lang w:val="uk-UA"/>
        </w:rPr>
        <w:t xml:space="preserve">114 </w:t>
      </w:r>
      <w:r w:rsidR="00A57EF1">
        <w:rPr>
          <w:rFonts w:ascii="Times New Roman" w:hAnsi="Times New Roman" w:cs="Times New Roman"/>
          <w:lang w:val="uk-UA"/>
        </w:rPr>
        <w:t>Розвиток пошкодження</w:t>
      </w:r>
      <w:r w:rsidRPr="00BA5C0A">
        <w:rPr>
          <w:rFonts w:ascii="Times New Roman" w:hAnsi="Times New Roman" w:cs="Times New Roman"/>
          <w:lang w:val="uk-UA"/>
        </w:rPr>
        <w:t xml:space="preserve"> печінки прискорюється у реципієнтів після трансплантації печінки, і приблизно у третини з них розвивається цироз протягом 5 років після трансплантації.</w:t>
      </w:r>
      <w:r w:rsidRPr="00BA5C0A">
        <w:rPr>
          <w:rFonts w:ascii="Times New Roman" w:hAnsi="Times New Roman" w:cs="Times New Roman"/>
          <w:vertAlign w:val="superscript"/>
          <w:lang w:val="uk-UA"/>
        </w:rPr>
        <w:t>126</w:t>
      </w:r>
      <w:r w:rsidR="00FC6D8A">
        <w:rPr>
          <w:rFonts w:ascii="Times New Roman" w:hAnsi="Times New Roman" w:cs="Times New Roman"/>
          <w:vertAlign w:val="superscript"/>
          <w:lang w:val="uk-UA"/>
        </w:rPr>
        <w:t>–</w:t>
      </w:r>
      <w:r w:rsidRPr="00BA5C0A">
        <w:rPr>
          <w:rFonts w:ascii="Times New Roman" w:hAnsi="Times New Roman" w:cs="Times New Roman"/>
          <w:vertAlign w:val="superscript"/>
          <w:lang w:val="uk-UA"/>
        </w:rPr>
        <w:t>129</w:t>
      </w:r>
      <w:r w:rsidRPr="00BA5C0A">
        <w:rPr>
          <w:rFonts w:ascii="Times New Roman" w:hAnsi="Times New Roman" w:cs="Times New Roman"/>
          <w:lang w:val="uk-UA"/>
        </w:rPr>
        <w:t xml:space="preserve"> Загалом, виживання трансплантанта на 30% нижче серед </w:t>
      </w:r>
      <w:r w:rsidR="004D684C">
        <w:rPr>
          <w:rFonts w:ascii="Times New Roman" w:hAnsi="Times New Roman" w:cs="Times New Roman"/>
          <w:lang w:val="uk-UA"/>
        </w:rPr>
        <w:t>ВГС</w:t>
      </w:r>
      <w:r w:rsidR="00FC6D8A">
        <w:rPr>
          <w:rFonts w:ascii="Times New Roman" w:hAnsi="Times New Roman" w:cs="Times New Roman"/>
          <w:lang w:val="uk-UA"/>
        </w:rPr>
        <w:t>–</w:t>
      </w:r>
      <w:r w:rsidRPr="00BA5C0A">
        <w:rPr>
          <w:rFonts w:ascii="Times New Roman" w:hAnsi="Times New Roman" w:cs="Times New Roman"/>
          <w:lang w:val="uk-UA"/>
        </w:rPr>
        <w:t>інфікованих порівн</w:t>
      </w:r>
      <w:r w:rsidR="009F1581">
        <w:rPr>
          <w:rFonts w:ascii="Times New Roman" w:hAnsi="Times New Roman" w:cs="Times New Roman"/>
          <w:lang w:val="uk-UA"/>
        </w:rPr>
        <w:t>юючи</w:t>
      </w:r>
      <w:r w:rsidRPr="00BA5C0A">
        <w:rPr>
          <w:rFonts w:ascii="Times New Roman" w:hAnsi="Times New Roman" w:cs="Times New Roman"/>
          <w:lang w:val="uk-UA"/>
        </w:rPr>
        <w:t xml:space="preserve"> з реципієнтами, </w:t>
      </w:r>
      <w:r w:rsidR="009F1581">
        <w:rPr>
          <w:rFonts w:ascii="Times New Roman" w:hAnsi="Times New Roman" w:cs="Times New Roman"/>
          <w:lang w:val="uk-UA"/>
        </w:rPr>
        <w:t>в</w:t>
      </w:r>
      <w:r w:rsidRPr="00BA5C0A">
        <w:rPr>
          <w:rFonts w:ascii="Times New Roman" w:hAnsi="Times New Roman" w:cs="Times New Roman"/>
          <w:lang w:val="uk-UA"/>
        </w:rPr>
        <w:t xml:space="preserve"> яких на було виявлено ВГС, через рецидив ВГС інфекції, а також позапечінков</w:t>
      </w:r>
      <w:r w:rsidR="004D684C">
        <w:rPr>
          <w:rFonts w:ascii="Times New Roman" w:hAnsi="Times New Roman" w:cs="Times New Roman"/>
          <w:lang w:val="uk-UA"/>
        </w:rPr>
        <w:t>і</w:t>
      </w:r>
      <w:r w:rsidRPr="00BA5C0A">
        <w:rPr>
          <w:rFonts w:ascii="Times New Roman" w:hAnsi="Times New Roman" w:cs="Times New Roman"/>
          <w:lang w:val="uk-UA"/>
        </w:rPr>
        <w:t xml:space="preserve"> прояв</w:t>
      </w:r>
      <w:r w:rsidR="004D684C">
        <w:rPr>
          <w:rFonts w:ascii="Times New Roman" w:hAnsi="Times New Roman" w:cs="Times New Roman"/>
          <w:lang w:val="uk-UA"/>
        </w:rPr>
        <w:t>и</w:t>
      </w:r>
      <w:r w:rsidRPr="00BA5C0A">
        <w:rPr>
          <w:rFonts w:ascii="Times New Roman" w:hAnsi="Times New Roman" w:cs="Times New Roman"/>
          <w:lang w:val="uk-UA"/>
        </w:rPr>
        <w:t>, проблеми з лікуванням та ускладненням імуносупресії. Лікування інфекції ВГС після трансплантації печінки значно покращує виживання.</w:t>
      </w:r>
      <w:r w:rsidRPr="00BA5C0A">
        <w:rPr>
          <w:rFonts w:ascii="Times New Roman" w:hAnsi="Times New Roman" w:cs="Times New Roman"/>
          <w:vertAlign w:val="superscript"/>
          <w:lang w:val="uk-UA"/>
        </w:rPr>
        <w:t>130, 131</w:t>
      </w:r>
      <w:r w:rsidRPr="00BA5C0A">
        <w:rPr>
          <w:rFonts w:ascii="Times New Roman" w:hAnsi="Times New Roman" w:cs="Times New Roman"/>
          <w:lang w:val="uk-UA"/>
        </w:rPr>
        <w:t xml:space="preserve"> У пацієнтів з фіброзно</w:t>
      </w:r>
      <w:r w:rsidR="00FC6D8A">
        <w:rPr>
          <w:rFonts w:ascii="Times New Roman" w:hAnsi="Times New Roman" w:cs="Times New Roman"/>
          <w:lang w:val="uk-UA"/>
        </w:rPr>
        <w:t>–</w:t>
      </w:r>
      <w:r w:rsidRPr="00BA5C0A">
        <w:rPr>
          <w:rFonts w:ascii="Times New Roman" w:hAnsi="Times New Roman" w:cs="Times New Roman"/>
          <w:lang w:val="uk-UA"/>
        </w:rPr>
        <w:t>холестатичним гепатитом і пацієнт</w:t>
      </w:r>
      <w:r w:rsidR="004D684C">
        <w:rPr>
          <w:rFonts w:ascii="Times New Roman" w:hAnsi="Times New Roman" w:cs="Times New Roman"/>
          <w:lang w:val="uk-UA"/>
        </w:rPr>
        <w:t>ів</w:t>
      </w:r>
      <w:r w:rsidRPr="00BA5C0A">
        <w:rPr>
          <w:rFonts w:ascii="Times New Roman" w:hAnsi="Times New Roman" w:cs="Times New Roman"/>
          <w:lang w:val="uk-UA"/>
        </w:rPr>
        <w:t xml:space="preserve"> з помірним або обширним фіброзом або портальною гіпертензією через рік після трансплантації спостерігається високий ризик втрати трансплантату і їм необхідне </w:t>
      </w:r>
      <w:r w:rsidR="004D684C">
        <w:rPr>
          <w:rFonts w:ascii="Times New Roman" w:hAnsi="Times New Roman" w:cs="Times New Roman"/>
          <w:lang w:val="uk-UA"/>
        </w:rPr>
        <w:t>термінове</w:t>
      </w:r>
      <w:r w:rsidRPr="00BA5C0A">
        <w:rPr>
          <w:rFonts w:ascii="Times New Roman" w:hAnsi="Times New Roman" w:cs="Times New Roman"/>
          <w:lang w:val="uk-UA"/>
        </w:rPr>
        <w:t xml:space="preserve"> противірусне лікування.</w:t>
      </w:r>
      <w:r w:rsidRPr="00BA5C0A">
        <w:rPr>
          <w:rFonts w:ascii="Times New Roman" w:hAnsi="Times New Roman" w:cs="Times New Roman"/>
          <w:vertAlign w:val="superscript"/>
          <w:lang w:val="uk-UA"/>
        </w:rPr>
        <w:t>132,133</w:t>
      </w:r>
    </w:p>
    <w:p w14:paraId="3E93442C" w14:textId="77777777" w:rsidR="00BA5C0A" w:rsidRPr="00BA5C0A" w:rsidRDefault="00BA5C0A" w:rsidP="00BA5C0A">
      <w:pPr>
        <w:jc w:val="both"/>
        <w:rPr>
          <w:rFonts w:ascii="Times New Roman" w:hAnsi="Times New Roman" w:cs="Times New Roman"/>
          <w:lang w:val="uk-UA"/>
        </w:rPr>
      </w:pPr>
    </w:p>
    <w:p w14:paraId="32AB1D35" w14:textId="5C0B530D"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У дослідженні SOLAR</w:t>
      </w:r>
      <w:r w:rsidR="00FC6D8A">
        <w:rPr>
          <w:rFonts w:ascii="Times New Roman" w:hAnsi="Times New Roman" w:cs="Times New Roman"/>
          <w:lang w:val="uk-UA"/>
        </w:rPr>
        <w:t>–</w:t>
      </w:r>
      <w:r w:rsidRPr="00BA5C0A">
        <w:rPr>
          <w:rFonts w:ascii="Times New Roman" w:hAnsi="Times New Roman" w:cs="Times New Roman"/>
          <w:lang w:val="uk-UA"/>
        </w:rPr>
        <w:t xml:space="preserve">1 </w:t>
      </w:r>
      <w:r w:rsidR="0000225B">
        <w:rPr>
          <w:rFonts w:ascii="Times New Roman" w:hAnsi="Times New Roman" w:cs="Times New Roman"/>
          <w:lang w:val="uk-UA"/>
        </w:rPr>
        <w:t>реципієнти</w:t>
      </w:r>
      <w:r w:rsidR="0000225B" w:rsidRPr="00BA5C0A">
        <w:rPr>
          <w:rFonts w:ascii="Times New Roman" w:hAnsi="Times New Roman" w:cs="Times New Roman"/>
          <w:lang w:val="uk-UA"/>
        </w:rPr>
        <w:t xml:space="preserve"> </w:t>
      </w:r>
      <w:r w:rsidRPr="00BA5C0A">
        <w:rPr>
          <w:rFonts w:ascii="Times New Roman" w:hAnsi="Times New Roman" w:cs="Times New Roman"/>
          <w:lang w:val="uk-UA"/>
        </w:rPr>
        <w:t xml:space="preserve">трансплантатів із </w:t>
      </w:r>
      <w:r w:rsidR="0000225B">
        <w:rPr>
          <w:rFonts w:ascii="Times New Roman" w:hAnsi="Times New Roman" w:cs="Times New Roman"/>
          <w:lang w:val="uk-UA"/>
        </w:rPr>
        <w:t xml:space="preserve">1 або 4 </w:t>
      </w:r>
      <w:r w:rsidRPr="00BA5C0A">
        <w:rPr>
          <w:rFonts w:ascii="Times New Roman" w:hAnsi="Times New Roman" w:cs="Times New Roman"/>
          <w:lang w:val="uk-UA"/>
        </w:rPr>
        <w:t>генотипом ВГС лікувалися комбінацією фіксованої дози софосбувіру та ледіпасвіру протягом 12 або 24 тижнів з рибавірином. У пацієнтів, які отримували рибавірин протягом 12 тижнів, показники СВВ12 становили 96% (53/55) у тих, хто не мав цирозу, 96% (25/26)</w:t>
      </w:r>
      <w:r w:rsidR="0000225B">
        <w:rPr>
          <w:rFonts w:ascii="Times New Roman" w:hAnsi="Times New Roman" w:cs="Times New Roman"/>
          <w:lang w:val="uk-UA"/>
        </w:rPr>
        <w:t xml:space="preserve"> у тих, хто мав </w:t>
      </w:r>
      <w:r w:rsidRPr="00BA5C0A">
        <w:rPr>
          <w:rFonts w:ascii="Times New Roman" w:hAnsi="Times New Roman" w:cs="Times New Roman"/>
          <w:lang w:val="uk-UA"/>
        </w:rPr>
        <w:t>компенсовани</w:t>
      </w:r>
      <w:r w:rsidR="0000225B">
        <w:rPr>
          <w:rFonts w:ascii="Times New Roman" w:hAnsi="Times New Roman" w:cs="Times New Roman"/>
          <w:lang w:val="uk-UA"/>
        </w:rPr>
        <w:t xml:space="preserve">й </w:t>
      </w:r>
      <w:r w:rsidRPr="00BA5C0A">
        <w:rPr>
          <w:rFonts w:ascii="Times New Roman" w:hAnsi="Times New Roman" w:cs="Times New Roman"/>
          <w:lang w:val="uk-UA"/>
        </w:rPr>
        <w:t xml:space="preserve"> (Child</w:t>
      </w:r>
      <w:r w:rsidR="00FC6D8A">
        <w:rPr>
          <w:rFonts w:ascii="Times New Roman" w:hAnsi="Times New Roman" w:cs="Times New Roman"/>
          <w:lang w:val="uk-UA"/>
        </w:rPr>
        <w:t>–</w:t>
      </w:r>
      <w:r w:rsidRPr="00BA5C0A">
        <w:rPr>
          <w:rFonts w:ascii="Times New Roman" w:hAnsi="Times New Roman" w:cs="Times New Roman"/>
          <w:lang w:val="uk-UA"/>
        </w:rPr>
        <w:t xml:space="preserve">Pugh A) цироз, 85% (22/26 ) </w:t>
      </w:r>
      <w:r w:rsidR="0000225B">
        <w:rPr>
          <w:rFonts w:ascii="Times New Roman" w:hAnsi="Times New Roman" w:cs="Times New Roman"/>
          <w:lang w:val="uk-UA"/>
        </w:rPr>
        <w:t>в</w:t>
      </w:r>
      <w:r w:rsidRPr="00BA5C0A">
        <w:rPr>
          <w:rFonts w:ascii="Times New Roman" w:hAnsi="Times New Roman" w:cs="Times New Roman"/>
          <w:lang w:val="uk-UA"/>
        </w:rPr>
        <w:t xml:space="preserve"> осіб з некомпенсованим цирозом </w:t>
      </w:r>
      <w:r w:rsidR="0000225B">
        <w:rPr>
          <w:rFonts w:ascii="Times New Roman" w:hAnsi="Times New Roman" w:cs="Times New Roman"/>
          <w:lang w:val="uk-UA"/>
        </w:rPr>
        <w:t>(</w:t>
      </w:r>
      <w:r w:rsidRPr="00BA5C0A">
        <w:rPr>
          <w:rFonts w:ascii="Times New Roman" w:hAnsi="Times New Roman" w:cs="Times New Roman"/>
          <w:lang w:val="uk-UA"/>
        </w:rPr>
        <w:t>Child</w:t>
      </w:r>
      <w:r w:rsidR="00FC6D8A">
        <w:rPr>
          <w:rFonts w:ascii="Times New Roman" w:hAnsi="Times New Roman" w:cs="Times New Roman"/>
          <w:lang w:val="uk-UA"/>
        </w:rPr>
        <w:t>–</w:t>
      </w:r>
      <w:r w:rsidRPr="00BA5C0A">
        <w:rPr>
          <w:rFonts w:ascii="Times New Roman" w:hAnsi="Times New Roman" w:cs="Times New Roman"/>
          <w:lang w:val="uk-UA"/>
        </w:rPr>
        <w:t>Pugh</w:t>
      </w:r>
      <w:r w:rsidR="0000225B">
        <w:rPr>
          <w:rFonts w:ascii="Times New Roman" w:hAnsi="Times New Roman" w:cs="Times New Roman"/>
          <w:lang w:val="uk-UA"/>
        </w:rPr>
        <w:t xml:space="preserve"> В)</w:t>
      </w:r>
      <w:r w:rsidRPr="00BA5C0A">
        <w:rPr>
          <w:rFonts w:ascii="Times New Roman" w:hAnsi="Times New Roman" w:cs="Times New Roman"/>
          <w:lang w:val="uk-UA"/>
        </w:rPr>
        <w:t xml:space="preserve"> і 60% (3/5) у пацієнтів з некомпенсованим цирозом печінки (Child</w:t>
      </w:r>
      <w:r w:rsidR="00FC6D8A">
        <w:rPr>
          <w:rFonts w:ascii="Times New Roman" w:hAnsi="Times New Roman" w:cs="Times New Roman"/>
          <w:lang w:val="uk-UA"/>
        </w:rPr>
        <w:t>–</w:t>
      </w:r>
      <w:r w:rsidRPr="00BA5C0A">
        <w:rPr>
          <w:rFonts w:ascii="Times New Roman" w:hAnsi="Times New Roman" w:cs="Times New Roman"/>
          <w:lang w:val="uk-UA"/>
        </w:rPr>
        <w:t xml:space="preserve">Pugh C). </w:t>
      </w:r>
      <w:r w:rsidR="009F1581">
        <w:rPr>
          <w:rFonts w:ascii="Times New Roman" w:hAnsi="Times New Roman" w:cs="Times New Roman"/>
          <w:lang w:val="uk-UA"/>
        </w:rPr>
        <w:t>Показник</w:t>
      </w:r>
      <w:r w:rsidRPr="00BA5C0A">
        <w:rPr>
          <w:rFonts w:ascii="Times New Roman" w:hAnsi="Times New Roman" w:cs="Times New Roman"/>
          <w:lang w:val="uk-UA"/>
        </w:rPr>
        <w:t xml:space="preserve"> СВВ12 не бу</w:t>
      </w:r>
      <w:r w:rsidR="009F1581">
        <w:rPr>
          <w:rFonts w:ascii="Times New Roman" w:hAnsi="Times New Roman" w:cs="Times New Roman"/>
          <w:lang w:val="uk-UA"/>
        </w:rPr>
        <w:t>в</w:t>
      </w:r>
      <w:r w:rsidRPr="00BA5C0A">
        <w:rPr>
          <w:rFonts w:ascii="Times New Roman" w:hAnsi="Times New Roman" w:cs="Times New Roman"/>
          <w:lang w:val="uk-UA"/>
        </w:rPr>
        <w:t xml:space="preserve"> вищи</w:t>
      </w:r>
      <w:r w:rsidR="009F1581">
        <w:rPr>
          <w:rFonts w:ascii="Times New Roman" w:hAnsi="Times New Roman" w:cs="Times New Roman"/>
          <w:lang w:val="uk-UA"/>
        </w:rPr>
        <w:t>м</w:t>
      </w:r>
      <w:r w:rsidRPr="00BA5C0A">
        <w:rPr>
          <w:rFonts w:ascii="Times New Roman" w:hAnsi="Times New Roman" w:cs="Times New Roman"/>
          <w:lang w:val="uk-UA"/>
        </w:rPr>
        <w:t xml:space="preserve"> у пацієнтів, які отримували рибавірин протягом 24 тижнів: 98% (55/56), 96% (24/25), 88% (23/26) </w:t>
      </w:r>
      <w:r w:rsidRPr="00BA5C0A">
        <w:rPr>
          <w:rFonts w:ascii="Times New Roman" w:hAnsi="Times New Roman" w:cs="Times New Roman"/>
          <w:lang w:val="uk-UA"/>
        </w:rPr>
        <w:lastRenderedPageBreak/>
        <w:t xml:space="preserve">та 75% (3/4), відповідно. </w:t>
      </w:r>
      <w:r w:rsidRPr="00BA5C0A">
        <w:rPr>
          <w:rFonts w:ascii="Times New Roman" w:hAnsi="Times New Roman" w:cs="Times New Roman"/>
          <w:vertAlign w:val="superscript"/>
          <w:lang w:val="uk-UA"/>
        </w:rPr>
        <w:t>55</w:t>
      </w:r>
      <w:r w:rsidRPr="00BA5C0A">
        <w:rPr>
          <w:rFonts w:ascii="Times New Roman" w:hAnsi="Times New Roman" w:cs="Times New Roman"/>
          <w:lang w:val="uk-UA"/>
        </w:rPr>
        <w:t xml:space="preserve"> Подібні результати були описані </w:t>
      </w:r>
      <w:r w:rsidR="0053224A">
        <w:rPr>
          <w:rFonts w:ascii="Times New Roman" w:hAnsi="Times New Roman" w:cs="Times New Roman"/>
          <w:lang w:val="uk-UA"/>
        </w:rPr>
        <w:t>у</w:t>
      </w:r>
      <w:r w:rsidRPr="00BA5C0A">
        <w:rPr>
          <w:rFonts w:ascii="Times New Roman" w:hAnsi="Times New Roman" w:cs="Times New Roman"/>
          <w:lang w:val="uk-UA"/>
        </w:rPr>
        <w:t xml:space="preserve"> дослідженні SOLAR</w:t>
      </w:r>
      <w:r w:rsidR="00FC6D8A">
        <w:rPr>
          <w:rFonts w:ascii="Times New Roman" w:hAnsi="Times New Roman" w:cs="Times New Roman"/>
          <w:lang w:val="uk-UA"/>
        </w:rPr>
        <w:t>–</w:t>
      </w:r>
      <w:r w:rsidRPr="00BA5C0A">
        <w:rPr>
          <w:rFonts w:ascii="Times New Roman" w:hAnsi="Times New Roman" w:cs="Times New Roman"/>
          <w:lang w:val="uk-UA"/>
        </w:rPr>
        <w:t>2 у пацієнтів з генотипом 1, які отримували ті ж схеми лікування. У пацієнтів, які лікувалися протягом 12 тижнів з рибавірином, показники СВВ12 становили 93% (42/45) у пацієнтів без цирозу, у 100% (30/30) у випадках з компенсованим цирозом (Child</w:t>
      </w:r>
      <w:r w:rsidR="00FC6D8A">
        <w:rPr>
          <w:rFonts w:ascii="Times New Roman" w:hAnsi="Times New Roman" w:cs="Times New Roman"/>
          <w:lang w:val="uk-UA"/>
        </w:rPr>
        <w:t>–</w:t>
      </w:r>
      <w:r w:rsidRPr="00BA5C0A">
        <w:rPr>
          <w:rFonts w:ascii="Times New Roman" w:hAnsi="Times New Roman" w:cs="Times New Roman"/>
          <w:lang w:val="uk-UA"/>
        </w:rPr>
        <w:t>Pugh A), 95% (19 / 20) – з декомпенсованим цирозом печінки (Child</w:t>
      </w:r>
      <w:r w:rsidR="00FC6D8A">
        <w:rPr>
          <w:rFonts w:ascii="Times New Roman" w:hAnsi="Times New Roman" w:cs="Times New Roman"/>
          <w:lang w:val="uk-UA"/>
        </w:rPr>
        <w:t>–</w:t>
      </w:r>
      <w:r w:rsidRPr="00BA5C0A">
        <w:rPr>
          <w:rFonts w:ascii="Times New Roman" w:hAnsi="Times New Roman" w:cs="Times New Roman"/>
          <w:lang w:val="uk-UA"/>
        </w:rPr>
        <w:t>Pugh B), і 50% (1/2) у пацієнтів з декомпенсованим цирозом (Child</w:t>
      </w:r>
      <w:r w:rsidR="00FC6D8A">
        <w:rPr>
          <w:rFonts w:ascii="Times New Roman" w:hAnsi="Times New Roman" w:cs="Times New Roman"/>
          <w:lang w:val="uk-UA"/>
        </w:rPr>
        <w:t>–</w:t>
      </w:r>
      <w:r w:rsidRPr="00BA5C0A">
        <w:rPr>
          <w:rFonts w:ascii="Times New Roman" w:hAnsi="Times New Roman" w:cs="Times New Roman"/>
          <w:lang w:val="uk-UA"/>
        </w:rPr>
        <w:t>Pugh C). У пацієнтів, які проходили лікування протягом 24 тижнів, показники СВВ12 склали: 100% (44/44), 96% (27/28), 100% (20/20) та 80% (4/5), відповідно. Двадцять п'ять з 27 пацієнтів, інфікованих генотипом 4 (93%), досягли СВВ12.</w:t>
      </w:r>
      <w:r w:rsidRPr="00BA5C0A">
        <w:rPr>
          <w:rFonts w:ascii="Times New Roman" w:hAnsi="Times New Roman" w:cs="Times New Roman"/>
          <w:vertAlign w:val="superscript"/>
          <w:lang w:val="uk-UA"/>
        </w:rPr>
        <w:t>56</w:t>
      </w:r>
    </w:p>
    <w:p w14:paraId="698C5032" w14:textId="77777777" w:rsidR="00BA5C0A" w:rsidRPr="00BA5C0A" w:rsidRDefault="00BA5C0A" w:rsidP="00BA5C0A">
      <w:pPr>
        <w:jc w:val="both"/>
        <w:rPr>
          <w:rFonts w:ascii="Times New Roman" w:hAnsi="Times New Roman" w:cs="Times New Roman"/>
          <w:lang w:val="uk-UA"/>
        </w:rPr>
      </w:pPr>
    </w:p>
    <w:p w14:paraId="46ED751E" w14:textId="67F704D7"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В іншому дослідженні, реципієнт</w:t>
      </w:r>
      <w:r w:rsidR="000F1407">
        <w:rPr>
          <w:rFonts w:ascii="Times New Roman" w:hAnsi="Times New Roman" w:cs="Times New Roman"/>
          <w:lang w:val="uk-UA"/>
        </w:rPr>
        <w:t>и</w:t>
      </w:r>
      <w:r w:rsidRPr="00BA5C0A">
        <w:rPr>
          <w:rFonts w:ascii="Times New Roman" w:hAnsi="Times New Roman" w:cs="Times New Roman"/>
          <w:lang w:val="uk-UA"/>
        </w:rPr>
        <w:t xml:space="preserve"> після трансплантаці</w:t>
      </w:r>
      <w:r w:rsidR="000F1407">
        <w:rPr>
          <w:rFonts w:ascii="Times New Roman" w:hAnsi="Times New Roman" w:cs="Times New Roman"/>
          <w:lang w:val="uk-UA"/>
        </w:rPr>
        <w:t>ї</w:t>
      </w:r>
      <w:r w:rsidRPr="00BA5C0A">
        <w:rPr>
          <w:rFonts w:ascii="Times New Roman" w:hAnsi="Times New Roman" w:cs="Times New Roman"/>
          <w:lang w:val="uk-UA"/>
        </w:rPr>
        <w:t xml:space="preserve"> печінки з рецидивом ВГС лікувалися комбінацією з фіксованою дозою софосбувіру та велпалтасвіру протягом 12 тижнів без рибавірину. Загальний показник СВВ12 склав 96% (76/79; 2 рецидиви). Один пацієнт з </w:t>
      </w:r>
      <w:r w:rsidR="000F1407">
        <w:rPr>
          <w:rFonts w:ascii="Times New Roman" w:hAnsi="Times New Roman" w:cs="Times New Roman"/>
          <w:lang w:val="uk-UA"/>
        </w:rPr>
        <w:t xml:space="preserve">генотипом </w:t>
      </w:r>
      <w:r w:rsidRPr="00BA5C0A">
        <w:rPr>
          <w:rFonts w:ascii="Times New Roman" w:hAnsi="Times New Roman" w:cs="Times New Roman"/>
          <w:lang w:val="uk-UA"/>
        </w:rPr>
        <w:t>1а з 15 пацієнтів і один пацієнт з генотипом 3 з 35 отримали рецидив інфекції.</w:t>
      </w:r>
    </w:p>
    <w:p w14:paraId="1EB2C968" w14:textId="77777777"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   </w:t>
      </w:r>
    </w:p>
    <w:p w14:paraId="4BE55586" w14:textId="14D5710C"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У </w:t>
      </w:r>
      <w:r w:rsidR="0000225B">
        <w:rPr>
          <w:rFonts w:ascii="Times New Roman" w:hAnsi="Times New Roman" w:cs="Times New Roman"/>
          <w:lang w:val="uk-UA"/>
        </w:rPr>
        <w:t>низці</w:t>
      </w:r>
      <w:r w:rsidRPr="00BA5C0A">
        <w:rPr>
          <w:rFonts w:ascii="Times New Roman" w:hAnsi="Times New Roman" w:cs="Times New Roman"/>
          <w:lang w:val="uk-UA"/>
        </w:rPr>
        <w:t xml:space="preserve"> досліджень повідомлялося про високі показники СВВ після лікування реципієнтів трансплантації печінки з рецидивом ВГС поєднанням софосбувіру та ледіпасвіру з або без рибавірину. Треба визначити, чи потрібен рибавірин всім пацієнтам після трансплантації печінки у комбінації з софосбувіром та ледіпасвіром, або з софосбувіром та велпатасвіром.</w:t>
      </w:r>
    </w:p>
    <w:p w14:paraId="380EDF1B" w14:textId="77777777" w:rsidR="00BA5C0A" w:rsidRPr="00BA5C0A" w:rsidRDefault="00BA5C0A" w:rsidP="00BA5C0A">
      <w:pPr>
        <w:jc w:val="both"/>
        <w:rPr>
          <w:rFonts w:ascii="Times New Roman" w:hAnsi="Times New Roman" w:cs="Times New Roman"/>
          <w:lang w:val="uk-UA"/>
        </w:rPr>
      </w:pPr>
    </w:p>
    <w:p w14:paraId="2D91D817" w14:textId="248DBFDB"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Через часту взаємодію між лікарськими засобами та потребу </w:t>
      </w:r>
      <w:r w:rsidR="0053224A">
        <w:rPr>
          <w:rFonts w:ascii="Times New Roman" w:hAnsi="Times New Roman" w:cs="Times New Roman"/>
          <w:lang w:val="uk-UA"/>
        </w:rPr>
        <w:t>у</w:t>
      </w:r>
      <w:r w:rsidRPr="00BA5C0A">
        <w:rPr>
          <w:rFonts w:ascii="Times New Roman" w:hAnsi="Times New Roman" w:cs="Times New Roman"/>
          <w:lang w:val="uk-UA"/>
        </w:rPr>
        <w:t xml:space="preserve"> регулюванні дози імуносупресивних препаратів, режими лікування, </w:t>
      </w:r>
      <w:r w:rsidR="0000225B">
        <w:rPr>
          <w:rFonts w:ascii="Times New Roman" w:hAnsi="Times New Roman" w:cs="Times New Roman"/>
          <w:lang w:val="uk-UA"/>
        </w:rPr>
        <w:t xml:space="preserve">що </w:t>
      </w:r>
      <w:r w:rsidRPr="00BA5C0A">
        <w:rPr>
          <w:rFonts w:ascii="Times New Roman" w:hAnsi="Times New Roman" w:cs="Times New Roman"/>
          <w:lang w:val="uk-UA"/>
        </w:rPr>
        <w:t>включаю</w:t>
      </w:r>
      <w:r w:rsidR="0000225B">
        <w:rPr>
          <w:rFonts w:ascii="Times New Roman" w:hAnsi="Times New Roman" w:cs="Times New Roman"/>
          <w:lang w:val="uk-UA"/>
        </w:rPr>
        <w:t>ть</w:t>
      </w:r>
      <w:r w:rsidRPr="00BA5C0A">
        <w:rPr>
          <w:rFonts w:ascii="Times New Roman" w:hAnsi="Times New Roman" w:cs="Times New Roman"/>
          <w:lang w:val="uk-UA"/>
        </w:rPr>
        <w:t xml:space="preserve"> інгібітор</w:t>
      </w:r>
      <w:r w:rsidR="0000225B">
        <w:rPr>
          <w:rFonts w:ascii="Times New Roman" w:hAnsi="Times New Roman" w:cs="Times New Roman"/>
          <w:lang w:val="uk-UA"/>
        </w:rPr>
        <w:t>и</w:t>
      </w:r>
      <w:r w:rsidRPr="00BA5C0A">
        <w:rPr>
          <w:rFonts w:ascii="Times New Roman" w:hAnsi="Times New Roman" w:cs="Times New Roman"/>
          <w:lang w:val="uk-UA"/>
        </w:rPr>
        <w:t xml:space="preserve"> протеази, не є оптимальними для лікування ВГС після трансплантації печінки. Проте у реципієнтів з порушенням функції нирок комбінація глекапревіру та пібрентасвіру протягом 12 тижнів є альтернативою схемам на основі софосбувіру. У дослідженн</w:t>
      </w:r>
      <w:r w:rsidR="00B11191">
        <w:rPr>
          <w:rFonts w:ascii="Times New Roman" w:hAnsi="Times New Roman" w:cs="Times New Roman"/>
          <w:lang w:val="uk-UA"/>
        </w:rPr>
        <w:t>я</w:t>
      </w:r>
      <w:r w:rsidRPr="00BA5C0A">
        <w:rPr>
          <w:rFonts w:ascii="Times New Roman" w:hAnsi="Times New Roman" w:cs="Times New Roman"/>
          <w:lang w:val="uk-UA"/>
        </w:rPr>
        <w:t xml:space="preserve"> MAGELLAN</w:t>
      </w:r>
      <w:r w:rsidR="00FC6D8A">
        <w:rPr>
          <w:rFonts w:ascii="Times New Roman" w:hAnsi="Times New Roman" w:cs="Times New Roman"/>
          <w:lang w:val="uk-UA"/>
        </w:rPr>
        <w:t>–</w:t>
      </w:r>
      <w:r w:rsidRPr="00BA5C0A">
        <w:rPr>
          <w:rFonts w:ascii="Times New Roman" w:hAnsi="Times New Roman" w:cs="Times New Roman"/>
          <w:lang w:val="uk-UA"/>
        </w:rPr>
        <w:t xml:space="preserve">2 були включені 80 пацієнтів після трансплантації печінки та 20 реципієнтів трансплантатів нирок, які отримували </w:t>
      </w:r>
      <w:r w:rsidR="0000225B">
        <w:rPr>
          <w:rFonts w:ascii="Times New Roman" w:hAnsi="Times New Roman" w:cs="Times New Roman"/>
          <w:lang w:val="uk-UA"/>
        </w:rPr>
        <w:t>постійну</w:t>
      </w:r>
      <w:r w:rsidRPr="00BA5C0A">
        <w:rPr>
          <w:rFonts w:ascii="Times New Roman" w:hAnsi="Times New Roman" w:cs="Times New Roman"/>
          <w:lang w:val="uk-UA"/>
        </w:rPr>
        <w:t xml:space="preserve"> імуносупресивн</w:t>
      </w:r>
      <w:r w:rsidR="0000225B">
        <w:rPr>
          <w:rFonts w:ascii="Times New Roman" w:hAnsi="Times New Roman" w:cs="Times New Roman"/>
          <w:lang w:val="uk-UA"/>
        </w:rPr>
        <w:t>у терапію</w:t>
      </w:r>
      <w:r w:rsidRPr="00BA5C0A">
        <w:rPr>
          <w:rFonts w:ascii="Times New Roman" w:hAnsi="Times New Roman" w:cs="Times New Roman"/>
          <w:lang w:val="uk-UA"/>
        </w:rPr>
        <w:t xml:space="preserve">. Преднізон/преднізолон призначався </w:t>
      </w:r>
      <w:r w:rsidR="0053224A">
        <w:rPr>
          <w:rFonts w:ascii="Times New Roman" w:hAnsi="Times New Roman" w:cs="Times New Roman"/>
          <w:lang w:val="uk-UA"/>
        </w:rPr>
        <w:t>у</w:t>
      </w:r>
      <w:r w:rsidRPr="00BA5C0A">
        <w:rPr>
          <w:rFonts w:ascii="Times New Roman" w:hAnsi="Times New Roman" w:cs="Times New Roman"/>
          <w:lang w:val="uk-UA"/>
        </w:rPr>
        <w:t xml:space="preserve"> дозуванні ≤10 мг/добу та циклоспорин А при ≤100 мг/ добу на час скринінгу. Усі, окрім одного пацієнта, досягли СВВ12.</w:t>
      </w:r>
      <w:r w:rsidRPr="00BA5C0A">
        <w:rPr>
          <w:rFonts w:ascii="Times New Roman" w:hAnsi="Times New Roman" w:cs="Times New Roman"/>
          <w:vertAlign w:val="superscript"/>
          <w:lang w:val="uk-UA"/>
        </w:rPr>
        <w:t>135</w:t>
      </w:r>
    </w:p>
    <w:p w14:paraId="4F1BB68F" w14:textId="77777777" w:rsidR="00BA5C0A" w:rsidRPr="00BA5C0A" w:rsidRDefault="00BA5C0A" w:rsidP="00BA5C0A">
      <w:pPr>
        <w:jc w:val="both"/>
        <w:rPr>
          <w:rFonts w:ascii="Times New Roman" w:hAnsi="Times New Roman" w:cs="Times New Roman"/>
          <w:lang w:val="uk-U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A5C0A" w:rsidRPr="0080595E" w14:paraId="54308FB9" w14:textId="77777777" w:rsidTr="00544369">
        <w:trPr>
          <w:trHeight w:val="544"/>
        </w:trPr>
        <w:tc>
          <w:tcPr>
            <w:tcW w:w="9607" w:type="dxa"/>
            <w:shd w:val="clear" w:color="auto" w:fill="BDD6EE" w:themeFill="accent1" w:themeFillTint="66"/>
          </w:tcPr>
          <w:p w14:paraId="75375B5F" w14:textId="77777777" w:rsidR="00BA5C0A" w:rsidRPr="00BA5C0A" w:rsidRDefault="00BA5C0A" w:rsidP="00BA5C0A">
            <w:pPr>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Рекомендації</w:t>
            </w:r>
          </w:p>
          <w:p w14:paraId="67B93A07" w14:textId="77777777" w:rsidR="00BA5C0A" w:rsidRPr="00BA5C0A" w:rsidRDefault="00BA5C0A" w:rsidP="00015E3B">
            <w:pPr>
              <w:numPr>
                <w:ilvl w:val="0"/>
                <w:numId w:val="39"/>
              </w:numPr>
              <w:contextualSpacing/>
              <w:jc w:val="both"/>
              <w:rPr>
                <w:rFonts w:ascii="Times New Roman" w:hAnsi="Times New Roman" w:cs="Times New Roman"/>
                <w:lang w:val="uk-UA"/>
              </w:rPr>
            </w:pPr>
            <w:r w:rsidRPr="00BA5C0A">
              <w:rPr>
                <w:rFonts w:ascii="Times New Roman" w:hAnsi="Times New Roman" w:cs="Times New Roman"/>
                <w:lang w:val="uk-UA"/>
              </w:rPr>
              <w:t>Всі пацієнти з рецидивами інфекції ВГС після трансплантації повинні розглядатися для терапії (А1).</w:t>
            </w:r>
          </w:p>
          <w:p w14:paraId="47F41BBF" w14:textId="1EE709AD" w:rsidR="00BA5C0A" w:rsidRPr="00BA5C0A" w:rsidRDefault="00BA5C0A" w:rsidP="00015E3B">
            <w:pPr>
              <w:numPr>
                <w:ilvl w:val="0"/>
                <w:numId w:val="39"/>
              </w:numPr>
              <w:contextualSpacing/>
              <w:jc w:val="both"/>
              <w:rPr>
                <w:rFonts w:ascii="Times New Roman" w:hAnsi="Times New Roman" w:cs="Times New Roman"/>
                <w:lang w:val="uk-UA"/>
              </w:rPr>
            </w:pPr>
            <w:r w:rsidRPr="00BA5C0A">
              <w:rPr>
                <w:rFonts w:ascii="Times New Roman" w:hAnsi="Times New Roman" w:cs="Times New Roman"/>
                <w:lang w:val="uk-UA"/>
              </w:rPr>
              <w:t>Лікування слід розпочати на ранній стадії після трансплантації печінки, в ідеалі якомога раніше, коли пацієнт стабілізується (як правило, після перших 3 місяців після трансплантації), оскільки показники СВВ12 зменшуються у пацієнтів з розвиненою хворобою печінки після трансплантації (A1).</w:t>
            </w:r>
          </w:p>
          <w:p w14:paraId="7AD95C3A" w14:textId="18B45B26" w:rsidR="00BA5C0A" w:rsidRPr="00BA5C0A" w:rsidRDefault="00BA5C0A" w:rsidP="00015E3B">
            <w:pPr>
              <w:numPr>
                <w:ilvl w:val="0"/>
                <w:numId w:val="39"/>
              </w:numPr>
              <w:contextualSpacing/>
              <w:jc w:val="both"/>
              <w:rPr>
                <w:rFonts w:ascii="Times New Roman" w:hAnsi="Times New Roman" w:cs="Times New Roman"/>
                <w:lang w:val="uk-UA"/>
              </w:rPr>
            </w:pPr>
            <w:r w:rsidRPr="00BA5C0A">
              <w:rPr>
                <w:rFonts w:ascii="Times New Roman" w:hAnsi="Times New Roman" w:cs="Times New Roman"/>
                <w:lang w:val="uk-UA"/>
              </w:rPr>
              <w:t>Фіброзно</w:t>
            </w:r>
            <w:r w:rsidR="00FC6D8A">
              <w:rPr>
                <w:rFonts w:ascii="Times New Roman" w:hAnsi="Times New Roman" w:cs="Times New Roman"/>
                <w:lang w:val="uk-UA"/>
              </w:rPr>
              <w:t>–</w:t>
            </w:r>
            <w:r w:rsidRPr="00BA5C0A">
              <w:rPr>
                <w:rFonts w:ascii="Times New Roman" w:hAnsi="Times New Roman" w:cs="Times New Roman"/>
                <w:lang w:val="uk-UA"/>
              </w:rPr>
              <w:t>холестатичний гепатит або наявність помірного фіброзу чи портальної гіпертензії через рік після трансплантації вказують на необхідність термінового противірусного лікування, оскільки передбача</w:t>
            </w:r>
            <w:r w:rsidR="00B11191">
              <w:rPr>
                <w:rFonts w:ascii="Times New Roman" w:hAnsi="Times New Roman" w:cs="Times New Roman"/>
                <w:lang w:val="uk-UA"/>
              </w:rPr>
              <w:t>є</w:t>
            </w:r>
            <w:r w:rsidRPr="00BA5C0A">
              <w:rPr>
                <w:rFonts w:ascii="Times New Roman" w:hAnsi="Times New Roman" w:cs="Times New Roman"/>
                <w:lang w:val="uk-UA"/>
              </w:rPr>
              <w:t>ться швидке прогресування захворювання та втрат</w:t>
            </w:r>
            <w:r w:rsidR="00B11191">
              <w:rPr>
                <w:rFonts w:ascii="Times New Roman" w:hAnsi="Times New Roman" w:cs="Times New Roman"/>
                <w:lang w:val="uk-UA"/>
              </w:rPr>
              <w:t>а</w:t>
            </w:r>
            <w:r w:rsidRPr="00BA5C0A">
              <w:rPr>
                <w:rFonts w:ascii="Times New Roman" w:hAnsi="Times New Roman" w:cs="Times New Roman"/>
                <w:lang w:val="uk-UA"/>
              </w:rPr>
              <w:t xml:space="preserve"> трансплантанта (A1).</w:t>
            </w:r>
          </w:p>
          <w:p w14:paraId="7FB42835" w14:textId="1EDC30D4" w:rsidR="00BA5C0A" w:rsidRPr="00BA5C0A" w:rsidRDefault="0000225B" w:rsidP="00015E3B">
            <w:pPr>
              <w:numPr>
                <w:ilvl w:val="0"/>
                <w:numId w:val="39"/>
              </w:numPr>
              <w:contextualSpacing/>
              <w:jc w:val="both"/>
              <w:rPr>
                <w:rFonts w:ascii="Times New Roman" w:hAnsi="Times New Roman" w:cs="Times New Roman"/>
                <w:lang w:val="uk-UA"/>
              </w:rPr>
            </w:pPr>
            <w:r>
              <w:rPr>
                <w:rFonts w:ascii="Times New Roman" w:hAnsi="Times New Roman" w:cs="Times New Roman"/>
                <w:lang w:val="uk-UA"/>
              </w:rPr>
              <w:t>Необхідно к</w:t>
            </w:r>
            <w:r w:rsidR="00BA5C0A" w:rsidRPr="00BA5C0A">
              <w:rPr>
                <w:rFonts w:ascii="Times New Roman" w:hAnsi="Times New Roman" w:cs="Times New Roman"/>
                <w:lang w:val="uk-UA"/>
              </w:rPr>
              <w:t>онтролювати рівень імуносупресантів під час і після анти</w:t>
            </w:r>
            <w:r w:rsidR="00FC6D8A">
              <w:rPr>
                <w:rFonts w:ascii="Times New Roman" w:hAnsi="Times New Roman" w:cs="Times New Roman"/>
                <w:lang w:val="uk-UA"/>
              </w:rPr>
              <w:t>–</w:t>
            </w:r>
            <w:r w:rsidR="00BA5C0A" w:rsidRPr="00BA5C0A">
              <w:rPr>
                <w:rFonts w:ascii="Times New Roman" w:hAnsi="Times New Roman" w:cs="Times New Roman"/>
                <w:lang w:val="uk-UA"/>
              </w:rPr>
              <w:t>ВГС терапії (A1).</w:t>
            </w:r>
          </w:p>
          <w:p w14:paraId="3D77854C" w14:textId="1797DB32" w:rsidR="00BA5C0A" w:rsidRPr="00BA5C0A" w:rsidRDefault="00BA5C0A" w:rsidP="00015E3B">
            <w:pPr>
              <w:numPr>
                <w:ilvl w:val="0"/>
                <w:numId w:val="39"/>
              </w:numPr>
              <w:contextualSpacing/>
              <w:jc w:val="both"/>
              <w:rPr>
                <w:rFonts w:ascii="Times New Roman" w:hAnsi="Times New Roman" w:cs="Times New Roman"/>
                <w:lang w:val="uk-UA"/>
              </w:rPr>
            </w:pPr>
            <w:r w:rsidRPr="00BA5C0A">
              <w:rPr>
                <w:rFonts w:ascii="Times New Roman" w:hAnsi="Times New Roman" w:cs="Times New Roman"/>
                <w:lang w:val="uk-UA"/>
              </w:rPr>
              <w:t>Пацієнтів із рецидивом ВГС після трансплантації без цирозу печінки, з компенсованим (Child</w:t>
            </w:r>
            <w:r w:rsidR="00FC6D8A">
              <w:rPr>
                <w:rFonts w:ascii="Times New Roman" w:hAnsi="Times New Roman" w:cs="Times New Roman"/>
                <w:lang w:val="uk-UA"/>
              </w:rPr>
              <w:t>–</w:t>
            </w:r>
            <w:r w:rsidRPr="00BA5C0A">
              <w:rPr>
                <w:rFonts w:ascii="Times New Roman" w:hAnsi="Times New Roman" w:cs="Times New Roman"/>
                <w:lang w:val="uk-UA"/>
              </w:rPr>
              <w:t>Pugh A) цирозом печінки або з декомпенсованим (Child</w:t>
            </w:r>
            <w:r w:rsidR="00FC6D8A">
              <w:rPr>
                <w:rFonts w:ascii="Times New Roman" w:hAnsi="Times New Roman" w:cs="Times New Roman"/>
                <w:lang w:val="uk-UA"/>
              </w:rPr>
              <w:t>–</w:t>
            </w:r>
            <w:r w:rsidRPr="00BA5C0A">
              <w:rPr>
                <w:rFonts w:ascii="Times New Roman" w:hAnsi="Times New Roman" w:cs="Times New Roman"/>
                <w:lang w:val="uk-UA"/>
              </w:rPr>
              <w:t>Pugh B або C) цирозом можна лікувати комбінацією з фіксованою дозою софосбувіру та ледіпасвіру (генотипи 1, 4, 5 або 6) або комбінацією з фіксованою дозою софосбувіру та велпатасвіру (всі генотипи) (А1).</w:t>
            </w:r>
          </w:p>
          <w:p w14:paraId="2D417AD2" w14:textId="7CD2B565" w:rsidR="00BA5C0A" w:rsidRPr="00BA5C0A" w:rsidRDefault="00BA5C0A" w:rsidP="00015E3B">
            <w:pPr>
              <w:numPr>
                <w:ilvl w:val="0"/>
                <w:numId w:val="39"/>
              </w:numPr>
              <w:contextualSpacing/>
              <w:jc w:val="both"/>
              <w:rPr>
                <w:rFonts w:ascii="Times New Roman" w:hAnsi="Times New Roman" w:cs="Times New Roman"/>
                <w:lang w:val="uk-UA"/>
              </w:rPr>
            </w:pPr>
            <w:r w:rsidRPr="00BA5C0A">
              <w:rPr>
                <w:rFonts w:ascii="Times New Roman" w:hAnsi="Times New Roman" w:cs="Times New Roman"/>
                <w:lang w:val="uk-UA"/>
              </w:rPr>
              <w:t>Пацієнтів із рецидивом ВГС інфекції після трансплантації з генотипами 1, 4, 5, без цирозу або з компенсованим (Child</w:t>
            </w:r>
            <w:r w:rsidR="00FC6D8A">
              <w:rPr>
                <w:rFonts w:ascii="Times New Roman" w:hAnsi="Times New Roman" w:cs="Times New Roman"/>
                <w:lang w:val="uk-UA"/>
              </w:rPr>
              <w:t>–</w:t>
            </w:r>
            <w:r w:rsidRPr="00BA5C0A">
              <w:rPr>
                <w:rFonts w:ascii="Times New Roman" w:hAnsi="Times New Roman" w:cs="Times New Roman"/>
                <w:lang w:val="uk-UA"/>
              </w:rPr>
              <w:t xml:space="preserve">Pugh A) цирозом, слід лікувати комбінацією з фіксованою дозою софосбувіру та ледіпасвіру або комбінацією з фіксованою дозою </w:t>
            </w:r>
            <w:r w:rsidRPr="00BA5C0A">
              <w:rPr>
                <w:rFonts w:ascii="Times New Roman" w:hAnsi="Times New Roman" w:cs="Times New Roman"/>
                <w:lang w:val="uk-UA"/>
              </w:rPr>
              <w:lastRenderedPageBreak/>
              <w:t>софосбувіру і велпатасвіру протягом 12 тижнів, без необхідності попереднього корегування дози імуносупресантів (A1).</w:t>
            </w:r>
          </w:p>
          <w:p w14:paraId="44118555" w14:textId="3EE909E7" w:rsidR="00BA5C0A" w:rsidRPr="00BA5C0A" w:rsidRDefault="00BA5C0A" w:rsidP="00015E3B">
            <w:pPr>
              <w:numPr>
                <w:ilvl w:val="0"/>
                <w:numId w:val="39"/>
              </w:numPr>
              <w:contextualSpacing/>
              <w:jc w:val="both"/>
              <w:rPr>
                <w:rFonts w:ascii="Times New Roman" w:hAnsi="Times New Roman" w:cs="Times New Roman"/>
                <w:lang w:val="uk-UA"/>
              </w:rPr>
            </w:pPr>
            <w:r w:rsidRPr="00BA5C0A">
              <w:rPr>
                <w:rFonts w:ascii="Times New Roman" w:hAnsi="Times New Roman" w:cs="Times New Roman"/>
                <w:lang w:val="uk-UA"/>
              </w:rPr>
              <w:t>Пацієнтів із рецидивом ВГС інфекції після трансплантації, геноти</w:t>
            </w:r>
            <w:r w:rsidR="00B11191">
              <w:rPr>
                <w:rFonts w:ascii="Times New Roman" w:hAnsi="Times New Roman" w:cs="Times New Roman"/>
                <w:lang w:val="uk-UA"/>
              </w:rPr>
              <w:t>пом</w:t>
            </w:r>
            <w:r w:rsidRPr="00BA5C0A">
              <w:rPr>
                <w:rFonts w:ascii="Times New Roman" w:hAnsi="Times New Roman" w:cs="Times New Roman"/>
                <w:lang w:val="uk-UA"/>
              </w:rPr>
              <w:t xml:space="preserve"> 2 або 3, без цирозу або з компенсованим (Child</w:t>
            </w:r>
            <w:r w:rsidR="00FC6D8A">
              <w:rPr>
                <w:rFonts w:ascii="Times New Roman" w:hAnsi="Times New Roman" w:cs="Times New Roman"/>
                <w:lang w:val="uk-UA"/>
              </w:rPr>
              <w:t>–</w:t>
            </w:r>
            <w:r w:rsidRPr="00BA5C0A">
              <w:rPr>
                <w:rFonts w:ascii="Times New Roman" w:hAnsi="Times New Roman" w:cs="Times New Roman"/>
                <w:lang w:val="uk-UA"/>
              </w:rPr>
              <w:t xml:space="preserve">Pugh A) цирозом, слід лікувати комбінацією з фіксованою дозою софосбувіру і </w:t>
            </w:r>
            <w:r w:rsidR="00B11191">
              <w:rPr>
                <w:rFonts w:ascii="Times New Roman" w:hAnsi="Times New Roman" w:cs="Times New Roman"/>
                <w:lang w:val="uk-UA"/>
              </w:rPr>
              <w:t>велпа</w:t>
            </w:r>
            <w:r w:rsidRPr="00BA5C0A">
              <w:rPr>
                <w:rFonts w:ascii="Times New Roman" w:hAnsi="Times New Roman" w:cs="Times New Roman"/>
                <w:lang w:val="uk-UA"/>
              </w:rPr>
              <w:t xml:space="preserve">тасвіру протягом 12 тижнів, </w:t>
            </w:r>
            <w:r w:rsidR="0000225B" w:rsidRPr="00BA5C0A">
              <w:rPr>
                <w:rFonts w:ascii="Times New Roman" w:hAnsi="Times New Roman" w:cs="Times New Roman"/>
                <w:lang w:val="uk-UA"/>
              </w:rPr>
              <w:t xml:space="preserve">без необхідності попереднього корегування дози імуносупресантів </w:t>
            </w:r>
            <w:r w:rsidRPr="00BA5C0A">
              <w:rPr>
                <w:rFonts w:ascii="Times New Roman" w:hAnsi="Times New Roman" w:cs="Times New Roman"/>
                <w:lang w:val="uk-UA"/>
              </w:rPr>
              <w:t>(A1).</w:t>
            </w:r>
          </w:p>
          <w:p w14:paraId="6F34ECCF" w14:textId="2DD1DA1C" w:rsidR="00BA5C0A" w:rsidRPr="00BA5C0A" w:rsidRDefault="00BA5C0A" w:rsidP="00015E3B">
            <w:pPr>
              <w:numPr>
                <w:ilvl w:val="0"/>
                <w:numId w:val="39"/>
              </w:numPr>
              <w:contextualSpacing/>
              <w:jc w:val="both"/>
              <w:rPr>
                <w:rFonts w:ascii="Times New Roman" w:hAnsi="Times New Roman" w:cs="Times New Roman"/>
                <w:lang w:val="uk-UA"/>
              </w:rPr>
            </w:pPr>
            <w:r w:rsidRPr="00BA5C0A">
              <w:rPr>
                <w:rFonts w:ascii="Times New Roman" w:hAnsi="Times New Roman" w:cs="Times New Roman"/>
                <w:lang w:val="uk-UA"/>
              </w:rPr>
              <w:t>Пацієнт</w:t>
            </w:r>
            <w:r w:rsidR="00B11191">
              <w:rPr>
                <w:rFonts w:ascii="Times New Roman" w:hAnsi="Times New Roman" w:cs="Times New Roman"/>
                <w:lang w:val="uk-UA"/>
              </w:rPr>
              <w:t>и з різними генотипами,</w:t>
            </w:r>
            <w:r w:rsidRPr="00BA5C0A">
              <w:rPr>
                <w:rFonts w:ascii="Times New Roman" w:hAnsi="Times New Roman" w:cs="Times New Roman"/>
                <w:lang w:val="uk-UA"/>
              </w:rPr>
              <w:t xml:space="preserve"> із рецидивом ВГС інфекції після трансплантації, без цирозу або з компенсованим (Child</w:t>
            </w:r>
            <w:r w:rsidR="00FC6D8A">
              <w:rPr>
                <w:rFonts w:ascii="Times New Roman" w:hAnsi="Times New Roman" w:cs="Times New Roman"/>
                <w:lang w:val="uk-UA"/>
              </w:rPr>
              <w:t>–</w:t>
            </w:r>
            <w:r w:rsidRPr="00BA5C0A">
              <w:rPr>
                <w:rFonts w:ascii="Times New Roman" w:hAnsi="Times New Roman" w:cs="Times New Roman"/>
                <w:lang w:val="uk-UA"/>
              </w:rPr>
              <w:t xml:space="preserve">Pugh A) цирозом, з </w:t>
            </w:r>
            <w:r w:rsidR="00681632">
              <w:rPr>
                <w:rFonts w:ascii="Times New Roman" w:hAnsi="Times New Roman" w:cs="Times New Roman"/>
                <w:lang w:val="uk-UA"/>
              </w:rPr>
              <w:t>ШКФ</w:t>
            </w:r>
            <w:r w:rsidRPr="00BA5C0A">
              <w:rPr>
                <w:rFonts w:ascii="Times New Roman" w:hAnsi="Times New Roman" w:cs="Times New Roman"/>
                <w:lang w:val="uk-UA"/>
              </w:rPr>
              <w:t xml:space="preserve">&lt;30мл/хв/1.73м2 можуть отримувати лікування комбінацією з фіксованою дозою глекапревіру та пібрентасвіра протягом 12 тижнів. </w:t>
            </w:r>
            <w:r w:rsidR="00B11191">
              <w:rPr>
                <w:rFonts w:ascii="Times New Roman" w:hAnsi="Times New Roman" w:cs="Times New Roman"/>
                <w:lang w:val="uk-UA"/>
              </w:rPr>
              <w:t>Дози</w:t>
            </w:r>
            <w:r w:rsidRPr="00BA5C0A">
              <w:rPr>
                <w:rFonts w:ascii="Times New Roman" w:hAnsi="Times New Roman" w:cs="Times New Roman"/>
                <w:lang w:val="uk-UA"/>
              </w:rPr>
              <w:t xml:space="preserve"> імуносупресивних лікарських препаратів слід контролювати та</w:t>
            </w:r>
            <w:r w:rsidR="0053224A">
              <w:rPr>
                <w:rFonts w:ascii="Times New Roman" w:hAnsi="Times New Roman" w:cs="Times New Roman"/>
                <w:lang w:val="uk-UA"/>
              </w:rPr>
              <w:t>,</w:t>
            </w:r>
            <w:r w:rsidRPr="00BA5C0A">
              <w:rPr>
                <w:rFonts w:ascii="Times New Roman" w:hAnsi="Times New Roman" w:cs="Times New Roman"/>
                <w:lang w:val="uk-UA"/>
              </w:rPr>
              <w:t xml:space="preserve"> при необхідності</w:t>
            </w:r>
            <w:r w:rsidR="0053224A">
              <w:rPr>
                <w:rFonts w:ascii="Times New Roman" w:hAnsi="Times New Roman" w:cs="Times New Roman"/>
                <w:lang w:val="uk-UA"/>
              </w:rPr>
              <w:t>,</w:t>
            </w:r>
            <w:r w:rsidRPr="00BA5C0A">
              <w:rPr>
                <w:rFonts w:ascii="Times New Roman" w:hAnsi="Times New Roman" w:cs="Times New Roman"/>
                <w:lang w:val="uk-UA"/>
              </w:rPr>
              <w:t xml:space="preserve"> коригувати під час та після закінчення лікування (B1).</w:t>
            </w:r>
          </w:p>
          <w:p w14:paraId="5C6DC6B8" w14:textId="017B5BC8" w:rsidR="00BA5C0A" w:rsidRPr="00BA5C0A" w:rsidRDefault="00BA5C0A" w:rsidP="00015E3B">
            <w:pPr>
              <w:numPr>
                <w:ilvl w:val="0"/>
                <w:numId w:val="39"/>
              </w:numPr>
              <w:contextualSpacing/>
              <w:jc w:val="both"/>
              <w:rPr>
                <w:rFonts w:ascii="Times New Roman" w:hAnsi="Times New Roman" w:cs="Times New Roman"/>
                <w:lang w:val="uk-UA"/>
              </w:rPr>
            </w:pPr>
            <w:r w:rsidRPr="00BA5C0A">
              <w:rPr>
                <w:rFonts w:ascii="Times New Roman" w:hAnsi="Times New Roman" w:cs="Times New Roman"/>
                <w:lang w:val="uk-UA"/>
              </w:rPr>
              <w:t>Пацієнтів із рецидивом ВГС інфекції після трансплантації з декомпенсованим цирозом печінки (Child</w:t>
            </w:r>
            <w:r w:rsidR="00FC6D8A">
              <w:rPr>
                <w:rFonts w:ascii="Times New Roman" w:hAnsi="Times New Roman" w:cs="Times New Roman"/>
                <w:lang w:val="uk-UA"/>
              </w:rPr>
              <w:t>–</w:t>
            </w:r>
            <w:r w:rsidRPr="00BA5C0A">
              <w:rPr>
                <w:rFonts w:ascii="Times New Roman" w:hAnsi="Times New Roman" w:cs="Times New Roman"/>
                <w:lang w:val="uk-UA"/>
              </w:rPr>
              <w:t xml:space="preserve">Pugh B або C) слід лікувати комбінацією фіксованих доз софосбувіру та ледіпасвіру (генотипи 1, 4, 5 або 6) або комбінацією фіксованих доз софосбувіру і велпатасвіру (усі генотипи) протягом 12 тижнів з щоденним рибавірином згідно ваги тіла (1000 або 1200 мг у пацієнтів &lt;75 кг або ≥75 кг, відповідно). Для цих пацієнтів </w:t>
            </w:r>
            <w:r w:rsidR="00E841E4">
              <w:rPr>
                <w:rFonts w:ascii="Times New Roman" w:hAnsi="Times New Roman" w:cs="Times New Roman"/>
                <w:lang w:val="uk-UA"/>
              </w:rPr>
              <w:t xml:space="preserve">прийом </w:t>
            </w:r>
            <w:r w:rsidRPr="00BA5C0A">
              <w:rPr>
                <w:rFonts w:ascii="Times New Roman" w:hAnsi="Times New Roman" w:cs="Times New Roman"/>
                <w:lang w:val="uk-UA"/>
              </w:rPr>
              <w:t>рибавірин</w:t>
            </w:r>
            <w:r w:rsidR="00E841E4">
              <w:rPr>
                <w:rFonts w:ascii="Times New Roman" w:hAnsi="Times New Roman" w:cs="Times New Roman"/>
                <w:lang w:val="uk-UA"/>
              </w:rPr>
              <w:t>у</w:t>
            </w:r>
            <w:r w:rsidRPr="00BA5C0A">
              <w:rPr>
                <w:rFonts w:ascii="Times New Roman" w:hAnsi="Times New Roman" w:cs="Times New Roman"/>
                <w:lang w:val="uk-UA"/>
              </w:rPr>
              <w:t xml:space="preserve"> може починатись у дозі 600 мг на добу, а  в подальшому регулюватися залежно від переносимості (B1).</w:t>
            </w:r>
          </w:p>
          <w:p w14:paraId="7A6D750E" w14:textId="6E6C0CCF" w:rsidR="00BA5C0A" w:rsidRPr="00BA5C0A" w:rsidRDefault="00BA5C0A" w:rsidP="00015E3B">
            <w:pPr>
              <w:numPr>
                <w:ilvl w:val="0"/>
                <w:numId w:val="39"/>
              </w:numPr>
              <w:contextualSpacing/>
              <w:jc w:val="both"/>
              <w:rPr>
                <w:rFonts w:ascii="Times New Roman" w:hAnsi="Times New Roman" w:cs="Times New Roman"/>
                <w:lang w:val="uk-UA"/>
              </w:rPr>
            </w:pPr>
            <w:r w:rsidRPr="00BA5C0A">
              <w:rPr>
                <w:rFonts w:ascii="Times New Roman" w:hAnsi="Times New Roman" w:cs="Times New Roman"/>
                <w:lang w:val="uk-UA"/>
              </w:rPr>
              <w:t>Пацієнт</w:t>
            </w:r>
            <w:r w:rsidR="00C26A9E">
              <w:rPr>
                <w:rFonts w:ascii="Times New Roman" w:hAnsi="Times New Roman" w:cs="Times New Roman"/>
                <w:lang w:val="uk-UA"/>
              </w:rPr>
              <w:t>ів</w:t>
            </w:r>
            <w:r w:rsidRPr="00BA5C0A">
              <w:rPr>
                <w:rFonts w:ascii="Times New Roman" w:hAnsi="Times New Roman" w:cs="Times New Roman"/>
                <w:lang w:val="uk-UA"/>
              </w:rPr>
              <w:t xml:space="preserve"> з декомпенсованим цирозом (Child</w:t>
            </w:r>
            <w:r w:rsidR="00FC6D8A">
              <w:rPr>
                <w:rFonts w:ascii="Times New Roman" w:hAnsi="Times New Roman" w:cs="Times New Roman"/>
                <w:lang w:val="uk-UA"/>
              </w:rPr>
              <w:t>–</w:t>
            </w:r>
            <w:r w:rsidRPr="00BA5C0A">
              <w:rPr>
                <w:rFonts w:ascii="Times New Roman" w:hAnsi="Times New Roman" w:cs="Times New Roman"/>
                <w:lang w:val="uk-UA"/>
              </w:rPr>
              <w:t>Pugh B або C) та протипоказами до рибавірину або з низькою переносимістю рибавірину слід лікувати комбінацією з фіксованою дозою софосбувіру та ледіпасвіру (генотипи 1, 4, 5 або 6) або фіксован</w:t>
            </w:r>
            <w:r w:rsidR="00C26A9E">
              <w:rPr>
                <w:rFonts w:ascii="Times New Roman" w:hAnsi="Times New Roman" w:cs="Times New Roman"/>
                <w:lang w:val="uk-UA"/>
              </w:rPr>
              <w:t>ою</w:t>
            </w:r>
            <w:r w:rsidRPr="00BA5C0A">
              <w:rPr>
                <w:rFonts w:ascii="Times New Roman" w:hAnsi="Times New Roman" w:cs="Times New Roman"/>
                <w:lang w:val="uk-UA"/>
              </w:rPr>
              <w:t xml:space="preserve"> доз</w:t>
            </w:r>
            <w:r w:rsidR="00C26A9E">
              <w:rPr>
                <w:rFonts w:ascii="Times New Roman" w:hAnsi="Times New Roman" w:cs="Times New Roman"/>
                <w:lang w:val="uk-UA"/>
              </w:rPr>
              <w:t>ою</w:t>
            </w:r>
            <w:r w:rsidRPr="00BA5C0A">
              <w:rPr>
                <w:rFonts w:ascii="Times New Roman" w:hAnsi="Times New Roman" w:cs="Times New Roman"/>
                <w:lang w:val="uk-UA"/>
              </w:rPr>
              <w:t xml:space="preserve"> софосбувіру і велпатасвіру (всі генотипи) протягом 24 тижнів без рибавірину (В1)</w:t>
            </w:r>
          </w:p>
        </w:tc>
      </w:tr>
    </w:tbl>
    <w:p w14:paraId="66068CF0" w14:textId="77777777" w:rsidR="00BA5C0A" w:rsidRPr="00BA5C0A" w:rsidRDefault="00BA5C0A" w:rsidP="00BA5C0A">
      <w:pPr>
        <w:jc w:val="both"/>
        <w:rPr>
          <w:rFonts w:ascii="Times New Roman" w:hAnsi="Times New Roman" w:cs="Times New Roman"/>
          <w:lang w:val="uk-UA"/>
        </w:rPr>
      </w:pPr>
    </w:p>
    <w:p w14:paraId="2459C023" w14:textId="1DE0617B" w:rsidR="00BA5C0A" w:rsidRDefault="00BA5C0A" w:rsidP="00C26A9E">
      <w:pPr>
        <w:jc w:val="both"/>
        <w:rPr>
          <w:rFonts w:ascii="Times New Roman" w:hAnsi="Times New Roman" w:cs="Times New Roman"/>
          <w:b/>
          <w:color w:val="4472C4" w:themeColor="accent5"/>
          <w:sz w:val="32"/>
          <w:szCs w:val="32"/>
          <w:lang w:val="uk-UA"/>
        </w:rPr>
      </w:pPr>
      <w:r w:rsidRPr="00C26A9E">
        <w:rPr>
          <w:rFonts w:ascii="Times New Roman" w:hAnsi="Times New Roman" w:cs="Times New Roman"/>
          <w:b/>
          <w:color w:val="4472C4" w:themeColor="accent5"/>
          <w:sz w:val="32"/>
          <w:szCs w:val="32"/>
          <w:lang w:val="uk-UA"/>
        </w:rPr>
        <w:t>Пацієнти з декомпенсованим цирозом без показань для  трансплантації печінки</w:t>
      </w:r>
    </w:p>
    <w:p w14:paraId="44085DA9" w14:textId="77777777" w:rsidR="00C26A9E" w:rsidRPr="00C26A9E" w:rsidRDefault="00C26A9E" w:rsidP="00C26A9E">
      <w:pPr>
        <w:jc w:val="both"/>
        <w:rPr>
          <w:rFonts w:ascii="Times New Roman" w:hAnsi="Times New Roman" w:cs="Times New Roman"/>
          <w:b/>
          <w:color w:val="4472C4" w:themeColor="accent5"/>
          <w:sz w:val="32"/>
          <w:szCs w:val="32"/>
          <w:lang w:val="uk-UA"/>
        </w:rPr>
      </w:pPr>
    </w:p>
    <w:p w14:paraId="222CB63D" w14:textId="0090C86D" w:rsidR="00BA5C0A" w:rsidRDefault="00BA5C0A" w:rsidP="00BA5C0A">
      <w:pPr>
        <w:ind w:firstLine="708"/>
        <w:jc w:val="both"/>
        <w:rPr>
          <w:rFonts w:ascii="Times New Roman" w:hAnsi="Times New Roman" w:cs="Times New Roman"/>
          <w:lang w:val="uk-UA"/>
        </w:rPr>
      </w:pPr>
      <w:r w:rsidRPr="00BA5C0A">
        <w:rPr>
          <w:rFonts w:ascii="Times New Roman" w:hAnsi="Times New Roman" w:cs="Times New Roman"/>
          <w:lang w:val="uk-UA"/>
        </w:rPr>
        <w:t>Основною метою анти</w:t>
      </w:r>
      <w:r w:rsidR="00FC6D8A">
        <w:rPr>
          <w:rFonts w:ascii="Times New Roman" w:hAnsi="Times New Roman" w:cs="Times New Roman"/>
          <w:lang w:val="uk-UA"/>
        </w:rPr>
        <w:t>–</w:t>
      </w:r>
      <w:r w:rsidRPr="00BA5C0A">
        <w:rPr>
          <w:rFonts w:ascii="Times New Roman" w:hAnsi="Times New Roman" w:cs="Times New Roman"/>
          <w:lang w:val="uk-UA"/>
        </w:rPr>
        <w:t>ВГС</w:t>
      </w:r>
      <w:r w:rsidR="00FC6D8A">
        <w:rPr>
          <w:rFonts w:ascii="Times New Roman" w:hAnsi="Times New Roman" w:cs="Times New Roman"/>
          <w:lang w:val="uk-UA"/>
        </w:rPr>
        <w:t>–</w:t>
      </w:r>
      <w:r w:rsidRPr="00BA5C0A">
        <w:rPr>
          <w:rFonts w:ascii="Times New Roman" w:hAnsi="Times New Roman" w:cs="Times New Roman"/>
          <w:lang w:val="uk-UA"/>
        </w:rPr>
        <w:t>терапії у пацієнтів з декомпенсованим цирозом (Child</w:t>
      </w:r>
      <w:r w:rsidR="00FC6D8A">
        <w:rPr>
          <w:rFonts w:ascii="Times New Roman" w:hAnsi="Times New Roman" w:cs="Times New Roman"/>
          <w:lang w:val="uk-UA"/>
        </w:rPr>
        <w:t>–</w:t>
      </w:r>
      <w:r w:rsidRPr="00BA5C0A">
        <w:rPr>
          <w:rFonts w:ascii="Times New Roman" w:hAnsi="Times New Roman" w:cs="Times New Roman"/>
          <w:lang w:val="uk-UA"/>
        </w:rPr>
        <w:t>Pugh B або C), яких немає в списку очікування трансплантації</w:t>
      </w:r>
      <w:r w:rsidR="009D639C">
        <w:rPr>
          <w:rFonts w:ascii="Times New Roman" w:hAnsi="Times New Roman" w:cs="Times New Roman"/>
          <w:lang w:val="uk-UA"/>
        </w:rPr>
        <w:t>,</w:t>
      </w:r>
      <w:r w:rsidRPr="00BA5C0A">
        <w:rPr>
          <w:rFonts w:ascii="Times New Roman" w:hAnsi="Times New Roman" w:cs="Times New Roman"/>
          <w:lang w:val="uk-UA"/>
        </w:rPr>
        <w:t xml:space="preserve"> є досяг</w:t>
      </w:r>
      <w:r w:rsidR="009D639C">
        <w:rPr>
          <w:rFonts w:ascii="Times New Roman" w:hAnsi="Times New Roman" w:cs="Times New Roman"/>
          <w:lang w:val="uk-UA"/>
        </w:rPr>
        <w:t>нення</w:t>
      </w:r>
      <w:r w:rsidRPr="00BA5C0A">
        <w:rPr>
          <w:rFonts w:ascii="Times New Roman" w:hAnsi="Times New Roman" w:cs="Times New Roman"/>
          <w:lang w:val="uk-UA"/>
        </w:rPr>
        <w:t xml:space="preserve"> поліпшення функції печінки та виживання. Кілька досліджень продемонстрували високий рівень СВВ, еквівалентний у пацієнтів групи В і С, разом із значним </w:t>
      </w:r>
      <w:r w:rsidR="009D639C">
        <w:rPr>
          <w:rFonts w:ascii="Times New Roman" w:hAnsi="Times New Roman" w:cs="Times New Roman"/>
          <w:lang w:val="uk-UA"/>
        </w:rPr>
        <w:t>покращенням</w:t>
      </w:r>
      <w:r w:rsidR="009D639C" w:rsidRPr="00BA5C0A">
        <w:rPr>
          <w:rFonts w:ascii="Times New Roman" w:hAnsi="Times New Roman" w:cs="Times New Roman"/>
          <w:lang w:val="uk-UA"/>
        </w:rPr>
        <w:t xml:space="preserve"> </w:t>
      </w:r>
      <w:r w:rsidRPr="00BA5C0A">
        <w:rPr>
          <w:rFonts w:ascii="Times New Roman" w:hAnsi="Times New Roman" w:cs="Times New Roman"/>
          <w:lang w:val="uk-UA"/>
        </w:rPr>
        <w:t xml:space="preserve">показників білірубіну, альбуміну та </w:t>
      </w:r>
      <w:r w:rsidR="009D639C">
        <w:rPr>
          <w:rFonts w:ascii="Times New Roman" w:hAnsi="Times New Roman" w:cs="Times New Roman"/>
          <w:lang w:val="uk-UA"/>
        </w:rPr>
        <w:t>міжнародн</w:t>
      </w:r>
      <w:r w:rsidR="0053224A">
        <w:rPr>
          <w:rFonts w:ascii="Times New Roman" w:hAnsi="Times New Roman" w:cs="Times New Roman"/>
          <w:lang w:val="uk-UA"/>
        </w:rPr>
        <w:t>ого</w:t>
      </w:r>
      <w:r w:rsidR="009D639C">
        <w:rPr>
          <w:rFonts w:ascii="Times New Roman" w:hAnsi="Times New Roman" w:cs="Times New Roman"/>
          <w:lang w:val="uk-UA"/>
        </w:rPr>
        <w:t xml:space="preserve"> нормалізов</w:t>
      </w:r>
      <w:r w:rsidR="0053224A">
        <w:rPr>
          <w:rFonts w:ascii="Times New Roman" w:hAnsi="Times New Roman" w:cs="Times New Roman"/>
          <w:lang w:val="uk-UA"/>
        </w:rPr>
        <w:t>аного</w:t>
      </w:r>
      <w:r w:rsidR="009D639C">
        <w:rPr>
          <w:rFonts w:ascii="Times New Roman" w:hAnsi="Times New Roman" w:cs="Times New Roman"/>
          <w:lang w:val="uk-UA"/>
        </w:rPr>
        <w:t xml:space="preserve"> </w:t>
      </w:r>
      <w:r w:rsidR="0053224A">
        <w:rPr>
          <w:rFonts w:ascii="Times New Roman" w:hAnsi="Times New Roman" w:cs="Times New Roman"/>
          <w:lang w:val="uk-UA"/>
        </w:rPr>
        <w:t>спів</w:t>
      </w:r>
      <w:r w:rsidR="009D639C">
        <w:rPr>
          <w:rFonts w:ascii="Times New Roman" w:hAnsi="Times New Roman" w:cs="Times New Roman"/>
          <w:lang w:val="uk-UA"/>
        </w:rPr>
        <w:t>відношення (</w:t>
      </w:r>
      <w:r w:rsidR="009D639C">
        <w:rPr>
          <w:rFonts w:ascii="Times New Roman" w:hAnsi="Times New Roman" w:cs="Times New Roman"/>
          <w:lang w:val="en-US"/>
        </w:rPr>
        <w:t>INR</w:t>
      </w:r>
      <w:r w:rsidR="009D639C" w:rsidRPr="00D005A1">
        <w:rPr>
          <w:rFonts w:ascii="Times New Roman" w:hAnsi="Times New Roman" w:cs="Times New Roman"/>
          <w:lang w:val="uk-UA"/>
        </w:rPr>
        <w:t>)</w:t>
      </w:r>
      <w:r w:rsidRPr="00BA5C0A">
        <w:rPr>
          <w:rFonts w:ascii="Times New Roman" w:hAnsi="Times New Roman" w:cs="Times New Roman"/>
          <w:lang w:val="uk-UA"/>
        </w:rPr>
        <w:t xml:space="preserve"> і, як результат, оцінок MELD та Child</w:t>
      </w:r>
      <w:r w:rsidR="00FC6D8A">
        <w:rPr>
          <w:rFonts w:ascii="Times New Roman" w:hAnsi="Times New Roman" w:cs="Times New Roman"/>
          <w:lang w:val="uk-UA"/>
        </w:rPr>
        <w:t>–</w:t>
      </w:r>
      <w:r w:rsidRPr="00BA5C0A">
        <w:rPr>
          <w:rFonts w:ascii="Times New Roman" w:hAnsi="Times New Roman" w:cs="Times New Roman"/>
          <w:lang w:val="uk-UA"/>
        </w:rPr>
        <w:t xml:space="preserve">Pugh </w:t>
      </w:r>
      <w:r w:rsidR="0044117B">
        <w:rPr>
          <w:rFonts w:ascii="Times New Roman" w:hAnsi="Times New Roman" w:cs="Times New Roman"/>
          <w:lang w:val="uk-UA"/>
        </w:rPr>
        <w:t>(</w:t>
      </w:r>
      <w:r w:rsidRPr="00BA5C0A">
        <w:rPr>
          <w:rFonts w:ascii="Times New Roman" w:hAnsi="Times New Roman" w:cs="Times New Roman"/>
          <w:lang w:val="uk-UA"/>
        </w:rPr>
        <w:t>від третини до половини пацієнтів</w:t>
      </w:r>
      <w:r w:rsidR="0044117B">
        <w:rPr>
          <w:rFonts w:ascii="Times New Roman" w:hAnsi="Times New Roman" w:cs="Times New Roman"/>
          <w:lang w:val="uk-UA"/>
        </w:rPr>
        <w:t>)</w:t>
      </w:r>
      <w:r w:rsidRPr="00BA5C0A">
        <w:rPr>
          <w:rFonts w:ascii="Times New Roman" w:hAnsi="Times New Roman" w:cs="Times New Roman"/>
          <w:lang w:val="uk-UA"/>
        </w:rPr>
        <w:t>.</w:t>
      </w:r>
      <w:r w:rsidRPr="00BA5C0A">
        <w:rPr>
          <w:rFonts w:ascii="Times New Roman" w:hAnsi="Times New Roman" w:cs="Times New Roman"/>
          <w:vertAlign w:val="superscript"/>
          <w:lang w:val="uk-UA"/>
        </w:rPr>
        <w:t>55,56,120,136,137</w:t>
      </w:r>
      <w:r w:rsidRPr="00BA5C0A">
        <w:rPr>
          <w:rFonts w:ascii="Times New Roman" w:hAnsi="Times New Roman" w:cs="Times New Roman"/>
          <w:lang w:val="uk-UA"/>
        </w:rPr>
        <w:t xml:space="preserve"> Аналогічні результати були повідомлені в інших дослідженнях </w:t>
      </w:r>
      <w:r w:rsidRPr="00BA5C0A">
        <w:rPr>
          <w:rFonts w:ascii="Times New Roman" w:hAnsi="Times New Roman" w:cs="Times New Roman"/>
          <w:vertAlign w:val="superscript"/>
          <w:lang w:val="uk-UA"/>
        </w:rPr>
        <w:t>57,58,117,121,138,139</w:t>
      </w:r>
      <w:r w:rsidRPr="00BA5C0A">
        <w:rPr>
          <w:rFonts w:ascii="Times New Roman" w:hAnsi="Times New Roman" w:cs="Times New Roman"/>
          <w:lang w:val="uk-UA"/>
        </w:rPr>
        <w:t xml:space="preserve"> Пацієнти з цирозом </w:t>
      </w:r>
      <w:r w:rsidR="00E34AB6" w:rsidRPr="00D005A1">
        <w:rPr>
          <w:rFonts w:ascii="Times New Roman" w:hAnsi="Times New Roman" w:cs="Times New Roman"/>
          <w:lang w:val="uk-UA"/>
        </w:rPr>
        <w:t>(</w:t>
      </w:r>
      <w:r w:rsidRPr="00BA5C0A">
        <w:rPr>
          <w:rFonts w:ascii="Times New Roman" w:hAnsi="Times New Roman" w:cs="Times New Roman"/>
          <w:lang w:val="uk-UA"/>
        </w:rPr>
        <w:t>Child</w:t>
      </w:r>
      <w:r w:rsidR="00FC6D8A">
        <w:rPr>
          <w:rFonts w:ascii="Times New Roman" w:hAnsi="Times New Roman" w:cs="Times New Roman"/>
          <w:lang w:val="uk-UA"/>
        </w:rPr>
        <w:t>–</w:t>
      </w:r>
      <w:r w:rsidRPr="00BA5C0A">
        <w:rPr>
          <w:rFonts w:ascii="Times New Roman" w:hAnsi="Times New Roman" w:cs="Times New Roman"/>
          <w:lang w:val="uk-UA"/>
        </w:rPr>
        <w:t>Pugh B</w:t>
      </w:r>
      <w:r w:rsidR="00E34AB6" w:rsidRPr="00D005A1">
        <w:rPr>
          <w:rFonts w:ascii="Times New Roman" w:hAnsi="Times New Roman" w:cs="Times New Roman"/>
          <w:lang w:val="uk-UA"/>
        </w:rPr>
        <w:t>)</w:t>
      </w:r>
      <w:r w:rsidRPr="00BA5C0A">
        <w:rPr>
          <w:rFonts w:ascii="Times New Roman" w:hAnsi="Times New Roman" w:cs="Times New Roman"/>
          <w:lang w:val="uk-UA"/>
        </w:rPr>
        <w:t xml:space="preserve"> отримали більше користі від </w:t>
      </w:r>
      <w:r w:rsidR="00E34AB6">
        <w:rPr>
          <w:rFonts w:ascii="Times New Roman" w:hAnsi="Times New Roman" w:cs="Times New Roman"/>
          <w:lang w:val="uk-UA"/>
        </w:rPr>
        <w:t>досягнення СВВ</w:t>
      </w:r>
      <w:r w:rsidRPr="00BA5C0A">
        <w:rPr>
          <w:rFonts w:ascii="Times New Roman" w:hAnsi="Times New Roman" w:cs="Times New Roman"/>
          <w:lang w:val="uk-UA"/>
        </w:rPr>
        <w:t xml:space="preserve"> з точки зору виживання при відсутності ПР протягом 15 місяців, ніж пацієнти з цирозом </w:t>
      </w:r>
      <w:r w:rsidR="00E34AB6" w:rsidRPr="00D005A1">
        <w:rPr>
          <w:rFonts w:ascii="Times New Roman" w:hAnsi="Times New Roman" w:cs="Times New Roman"/>
          <w:lang w:val="uk-UA"/>
        </w:rPr>
        <w:t>(</w:t>
      </w:r>
      <w:r w:rsidRPr="00BA5C0A">
        <w:rPr>
          <w:rFonts w:ascii="Times New Roman" w:hAnsi="Times New Roman" w:cs="Times New Roman"/>
          <w:lang w:val="uk-UA"/>
        </w:rPr>
        <w:t>Child</w:t>
      </w:r>
      <w:r w:rsidR="00FC6D8A">
        <w:rPr>
          <w:rFonts w:ascii="Times New Roman" w:hAnsi="Times New Roman" w:cs="Times New Roman"/>
          <w:lang w:val="uk-UA"/>
        </w:rPr>
        <w:t>–</w:t>
      </w:r>
      <w:r w:rsidRPr="00BA5C0A">
        <w:rPr>
          <w:rFonts w:ascii="Times New Roman" w:hAnsi="Times New Roman" w:cs="Times New Roman"/>
          <w:lang w:val="uk-UA"/>
        </w:rPr>
        <w:t>Pugh C</w:t>
      </w:r>
      <w:r w:rsidR="00E34AB6" w:rsidRPr="00D005A1">
        <w:rPr>
          <w:rFonts w:ascii="Times New Roman" w:hAnsi="Times New Roman" w:cs="Times New Roman"/>
          <w:lang w:val="uk-UA"/>
        </w:rPr>
        <w:t>)</w:t>
      </w:r>
      <w:r w:rsidR="0053224A">
        <w:rPr>
          <w:rFonts w:ascii="Times New Roman" w:hAnsi="Times New Roman" w:cs="Times New Roman"/>
          <w:lang w:val="uk-UA"/>
        </w:rPr>
        <w:t>.</w:t>
      </w:r>
      <w:r w:rsidRPr="00BA5C0A">
        <w:rPr>
          <w:rFonts w:ascii="Times New Roman" w:hAnsi="Times New Roman" w:cs="Times New Roman"/>
          <w:vertAlign w:val="superscript"/>
          <w:lang w:val="uk-UA"/>
        </w:rPr>
        <w:t>171</w:t>
      </w:r>
      <w:r w:rsidRPr="00BA5C0A">
        <w:rPr>
          <w:rFonts w:ascii="Times New Roman" w:hAnsi="Times New Roman" w:cs="Times New Roman"/>
          <w:lang w:val="uk-UA"/>
        </w:rPr>
        <w:t xml:space="preserve"> Результати цих досліджень були викладені раніше. Відсутні дані довготермінових клінічних спостережень.</w:t>
      </w:r>
    </w:p>
    <w:p w14:paraId="21F85B9D" w14:textId="77777777" w:rsidR="002635EE" w:rsidRPr="00BA5C0A" w:rsidRDefault="002635EE" w:rsidP="00BA5C0A">
      <w:pPr>
        <w:ind w:firstLine="708"/>
        <w:jc w:val="both"/>
        <w:rPr>
          <w:rFonts w:ascii="Times New Roman" w:hAnsi="Times New Roman" w:cs="Times New Roman"/>
          <w:lang w:val="uk-U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A5C0A" w:rsidRPr="0080595E" w14:paraId="2DF69046" w14:textId="77777777" w:rsidTr="00544369">
        <w:trPr>
          <w:trHeight w:val="544"/>
        </w:trPr>
        <w:tc>
          <w:tcPr>
            <w:tcW w:w="9607" w:type="dxa"/>
            <w:shd w:val="clear" w:color="auto" w:fill="BDD6EE" w:themeFill="accent1" w:themeFillTint="66"/>
          </w:tcPr>
          <w:p w14:paraId="28580C7E" w14:textId="77777777" w:rsidR="00BA5C0A" w:rsidRPr="00BA5C0A" w:rsidRDefault="00BA5C0A" w:rsidP="00BA5C0A">
            <w:pPr>
              <w:jc w:val="both"/>
              <w:rPr>
                <w:rFonts w:ascii="Times New Roman" w:hAnsi="Times New Roman" w:cs="Times New Roman"/>
                <w:b/>
                <w:i/>
                <w:color w:val="4472C4" w:themeColor="accent5"/>
                <w:lang w:val="uk-UA"/>
              </w:rPr>
            </w:pPr>
            <w:r w:rsidRPr="00BA5C0A">
              <w:rPr>
                <w:rFonts w:ascii="Times New Roman" w:hAnsi="Times New Roman" w:cs="Times New Roman"/>
                <w:b/>
                <w:i/>
                <w:color w:val="4472C4" w:themeColor="accent5"/>
                <w:lang w:val="uk-UA"/>
              </w:rPr>
              <w:t>Рекомендації</w:t>
            </w:r>
          </w:p>
          <w:p w14:paraId="54E3F871" w14:textId="3A574EB2" w:rsidR="00BA5C0A" w:rsidRPr="00BA5C0A" w:rsidRDefault="00BA5C0A" w:rsidP="00015E3B">
            <w:pPr>
              <w:numPr>
                <w:ilvl w:val="0"/>
                <w:numId w:val="40"/>
              </w:numPr>
              <w:contextualSpacing/>
              <w:jc w:val="both"/>
              <w:rPr>
                <w:rFonts w:ascii="Times New Roman" w:hAnsi="Times New Roman" w:cs="Times New Roman"/>
                <w:lang w:val="uk-UA"/>
              </w:rPr>
            </w:pPr>
            <w:r w:rsidRPr="00BA5C0A">
              <w:rPr>
                <w:rFonts w:ascii="Times New Roman" w:hAnsi="Times New Roman" w:cs="Times New Roman"/>
                <w:lang w:val="uk-UA"/>
              </w:rPr>
              <w:t>Пацієнти з декомпенсованим (Child</w:t>
            </w:r>
            <w:r w:rsidR="00FC6D8A">
              <w:rPr>
                <w:rFonts w:ascii="Times New Roman" w:hAnsi="Times New Roman" w:cs="Times New Roman"/>
                <w:lang w:val="uk-UA"/>
              </w:rPr>
              <w:t>–</w:t>
            </w:r>
            <w:r w:rsidRPr="00BA5C0A">
              <w:rPr>
                <w:rFonts w:ascii="Times New Roman" w:hAnsi="Times New Roman" w:cs="Times New Roman"/>
                <w:lang w:val="uk-UA"/>
              </w:rPr>
              <w:t>Pugh B та Child</w:t>
            </w:r>
            <w:r w:rsidR="00FC6D8A">
              <w:rPr>
                <w:rFonts w:ascii="Times New Roman" w:hAnsi="Times New Roman" w:cs="Times New Roman"/>
                <w:lang w:val="uk-UA"/>
              </w:rPr>
              <w:t>–</w:t>
            </w:r>
            <w:r w:rsidRPr="00BA5C0A">
              <w:rPr>
                <w:rFonts w:ascii="Times New Roman" w:hAnsi="Times New Roman" w:cs="Times New Roman"/>
                <w:lang w:val="uk-UA"/>
              </w:rPr>
              <w:t xml:space="preserve">Pugh C до 12 балів) цирозом, які не </w:t>
            </w:r>
            <w:r w:rsidR="0053224A">
              <w:rPr>
                <w:rFonts w:ascii="Times New Roman" w:hAnsi="Times New Roman" w:cs="Times New Roman"/>
                <w:lang w:val="uk-UA"/>
              </w:rPr>
              <w:t>перебувають</w:t>
            </w:r>
            <w:r w:rsidRPr="00BA5C0A">
              <w:rPr>
                <w:rFonts w:ascii="Times New Roman" w:hAnsi="Times New Roman" w:cs="Times New Roman"/>
                <w:lang w:val="uk-UA"/>
              </w:rPr>
              <w:t xml:space="preserve"> </w:t>
            </w:r>
            <w:r w:rsidR="0053224A">
              <w:rPr>
                <w:rFonts w:ascii="Times New Roman" w:hAnsi="Times New Roman" w:cs="Times New Roman"/>
                <w:lang w:val="uk-UA"/>
              </w:rPr>
              <w:t>у</w:t>
            </w:r>
            <w:r w:rsidRPr="00BA5C0A">
              <w:rPr>
                <w:rFonts w:ascii="Times New Roman" w:hAnsi="Times New Roman" w:cs="Times New Roman"/>
                <w:lang w:val="uk-UA"/>
              </w:rPr>
              <w:t xml:space="preserve"> черзі очікування трансплантації печінки і без супутніх захворювань, які могли б вплинути на їх виживання, потребують термінового лікування (A1).</w:t>
            </w:r>
          </w:p>
          <w:p w14:paraId="48BEE982" w14:textId="4C48699C" w:rsidR="00BA5C0A" w:rsidRPr="00BA5C0A" w:rsidRDefault="00BA5C0A" w:rsidP="00015E3B">
            <w:pPr>
              <w:numPr>
                <w:ilvl w:val="0"/>
                <w:numId w:val="40"/>
              </w:numPr>
              <w:contextualSpacing/>
              <w:jc w:val="both"/>
              <w:rPr>
                <w:rFonts w:ascii="Times New Roman" w:hAnsi="Times New Roman" w:cs="Times New Roman"/>
                <w:lang w:val="uk-UA"/>
              </w:rPr>
            </w:pPr>
            <w:r w:rsidRPr="00BA5C0A">
              <w:rPr>
                <w:rFonts w:ascii="Times New Roman" w:hAnsi="Times New Roman" w:cs="Times New Roman"/>
                <w:lang w:val="uk-UA"/>
              </w:rPr>
              <w:t xml:space="preserve">Інгібітори протеази протипоказані пацієнтам з декомпенсованим цирозом печінки </w:t>
            </w:r>
            <w:r w:rsidR="00E34AB6">
              <w:rPr>
                <w:rFonts w:ascii="Times New Roman" w:hAnsi="Times New Roman" w:cs="Times New Roman"/>
                <w:lang w:val="uk-UA"/>
              </w:rPr>
              <w:t>(</w:t>
            </w:r>
            <w:r w:rsidRPr="00BA5C0A">
              <w:rPr>
                <w:rFonts w:ascii="Times New Roman" w:hAnsi="Times New Roman" w:cs="Times New Roman"/>
                <w:lang w:val="uk-UA"/>
              </w:rPr>
              <w:t>Child</w:t>
            </w:r>
            <w:r w:rsidR="00FC6D8A">
              <w:rPr>
                <w:rFonts w:ascii="Times New Roman" w:hAnsi="Times New Roman" w:cs="Times New Roman"/>
                <w:lang w:val="uk-UA"/>
              </w:rPr>
              <w:t>–</w:t>
            </w:r>
            <w:r w:rsidRPr="00BA5C0A">
              <w:rPr>
                <w:rFonts w:ascii="Times New Roman" w:hAnsi="Times New Roman" w:cs="Times New Roman"/>
                <w:lang w:val="uk-UA"/>
              </w:rPr>
              <w:t>Pugh B або C</w:t>
            </w:r>
            <w:r w:rsidR="00E34AB6">
              <w:rPr>
                <w:rFonts w:ascii="Times New Roman" w:hAnsi="Times New Roman" w:cs="Times New Roman"/>
                <w:lang w:val="uk-UA"/>
              </w:rPr>
              <w:t>)</w:t>
            </w:r>
            <w:r w:rsidRPr="00BA5C0A">
              <w:rPr>
                <w:rFonts w:ascii="Times New Roman" w:hAnsi="Times New Roman" w:cs="Times New Roman"/>
                <w:lang w:val="uk-UA"/>
              </w:rPr>
              <w:t xml:space="preserve"> (A1).</w:t>
            </w:r>
          </w:p>
          <w:p w14:paraId="5F10EDA0" w14:textId="4D8CDCDC" w:rsidR="00BA5C0A" w:rsidRPr="00BA5C0A" w:rsidRDefault="00BA5C0A" w:rsidP="00015E3B">
            <w:pPr>
              <w:numPr>
                <w:ilvl w:val="0"/>
                <w:numId w:val="40"/>
              </w:numPr>
              <w:contextualSpacing/>
              <w:jc w:val="both"/>
              <w:rPr>
                <w:rFonts w:ascii="Times New Roman" w:hAnsi="Times New Roman" w:cs="Times New Roman"/>
                <w:lang w:val="uk-UA"/>
              </w:rPr>
            </w:pPr>
            <w:r w:rsidRPr="00BA5C0A">
              <w:rPr>
                <w:rFonts w:ascii="Times New Roman" w:hAnsi="Times New Roman" w:cs="Times New Roman"/>
                <w:lang w:val="uk-UA"/>
              </w:rPr>
              <w:t>Пацієнтів з декомпенсованим цирозом печінки, які не знаходяться в черзі очікування трансплантації печінки, можна лікувати комбінацією з фіксованою дозою софосбувіру та ледіпасвіру (генотипи 1, 4, 5 або 6) або комбінацією з фіксованою дозою софосбувіру і велпатасвіру (всі генотипи)</w:t>
            </w:r>
            <w:r w:rsidR="00F725F4">
              <w:rPr>
                <w:rFonts w:ascii="Times New Roman" w:hAnsi="Times New Roman" w:cs="Times New Roman"/>
                <w:lang w:val="uk-UA"/>
              </w:rPr>
              <w:t xml:space="preserve"> </w:t>
            </w:r>
            <w:r w:rsidRPr="00BA5C0A">
              <w:rPr>
                <w:rFonts w:ascii="Times New Roman" w:hAnsi="Times New Roman" w:cs="Times New Roman"/>
                <w:lang w:val="uk-UA"/>
              </w:rPr>
              <w:t xml:space="preserve">з щоденним </w:t>
            </w:r>
            <w:r w:rsidR="00F725F4">
              <w:rPr>
                <w:rFonts w:ascii="Times New Roman" w:hAnsi="Times New Roman" w:cs="Times New Roman"/>
                <w:lang w:val="uk-UA"/>
              </w:rPr>
              <w:t xml:space="preserve">прийомом </w:t>
            </w:r>
            <w:r w:rsidRPr="00BA5C0A">
              <w:rPr>
                <w:rFonts w:ascii="Times New Roman" w:hAnsi="Times New Roman" w:cs="Times New Roman"/>
                <w:lang w:val="uk-UA"/>
              </w:rPr>
              <w:t>рибавірин</w:t>
            </w:r>
            <w:r w:rsidR="00F725F4">
              <w:rPr>
                <w:rFonts w:ascii="Times New Roman" w:hAnsi="Times New Roman" w:cs="Times New Roman"/>
                <w:lang w:val="uk-UA"/>
              </w:rPr>
              <w:t>у</w:t>
            </w:r>
            <w:r w:rsidR="009C6187">
              <w:rPr>
                <w:rFonts w:ascii="Times New Roman" w:hAnsi="Times New Roman" w:cs="Times New Roman"/>
                <w:lang w:val="uk-UA"/>
              </w:rPr>
              <w:t xml:space="preserve">, </w:t>
            </w:r>
            <w:r w:rsidR="009C6187">
              <w:rPr>
                <w:rFonts w:ascii="Times New Roman" w:hAnsi="Times New Roman" w:cs="Times New Roman"/>
                <w:lang w:val="uk-UA"/>
              </w:rPr>
              <w:lastRenderedPageBreak/>
              <w:t xml:space="preserve">що </w:t>
            </w:r>
            <w:r w:rsidRPr="00BA5C0A">
              <w:rPr>
                <w:rFonts w:ascii="Times New Roman" w:hAnsi="Times New Roman" w:cs="Times New Roman"/>
                <w:lang w:val="uk-UA"/>
              </w:rPr>
              <w:t xml:space="preserve"> розрахован</w:t>
            </w:r>
            <w:r w:rsidR="009C6187">
              <w:rPr>
                <w:rFonts w:ascii="Times New Roman" w:hAnsi="Times New Roman" w:cs="Times New Roman"/>
                <w:lang w:val="uk-UA"/>
              </w:rPr>
              <w:t>ий</w:t>
            </w:r>
            <w:r w:rsidRPr="00BA5C0A">
              <w:rPr>
                <w:rFonts w:ascii="Times New Roman" w:hAnsi="Times New Roman" w:cs="Times New Roman"/>
                <w:lang w:val="uk-UA"/>
              </w:rPr>
              <w:t xml:space="preserve"> </w:t>
            </w:r>
            <w:r w:rsidR="009C6187">
              <w:rPr>
                <w:rFonts w:ascii="Times New Roman" w:hAnsi="Times New Roman" w:cs="Times New Roman"/>
                <w:lang w:val="uk-UA"/>
              </w:rPr>
              <w:t>відповідно до</w:t>
            </w:r>
            <w:r w:rsidRPr="00BA5C0A">
              <w:rPr>
                <w:rFonts w:ascii="Times New Roman" w:hAnsi="Times New Roman" w:cs="Times New Roman"/>
                <w:lang w:val="uk-UA"/>
              </w:rPr>
              <w:t xml:space="preserve"> ваги тіла (1000 або 1200 мг у пацієнтів &lt;75 кг або ≥75 кг, відповідно). Для цих пацієнтів </w:t>
            </w:r>
            <w:r w:rsidR="009C6187">
              <w:rPr>
                <w:rFonts w:ascii="Times New Roman" w:hAnsi="Times New Roman" w:cs="Times New Roman"/>
                <w:lang w:val="uk-UA"/>
              </w:rPr>
              <w:t xml:space="preserve">прийом </w:t>
            </w:r>
            <w:r w:rsidRPr="00BA5C0A">
              <w:rPr>
                <w:rFonts w:ascii="Times New Roman" w:hAnsi="Times New Roman" w:cs="Times New Roman"/>
                <w:lang w:val="uk-UA"/>
              </w:rPr>
              <w:t>рибавірин</w:t>
            </w:r>
            <w:r w:rsidR="009C6187">
              <w:rPr>
                <w:rFonts w:ascii="Times New Roman" w:hAnsi="Times New Roman" w:cs="Times New Roman"/>
                <w:lang w:val="uk-UA"/>
              </w:rPr>
              <w:t>у</w:t>
            </w:r>
            <w:r w:rsidRPr="00BA5C0A">
              <w:rPr>
                <w:rFonts w:ascii="Times New Roman" w:hAnsi="Times New Roman" w:cs="Times New Roman"/>
                <w:lang w:val="uk-UA"/>
              </w:rPr>
              <w:t xml:space="preserve"> може починатис</w:t>
            </w:r>
            <w:r w:rsidR="002935B8">
              <w:rPr>
                <w:rFonts w:ascii="Times New Roman" w:hAnsi="Times New Roman" w:cs="Times New Roman"/>
                <w:lang w:val="uk-UA"/>
              </w:rPr>
              <w:t>я</w:t>
            </w:r>
            <w:r w:rsidRPr="00BA5C0A">
              <w:rPr>
                <w:rFonts w:ascii="Times New Roman" w:hAnsi="Times New Roman" w:cs="Times New Roman"/>
                <w:lang w:val="uk-UA"/>
              </w:rPr>
              <w:t xml:space="preserve"> </w:t>
            </w:r>
            <w:r w:rsidR="009C6187">
              <w:rPr>
                <w:rFonts w:ascii="Times New Roman" w:hAnsi="Times New Roman" w:cs="Times New Roman"/>
                <w:lang w:val="uk-UA"/>
              </w:rPr>
              <w:t>з</w:t>
            </w:r>
            <w:r w:rsidRPr="00BA5C0A">
              <w:rPr>
                <w:rFonts w:ascii="Times New Roman" w:hAnsi="Times New Roman" w:cs="Times New Roman"/>
                <w:lang w:val="uk-UA"/>
              </w:rPr>
              <w:t xml:space="preserve"> 600 мг щодня, і згодом регулюватися залежно від переносимості (А1).</w:t>
            </w:r>
          </w:p>
          <w:p w14:paraId="27790551" w14:textId="5BB09BFB" w:rsidR="00BA5C0A" w:rsidRPr="00BA5C0A" w:rsidRDefault="00BA5C0A" w:rsidP="00015E3B">
            <w:pPr>
              <w:numPr>
                <w:ilvl w:val="0"/>
                <w:numId w:val="40"/>
              </w:numPr>
              <w:contextualSpacing/>
              <w:jc w:val="both"/>
              <w:rPr>
                <w:rFonts w:ascii="Times New Roman" w:hAnsi="Times New Roman" w:cs="Times New Roman"/>
                <w:lang w:val="uk-UA"/>
              </w:rPr>
            </w:pPr>
            <w:r w:rsidRPr="00BA5C0A">
              <w:rPr>
                <w:rFonts w:ascii="Times New Roman" w:hAnsi="Times New Roman" w:cs="Times New Roman"/>
                <w:lang w:val="uk-UA"/>
              </w:rPr>
              <w:t>Пацієнтів з декомпенсованим цирозом, які не знаходяться в черзі очікування трансплантації печінки, слід лікувати софосбувіром та ледіпасвіром (генотип 1, 4, 5 або 6) або софосбувіром та велпатасвіром (всі генотипи) протягом 12 тижнів</w:t>
            </w:r>
            <w:r w:rsidR="00E34AB6">
              <w:rPr>
                <w:rFonts w:ascii="Times New Roman" w:hAnsi="Times New Roman" w:cs="Times New Roman"/>
                <w:lang w:val="uk-UA"/>
              </w:rPr>
              <w:t>,</w:t>
            </w:r>
            <w:r w:rsidRPr="00BA5C0A">
              <w:rPr>
                <w:rFonts w:ascii="Times New Roman" w:hAnsi="Times New Roman" w:cs="Times New Roman"/>
                <w:lang w:val="uk-UA"/>
              </w:rPr>
              <w:t xml:space="preserve"> з </w:t>
            </w:r>
            <w:r w:rsidR="00E34AB6">
              <w:rPr>
                <w:rFonts w:ascii="Times New Roman" w:hAnsi="Times New Roman" w:cs="Times New Roman"/>
                <w:lang w:val="uk-UA"/>
              </w:rPr>
              <w:t xml:space="preserve">додаванням </w:t>
            </w:r>
            <w:r w:rsidRPr="00BA5C0A">
              <w:rPr>
                <w:rFonts w:ascii="Times New Roman" w:hAnsi="Times New Roman" w:cs="Times New Roman"/>
                <w:lang w:val="uk-UA"/>
              </w:rPr>
              <w:t>рибавірин</w:t>
            </w:r>
            <w:r w:rsidR="00E34AB6">
              <w:rPr>
                <w:rFonts w:ascii="Times New Roman" w:hAnsi="Times New Roman" w:cs="Times New Roman"/>
                <w:lang w:val="uk-UA"/>
              </w:rPr>
              <w:t>у</w:t>
            </w:r>
            <w:r w:rsidRPr="00BA5C0A">
              <w:rPr>
                <w:rFonts w:ascii="Times New Roman" w:hAnsi="Times New Roman" w:cs="Times New Roman"/>
                <w:lang w:val="uk-UA"/>
              </w:rPr>
              <w:t xml:space="preserve"> (А1).</w:t>
            </w:r>
          </w:p>
          <w:p w14:paraId="68CDC75F" w14:textId="77DFD3D2" w:rsidR="00BA5C0A" w:rsidRPr="00BA5C0A" w:rsidRDefault="00BA5C0A" w:rsidP="00015E3B">
            <w:pPr>
              <w:numPr>
                <w:ilvl w:val="0"/>
                <w:numId w:val="40"/>
              </w:numPr>
              <w:contextualSpacing/>
              <w:jc w:val="both"/>
              <w:rPr>
                <w:rFonts w:ascii="Times New Roman" w:hAnsi="Times New Roman" w:cs="Times New Roman"/>
                <w:lang w:val="uk-UA"/>
              </w:rPr>
            </w:pPr>
            <w:r w:rsidRPr="00BA5C0A">
              <w:rPr>
                <w:rFonts w:ascii="Times New Roman" w:hAnsi="Times New Roman" w:cs="Times New Roman"/>
                <w:lang w:val="uk-UA"/>
              </w:rPr>
              <w:t>Пацієнти з декомпенсованим цирозом печінки, які не знаходяться в черзі очікування трансплантації печінки з протипоказаннями до рибавірину або з низькою переносим</w:t>
            </w:r>
            <w:r w:rsidR="00E34AB6">
              <w:rPr>
                <w:rFonts w:ascii="Times New Roman" w:hAnsi="Times New Roman" w:cs="Times New Roman"/>
                <w:lang w:val="uk-UA"/>
              </w:rPr>
              <w:t>і</w:t>
            </w:r>
            <w:r w:rsidRPr="00BA5C0A">
              <w:rPr>
                <w:rFonts w:ascii="Times New Roman" w:hAnsi="Times New Roman" w:cs="Times New Roman"/>
                <w:lang w:val="uk-UA"/>
              </w:rPr>
              <w:t>стю рибавірин</w:t>
            </w:r>
            <w:r w:rsidR="00E34AB6">
              <w:rPr>
                <w:rFonts w:ascii="Times New Roman" w:hAnsi="Times New Roman" w:cs="Times New Roman"/>
                <w:lang w:val="uk-UA"/>
              </w:rPr>
              <w:t>у</w:t>
            </w:r>
            <w:r w:rsidRPr="00BA5C0A">
              <w:rPr>
                <w:rFonts w:ascii="Times New Roman" w:hAnsi="Times New Roman" w:cs="Times New Roman"/>
                <w:lang w:val="uk-UA"/>
              </w:rPr>
              <w:t>, можуть отримувати фіксовану дозу комбінації софосбувіру та ледіпасвіру (генотипи 1, 4, 5 або 6), або фіксовану дозу софосбувіру і велпатасвіру (всі генотипи) протягом 24 тижнів без рибавірину (В2).</w:t>
            </w:r>
          </w:p>
          <w:p w14:paraId="2821A653" w14:textId="00EC96FE" w:rsidR="00BA5C0A" w:rsidRPr="007039DE" w:rsidRDefault="00BA5C0A" w:rsidP="00015E3B">
            <w:pPr>
              <w:numPr>
                <w:ilvl w:val="0"/>
                <w:numId w:val="40"/>
              </w:numPr>
              <w:contextualSpacing/>
              <w:jc w:val="both"/>
              <w:rPr>
                <w:rFonts w:ascii="Times New Roman" w:hAnsi="Times New Roman" w:cs="Times New Roman"/>
                <w:lang w:val="uk-UA"/>
              </w:rPr>
            </w:pPr>
            <w:r w:rsidRPr="00BA5C0A">
              <w:rPr>
                <w:rFonts w:ascii="Times New Roman" w:hAnsi="Times New Roman" w:cs="Times New Roman"/>
                <w:lang w:val="uk-UA"/>
              </w:rPr>
              <w:t xml:space="preserve">Більш високий ризик </w:t>
            </w:r>
            <w:r w:rsidR="009C6187">
              <w:rPr>
                <w:rFonts w:ascii="Times New Roman" w:hAnsi="Times New Roman" w:cs="Times New Roman"/>
                <w:lang w:val="uk-UA"/>
              </w:rPr>
              <w:t xml:space="preserve">виникнення </w:t>
            </w:r>
            <w:r w:rsidRPr="00BA5C0A">
              <w:rPr>
                <w:rFonts w:ascii="Times New Roman" w:hAnsi="Times New Roman" w:cs="Times New Roman"/>
                <w:lang w:val="uk-UA"/>
              </w:rPr>
              <w:t xml:space="preserve">побічних </w:t>
            </w:r>
            <w:r w:rsidR="009C6187">
              <w:rPr>
                <w:rFonts w:ascii="Times New Roman" w:hAnsi="Times New Roman" w:cs="Times New Roman"/>
                <w:lang w:val="uk-UA"/>
              </w:rPr>
              <w:t>реакцій</w:t>
            </w:r>
            <w:r w:rsidRPr="00BA5C0A">
              <w:rPr>
                <w:rFonts w:ascii="Times New Roman" w:hAnsi="Times New Roman" w:cs="Times New Roman"/>
                <w:lang w:val="uk-UA"/>
              </w:rPr>
              <w:t>, про які повідомляють у пацієнтів з декомпенсованим цирозом, вимагає належного періодичного клінічного та лабораторного обстеження під час і після лікування ВГС (В1)</w:t>
            </w:r>
          </w:p>
        </w:tc>
      </w:tr>
    </w:tbl>
    <w:p w14:paraId="6709AA44" w14:textId="77777777" w:rsidR="00BA5C0A" w:rsidRPr="00BA5C0A" w:rsidRDefault="00BA5C0A" w:rsidP="00BA5C0A">
      <w:pPr>
        <w:jc w:val="both"/>
        <w:rPr>
          <w:rFonts w:ascii="Times New Roman" w:hAnsi="Times New Roman" w:cs="Times New Roman"/>
          <w:lang w:val="uk-UA"/>
        </w:rPr>
      </w:pPr>
    </w:p>
    <w:p w14:paraId="78D5CE90" w14:textId="77777777" w:rsidR="00BA5C0A" w:rsidRPr="009C6187" w:rsidRDefault="00BA5C0A" w:rsidP="00BA5C0A">
      <w:pPr>
        <w:jc w:val="both"/>
        <w:rPr>
          <w:rFonts w:ascii="Times New Roman" w:hAnsi="Times New Roman" w:cs="Times New Roman"/>
          <w:b/>
          <w:color w:val="4472C4" w:themeColor="accent5"/>
          <w:sz w:val="32"/>
          <w:szCs w:val="32"/>
          <w:lang w:val="uk-UA"/>
        </w:rPr>
      </w:pPr>
      <w:r w:rsidRPr="009C6187">
        <w:rPr>
          <w:rFonts w:ascii="Times New Roman" w:hAnsi="Times New Roman" w:cs="Times New Roman"/>
          <w:b/>
          <w:color w:val="4472C4" w:themeColor="accent5"/>
          <w:sz w:val="32"/>
          <w:szCs w:val="32"/>
          <w:lang w:val="uk-UA"/>
        </w:rPr>
        <w:t>Пацієнти з ГЦК без показань до трансплантації печінки</w:t>
      </w:r>
    </w:p>
    <w:p w14:paraId="3D625EAD" w14:textId="77777777" w:rsidR="00BA5C0A" w:rsidRPr="00BA5C0A" w:rsidRDefault="00BA5C0A" w:rsidP="00BA5C0A">
      <w:pPr>
        <w:jc w:val="both"/>
        <w:rPr>
          <w:rFonts w:ascii="Times New Roman" w:hAnsi="Times New Roman" w:cs="Times New Roman"/>
          <w:lang w:val="uk-UA"/>
        </w:rPr>
      </w:pPr>
    </w:p>
    <w:p w14:paraId="01D6F023" w14:textId="124A2DF7"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ВГС</w:t>
      </w:r>
      <w:r w:rsidR="00FC6D8A">
        <w:rPr>
          <w:rFonts w:ascii="Times New Roman" w:hAnsi="Times New Roman" w:cs="Times New Roman"/>
          <w:lang w:val="uk-UA"/>
        </w:rPr>
        <w:t>–</w:t>
      </w:r>
      <w:r w:rsidRPr="00BA5C0A">
        <w:rPr>
          <w:rFonts w:ascii="Times New Roman" w:hAnsi="Times New Roman" w:cs="Times New Roman"/>
          <w:lang w:val="uk-UA"/>
        </w:rPr>
        <w:t xml:space="preserve">інфекція є основною причиною ГКЦ у всьому світі, і захворюваність та смертність від ГКЦ пов'язаної з ВГС, зростають, особливо в районах з високим рівнем доходу. ГКЦ виникає </w:t>
      </w:r>
      <w:r w:rsidR="007356EB">
        <w:rPr>
          <w:rFonts w:ascii="Times New Roman" w:hAnsi="Times New Roman" w:cs="Times New Roman"/>
          <w:lang w:val="uk-UA"/>
        </w:rPr>
        <w:t xml:space="preserve">в середньому у </w:t>
      </w:r>
      <w:r w:rsidRPr="00BA5C0A">
        <w:rPr>
          <w:rFonts w:ascii="Times New Roman" w:hAnsi="Times New Roman" w:cs="Times New Roman"/>
          <w:lang w:val="uk-UA"/>
        </w:rPr>
        <w:t>1</w:t>
      </w:r>
      <w:r w:rsidR="00FC6D8A">
        <w:rPr>
          <w:rFonts w:ascii="Times New Roman" w:hAnsi="Times New Roman" w:cs="Times New Roman"/>
          <w:lang w:val="uk-UA"/>
        </w:rPr>
        <w:t>–</w:t>
      </w:r>
      <w:r w:rsidRPr="00BA5C0A">
        <w:rPr>
          <w:rFonts w:ascii="Times New Roman" w:hAnsi="Times New Roman" w:cs="Times New Roman"/>
          <w:lang w:val="uk-UA"/>
        </w:rPr>
        <w:t>7% у пацієнтів з цирозом печінки, але існує значна різн</w:t>
      </w:r>
      <w:r w:rsidR="001037EC">
        <w:rPr>
          <w:rFonts w:ascii="Times New Roman" w:hAnsi="Times New Roman" w:cs="Times New Roman"/>
          <w:lang w:val="uk-UA"/>
        </w:rPr>
        <w:t>иця у ризику винекнення ГЦК</w:t>
      </w:r>
      <w:r w:rsidRPr="00BA5C0A">
        <w:rPr>
          <w:rFonts w:ascii="Times New Roman" w:hAnsi="Times New Roman" w:cs="Times New Roman"/>
          <w:lang w:val="uk-UA"/>
        </w:rPr>
        <w:t xml:space="preserve">. Серед інших чинників, ризик виникнення </w:t>
      </w:r>
      <w:r w:rsidR="001037EC">
        <w:rPr>
          <w:rFonts w:ascii="Times New Roman" w:hAnsi="Times New Roman" w:cs="Times New Roman"/>
          <w:lang w:val="uk-UA"/>
        </w:rPr>
        <w:t xml:space="preserve">ГЦК </w:t>
      </w:r>
      <w:r w:rsidRPr="00BA5C0A">
        <w:rPr>
          <w:rFonts w:ascii="Times New Roman" w:hAnsi="Times New Roman" w:cs="Times New Roman"/>
          <w:lang w:val="uk-UA"/>
        </w:rPr>
        <w:t>пов'язаний з тяжкістю фіброзу, статтю, віком, діабетом та рівнем альфа</w:t>
      </w:r>
      <w:r w:rsidR="00FC6D8A">
        <w:rPr>
          <w:rFonts w:ascii="Times New Roman" w:hAnsi="Times New Roman" w:cs="Times New Roman"/>
          <w:lang w:val="uk-UA"/>
        </w:rPr>
        <w:t>–</w:t>
      </w:r>
      <w:r w:rsidRPr="00BA5C0A">
        <w:rPr>
          <w:rFonts w:ascii="Times New Roman" w:hAnsi="Times New Roman" w:cs="Times New Roman"/>
          <w:lang w:val="uk-UA"/>
        </w:rPr>
        <w:t>фетопротеїнів. Було з’ясовано, що СВВ пов'язано зі зниженням смертності від усіх причин, смертності від печінкових захворювань та зниженням ризику ГЦК. Проте ризик ГЦК, не усувається СВВ. Лікування на основі ПППД у хворих з цирозом печінки призводить до значного числа пацієнтів, які потребують подальшого спостереження. Кілька великих когортних досліджень та метааналізу вивчили зв'язок між СВВ та зменшенням ризику ГЦК. Вони показують, що СВВ пов'язано з суттєвим зниженням частоти ГЦК в середньостроковій та довгостроковій перспективі.</w:t>
      </w:r>
      <w:r w:rsidRPr="00BA5C0A">
        <w:rPr>
          <w:rFonts w:ascii="Times New Roman" w:hAnsi="Times New Roman" w:cs="Times New Roman"/>
          <w:vertAlign w:val="superscript"/>
          <w:lang w:val="uk-UA"/>
        </w:rPr>
        <w:t>8,15,140</w:t>
      </w:r>
      <w:r w:rsidR="00FC6D8A">
        <w:rPr>
          <w:rFonts w:ascii="Times New Roman" w:hAnsi="Times New Roman" w:cs="Times New Roman"/>
          <w:vertAlign w:val="superscript"/>
          <w:lang w:val="uk-UA"/>
        </w:rPr>
        <w:t>–</w:t>
      </w:r>
      <w:r w:rsidRPr="00BA5C0A">
        <w:rPr>
          <w:rFonts w:ascii="Times New Roman" w:hAnsi="Times New Roman" w:cs="Times New Roman"/>
          <w:vertAlign w:val="superscript"/>
          <w:lang w:val="uk-UA"/>
        </w:rPr>
        <w:t>142</w:t>
      </w:r>
      <w:r w:rsidRPr="00BA5C0A">
        <w:rPr>
          <w:rFonts w:ascii="Times New Roman" w:hAnsi="Times New Roman" w:cs="Times New Roman"/>
          <w:lang w:val="uk-UA"/>
        </w:rPr>
        <w:t xml:space="preserve"> У ретроспективному когортному дослідженні був проведений аналіз 17 836 ВГС</w:t>
      </w:r>
      <w:r w:rsidR="00FC6D8A">
        <w:rPr>
          <w:rFonts w:ascii="Times New Roman" w:hAnsi="Times New Roman" w:cs="Times New Roman"/>
          <w:lang w:val="uk-UA"/>
        </w:rPr>
        <w:t>–</w:t>
      </w:r>
      <w:r w:rsidRPr="00BA5C0A">
        <w:rPr>
          <w:rFonts w:ascii="Times New Roman" w:hAnsi="Times New Roman" w:cs="Times New Roman"/>
          <w:lang w:val="uk-UA"/>
        </w:rPr>
        <w:t xml:space="preserve">позитивних пацієнтів, та пацієнтів, які отримували ПППД (СВВ у 66,6% та 96,2% пацієнтів, які отримували терапію на основі </w:t>
      </w:r>
      <w:r w:rsidR="00557239">
        <w:rPr>
          <w:rFonts w:ascii="Times New Roman" w:hAnsi="Times New Roman" w:cs="Times New Roman"/>
          <w:lang w:val="uk-UA"/>
        </w:rPr>
        <w:t>IFN</w:t>
      </w:r>
      <w:r w:rsidRPr="00BA5C0A">
        <w:rPr>
          <w:rFonts w:ascii="Times New Roman" w:hAnsi="Times New Roman" w:cs="Times New Roman"/>
          <w:lang w:val="uk-UA"/>
        </w:rPr>
        <w:t xml:space="preserve"> або ПППД, відповідно) у лікарнях </w:t>
      </w:r>
      <w:r w:rsidRPr="00BA5C0A">
        <w:rPr>
          <w:rFonts w:ascii="Times New Roman" w:hAnsi="Times New Roman" w:cs="Times New Roman"/>
          <w:i/>
          <w:lang w:val="en-US"/>
        </w:rPr>
        <w:t>Veterans</w:t>
      </w:r>
      <w:r w:rsidRPr="00BA5C0A">
        <w:rPr>
          <w:rFonts w:ascii="Times New Roman" w:hAnsi="Times New Roman" w:cs="Times New Roman"/>
          <w:i/>
          <w:lang w:val="uk-UA"/>
        </w:rPr>
        <w:t xml:space="preserve"> </w:t>
      </w:r>
      <w:r w:rsidRPr="00BA5C0A">
        <w:rPr>
          <w:rFonts w:ascii="Times New Roman" w:hAnsi="Times New Roman" w:cs="Times New Roman"/>
          <w:i/>
          <w:lang w:val="en-US"/>
        </w:rPr>
        <w:t>Administration</w:t>
      </w:r>
      <w:r w:rsidRPr="00BA5C0A">
        <w:rPr>
          <w:rFonts w:ascii="Times New Roman" w:hAnsi="Times New Roman" w:cs="Times New Roman"/>
          <w:lang w:val="uk-UA"/>
        </w:rPr>
        <w:t xml:space="preserve">. </w:t>
      </w:r>
      <w:r w:rsidR="009F1581">
        <w:rPr>
          <w:rFonts w:ascii="Times New Roman" w:hAnsi="Times New Roman" w:cs="Times New Roman"/>
          <w:lang w:val="uk-UA"/>
        </w:rPr>
        <w:t xml:space="preserve">Порівнюючи </w:t>
      </w:r>
      <w:r w:rsidRPr="00BA5C0A">
        <w:rPr>
          <w:rFonts w:ascii="Times New Roman" w:hAnsi="Times New Roman" w:cs="Times New Roman"/>
          <w:lang w:val="uk-UA"/>
        </w:rPr>
        <w:t xml:space="preserve">з пацієнтами без СВВ, у пацієнтів з СВВ було значно знижено ризик розвитку ГЦК.  </w:t>
      </w:r>
    </w:p>
    <w:p w14:paraId="2DC727A9" w14:textId="77777777" w:rsidR="00BA5C0A" w:rsidRPr="00BA5C0A" w:rsidRDefault="00BA5C0A" w:rsidP="00BA5C0A">
      <w:pPr>
        <w:jc w:val="both"/>
        <w:rPr>
          <w:rFonts w:ascii="Times New Roman" w:hAnsi="Times New Roman" w:cs="Times New Roman"/>
          <w:lang w:val="uk-UA"/>
        </w:rPr>
      </w:pPr>
    </w:p>
    <w:p w14:paraId="4C495A09" w14:textId="3083EF15"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Показано, що </w:t>
      </w:r>
      <w:r w:rsidR="00557239">
        <w:rPr>
          <w:rFonts w:ascii="Times New Roman" w:hAnsi="Times New Roman" w:cs="Times New Roman"/>
          <w:lang w:val="uk-UA"/>
        </w:rPr>
        <w:t>IFN</w:t>
      </w:r>
      <w:r w:rsidRPr="00BA5C0A">
        <w:rPr>
          <w:rFonts w:ascii="Times New Roman" w:hAnsi="Times New Roman" w:cs="Times New Roman"/>
          <w:lang w:val="uk-UA"/>
        </w:rPr>
        <w:t xml:space="preserve"> покращує результати після </w:t>
      </w:r>
      <w:r w:rsidR="00B66392">
        <w:rPr>
          <w:rFonts w:ascii="Times New Roman" w:hAnsi="Times New Roman" w:cs="Times New Roman"/>
          <w:lang w:val="uk-UA"/>
        </w:rPr>
        <w:t xml:space="preserve">видалення </w:t>
      </w:r>
      <w:r w:rsidRPr="00BA5C0A">
        <w:rPr>
          <w:rFonts w:ascii="Times New Roman" w:hAnsi="Times New Roman" w:cs="Times New Roman"/>
          <w:lang w:val="uk-UA"/>
        </w:rPr>
        <w:t xml:space="preserve">ГЦК. На даний час обговорюється, чи високі показники СВВ, досягнуті за допомогою нових режимів без IFN, впливають на ризик рецидиву після резекції або </w:t>
      </w:r>
      <w:r w:rsidR="00B66392">
        <w:rPr>
          <w:rFonts w:ascii="Times New Roman" w:hAnsi="Times New Roman" w:cs="Times New Roman"/>
          <w:lang w:val="uk-UA"/>
        </w:rPr>
        <w:t xml:space="preserve">видалення </w:t>
      </w:r>
      <w:r w:rsidRPr="00BA5C0A">
        <w:rPr>
          <w:rFonts w:ascii="Times New Roman" w:hAnsi="Times New Roman" w:cs="Times New Roman"/>
          <w:lang w:val="uk-UA"/>
        </w:rPr>
        <w:t>ГЦК. Дійсно, несподівано часті ранні рецидиви ГЦК з більш агресивним</w:t>
      </w:r>
      <w:r w:rsidR="0082170E">
        <w:rPr>
          <w:rFonts w:ascii="Times New Roman" w:hAnsi="Times New Roman" w:cs="Times New Roman"/>
          <w:lang w:val="uk-UA"/>
        </w:rPr>
        <w:t xml:space="preserve"> протіканням</w:t>
      </w:r>
      <w:r w:rsidRPr="00BA5C0A">
        <w:rPr>
          <w:rFonts w:ascii="Times New Roman" w:hAnsi="Times New Roman" w:cs="Times New Roman"/>
          <w:lang w:val="uk-UA"/>
        </w:rPr>
        <w:t xml:space="preserve"> повідомлялися у двох ретроспективних дослідженнях у пацієнтів з ГЦК, пов'язаних з ВГС, які пройшли </w:t>
      </w:r>
      <w:r w:rsidR="002935B8">
        <w:rPr>
          <w:rFonts w:ascii="Times New Roman" w:hAnsi="Times New Roman" w:cs="Times New Roman"/>
          <w:lang w:val="uk-UA"/>
        </w:rPr>
        <w:t xml:space="preserve">лікування </w:t>
      </w:r>
      <w:r w:rsidRPr="00BA5C0A">
        <w:rPr>
          <w:rFonts w:ascii="Times New Roman" w:hAnsi="Times New Roman" w:cs="Times New Roman"/>
          <w:lang w:val="uk-UA"/>
        </w:rPr>
        <w:t xml:space="preserve">ГЦК, і в подальшому отримували схеми лікування без </w:t>
      </w:r>
      <w:r w:rsidR="00557239">
        <w:rPr>
          <w:rFonts w:ascii="Times New Roman" w:hAnsi="Times New Roman" w:cs="Times New Roman"/>
          <w:lang w:val="uk-UA"/>
        </w:rPr>
        <w:t>IFN</w:t>
      </w:r>
      <w:r w:rsidRPr="00BA5C0A">
        <w:rPr>
          <w:rFonts w:ascii="Times New Roman" w:hAnsi="Times New Roman" w:cs="Times New Roman"/>
          <w:lang w:val="uk-UA"/>
        </w:rPr>
        <w:t xml:space="preserve"> і вилікувалися від ВГС </w:t>
      </w:r>
      <w:r w:rsidR="002935B8">
        <w:rPr>
          <w:rFonts w:ascii="Times New Roman" w:hAnsi="Times New Roman" w:cs="Times New Roman"/>
          <w:lang w:val="uk-UA"/>
        </w:rPr>
        <w:t>у</w:t>
      </w:r>
      <w:r w:rsidRPr="00BA5C0A">
        <w:rPr>
          <w:rFonts w:ascii="Times New Roman" w:hAnsi="Times New Roman" w:cs="Times New Roman"/>
          <w:lang w:val="uk-UA"/>
        </w:rPr>
        <w:t xml:space="preserve"> більшості випадків.</w:t>
      </w:r>
      <w:r w:rsidRPr="00BA5C0A">
        <w:rPr>
          <w:rFonts w:ascii="Times New Roman" w:hAnsi="Times New Roman" w:cs="Times New Roman"/>
          <w:vertAlign w:val="superscript"/>
          <w:lang w:val="uk-UA"/>
        </w:rPr>
        <w:t>144 145</w:t>
      </w:r>
      <w:r w:rsidRPr="00BA5C0A">
        <w:rPr>
          <w:rFonts w:ascii="Times New Roman" w:hAnsi="Times New Roman" w:cs="Times New Roman"/>
          <w:lang w:val="uk-UA"/>
        </w:rPr>
        <w:t xml:space="preserve"> Ці дані були піддані критиці у статистичному аналізі. Оцінка ймовірності рецидиву ГЦК ускладнена через високу клінічну біологічну та епідеміологічну неоднорідність ГЦК. Використання лікування ГЦК як відправної точки (а не терапії ПППД) фактична ймовірність розвитку рецидиву ГЦК </w:t>
      </w:r>
      <w:r w:rsidR="002935B8">
        <w:rPr>
          <w:rFonts w:ascii="Times New Roman" w:hAnsi="Times New Roman" w:cs="Times New Roman"/>
          <w:lang w:val="uk-UA"/>
        </w:rPr>
        <w:t xml:space="preserve">(відповідно до методу </w:t>
      </w:r>
      <w:r w:rsidRPr="00BA5C0A">
        <w:rPr>
          <w:rFonts w:ascii="Times New Roman" w:hAnsi="Times New Roman" w:cs="Times New Roman"/>
          <w:lang w:val="uk-UA"/>
        </w:rPr>
        <w:t>Каплан</w:t>
      </w:r>
      <w:r w:rsidR="00FC6D8A">
        <w:rPr>
          <w:rFonts w:ascii="Times New Roman" w:hAnsi="Times New Roman" w:cs="Times New Roman"/>
          <w:lang w:val="uk-UA"/>
        </w:rPr>
        <w:t>–</w:t>
      </w:r>
      <w:r w:rsidRPr="00BA5C0A">
        <w:rPr>
          <w:rFonts w:ascii="Times New Roman" w:hAnsi="Times New Roman" w:cs="Times New Roman"/>
          <w:lang w:val="uk-UA"/>
        </w:rPr>
        <w:t>Мейєра</w:t>
      </w:r>
      <w:r w:rsidR="002935B8">
        <w:rPr>
          <w:rFonts w:ascii="Times New Roman" w:hAnsi="Times New Roman" w:cs="Times New Roman"/>
          <w:lang w:val="uk-UA"/>
        </w:rPr>
        <w:t>)</w:t>
      </w:r>
      <w:r w:rsidRPr="00BA5C0A">
        <w:rPr>
          <w:rFonts w:ascii="Times New Roman" w:hAnsi="Times New Roman" w:cs="Times New Roman"/>
          <w:lang w:val="uk-UA"/>
        </w:rPr>
        <w:t xml:space="preserve"> протягом 6 і 12 місяців становила 7% та 13%, що не відповідає повідомленим 27%. </w:t>
      </w:r>
      <w:r w:rsidRPr="00BA5C0A">
        <w:rPr>
          <w:rFonts w:ascii="Times New Roman" w:hAnsi="Times New Roman" w:cs="Times New Roman"/>
          <w:vertAlign w:val="superscript"/>
          <w:lang w:val="uk-UA"/>
        </w:rPr>
        <w:t>146</w:t>
      </w:r>
      <w:r w:rsidRPr="00BA5C0A">
        <w:rPr>
          <w:rFonts w:ascii="Times New Roman" w:hAnsi="Times New Roman" w:cs="Times New Roman"/>
          <w:lang w:val="uk-UA"/>
        </w:rPr>
        <w:t xml:space="preserve"> З огляду на невелику кількість пацієнтів, ретроспективного характеру досліджень та відсутності контрольних груп, автори прийшли до висновку, що їхнє спостереження слід розглядати як зауваження, і що необхідно проводити оцінку більшого масштабу.</w:t>
      </w:r>
    </w:p>
    <w:p w14:paraId="350FDB5E" w14:textId="77777777" w:rsidR="00BA5C0A" w:rsidRPr="00BA5C0A" w:rsidRDefault="00BA5C0A" w:rsidP="00BA5C0A">
      <w:pPr>
        <w:jc w:val="both"/>
        <w:rPr>
          <w:rFonts w:ascii="Times New Roman" w:hAnsi="Times New Roman" w:cs="Times New Roman"/>
          <w:lang w:val="uk-UA"/>
        </w:rPr>
      </w:pPr>
    </w:p>
    <w:p w14:paraId="3C5F85A8" w14:textId="1A0515EE"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Неоднозначні результати потім були опубліковані іншими групами. Під час написання цих рекомендацій декілька досліджень свідчать про </w:t>
      </w:r>
      <w:r w:rsidR="0002709D">
        <w:rPr>
          <w:rFonts w:ascii="Times New Roman" w:hAnsi="Times New Roman" w:cs="Times New Roman"/>
          <w:lang w:val="uk-UA"/>
        </w:rPr>
        <w:t>збільшення</w:t>
      </w:r>
      <w:r w:rsidRPr="00BA5C0A">
        <w:rPr>
          <w:rFonts w:ascii="Times New Roman" w:hAnsi="Times New Roman" w:cs="Times New Roman"/>
          <w:lang w:val="uk-UA"/>
        </w:rPr>
        <w:t xml:space="preserve"> рецидивів Г</w:t>
      </w:r>
      <w:r w:rsidR="0002709D">
        <w:rPr>
          <w:rFonts w:ascii="Times New Roman" w:hAnsi="Times New Roman" w:cs="Times New Roman"/>
          <w:lang w:val="uk-UA"/>
        </w:rPr>
        <w:t>Ц</w:t>
      </w:r>
      <w:r w:rsidRPr="00BA5C0A">
        <w:rPr>
          <w:rFonts w:ascii="Times New Roman" w:hAnsi="Times New Roman" w:cs="Times New Roman"/>
          <w:lang w:val="uk-UA"/>
        </w:rPr>
        <w:t xml:space="preserve">К </w:t>
      </w:r>
      <w:r w:rsidR="0002709D">
        <w:rPr>
          <w:rFonts w:ascii="Times New Roman" w:hAnsi="Times New Roman" w:cs="Times New Roman"/>
          <w:lang w:val="uk-UA"/>
        </w:rPr>
        <w:t xml:space="preserve">або нові випадки </w:t>
      </w:r>
      <w:r w:rsidRPr="00BA5C0A">
        <w:rPr>
          <w:rFonts w:ascii="Times New Roman" w:hAnsi="Times New Roman" w:cs="Times New Roman"/>
          <w:lang w:val="uk-UA"/>
        </w:rPr>
        <w:t>захворюваності після ПППД</w:t>
      </w:r>
      <w:r w:rsidR="00FC6D8A">
        <w:rPr>
          <w:rFonts w:ascii="Times New Roman" w:hAnsi="Times New Roman" w:cs="Times New Roman"/>
          <w:lang w:val="uk-UA"/>
        </w:rPr>
        <w:t>–</w:t>
      </w:r>
      <w:r w:rsidRPr="00BA5C0A">
        <w:rPr>
          <w:rFonts w:ascii="Times New Roman" w:hAnsi="Times New Roman" w:cs="Times New Roman"/>
          <w:lang w:val="uk-UA"/>
        </w:rPr>
        <w:t xml:space="preserve">індукованого СВВ, </w:t>
      </w:r>
      <w:r w:rsidRPr="00BA5C0A">
        <w:rPr>
          <w:rFonts w:ascii="Times New Roman" w:hAnsi="Times New Roman" w:cs="Times New Roman"/>
          <w:vertAlign w:val="superscript"/>
          <w:lang w:val="uk-UA"/>
        </w:rPr>
        <w:t>144.145.147</w:t>
      </w:r>
      <w:r w:rsidR="00FC6D8A">
        <w:rPr>
          <w:rFonts w:ascii="Times New Roman" w:hAnsi="Times New Roman" w:cs="Times New Roman"/>
          <w:vertAlign w:val="superscript"/>
          <w:lang w:val="uk-UA"/>
        </w:rPr>
        <w:t>–</w:t>
      </w:r>
      <w:r w:rsidRPr="00BA5C0A">
        <w:rPr>
          <w:rFonts w:ascii="Times New Roman" w:hAnsi="Times New Roman" w:cs="Times New Roman"/>
          <w:vertAlign w:val="superscript"/>
          <w:lang w:val="uk-UA"/>
        </w:rPr>
        <w:t>150</w:t>
      </w:r>
      <w:r w:rsidRPr="00BA5C0A">
        <w:rPr>
          <w:rFonts w:ascii="Times New Roman" w:hAnsi="Times New Roman" w:cs="Times New Roman"/>
          <w:lang w:val="uk-UA"/>
        </w:rPr>
        <w:t xml:space="preserve"> тоді як інші не повідомляють про </w:t>
      </w:r>
      <w:r w:rsidRPr="00BA5C0A">
        <w:rPr>
          <w:rFonts w:ascii="Times New Roman" w:hAnsi="Times New Roman" w:cs="Times New Roman"/>
          <w:lang w:val="uk-UA"/>
        </w:rPr>
        <w:lastRenderedPageBreak/>
        <w:t>будь</w:t>
      </w:r>
      <w:r w:rsidR="00FC6D8A">
        <w:rPr>
          <w:rFonts w:ascii="Times New Roman" w:hAnsi="Times New Roman" w:cs="Times New Roman"/>
          <w:lang w:val="uk-UA"/>
        </w:rPr>
        <w:t>–</w:t>
      </w:r>
      <w:r w:rsidRPr="00BA5C0A">
        <w:rPr>
          <w:rFonts w:ascii="Times New Roman" w:hAnsi="Times New Roman" w:cs="Times New Roman"/>
          <w:lang w:val="uk-UA"/>
        </w:rPr>
        <w:t>які зміни.</w:t>
      </w:r>
      <w:r w:rsidRPr="00BA5C0A">
        <w:rPr>
          <w:rFonts w:ascii="Times New Roman" w:hAnsi="Times New Roman" w:cs="Times New Roman"/>
          <w:vertAlign w:val="superscript"/>
          <w:lang w:val="uk-UA"/>
        </w:rPr>
        <w:t>118,151</w:t>
      </w:r>
      <w:r w:rsidR="00FC6D8A">
        <w:rPr>
          <w:rFonts w:ascii="Times New Roman" w:hAnsi="Times New Roman" w:cs="Times New Roman"/>
          <w:vertAlign w:val="superscript"/>
          <w:lang w:val="uk-UA"/>
        </w:rPr>
        <w:t>–</w:t>
      </w:r>
      <w:r w:rsidRPr="00BA5C0A">
        <w:rPr>
          <w:rFonts w:ascii="Times New Roman" w:hAnsi="Times New Roman" w:cs="Times New Roman"/>
          <w:vertAlign w:val="superscript"/>
          <w:lang w:val="uk-UA"/>
        </w:rPr>
        <w:t>164</w:t>
      </w:r>
      <w:r w:rsidRPr="00BA5C0A">
        <w:rPr>
          <w:rFonts w:ascii="Times New Roman" w:hAnsi="Times New Roman" w:cs="Times New Roman"/>
          <w:lang w:val="uk-UA"/>
        </w:rPr>
        <w:t xml:space="preserve"> Найбільш науково обґрунтованим оцінюванням ризику ГЦК від ПППД </w:t>
      </w:r>
      <w:r w:rsidR="00FC6D8A">
        <w:rPr>
          <w:rFonts w:ascii="Times New Roman" w:hAnsi="Times New Roman" w:cs="Times New Roman"/>
          <w:lang w:val="uk-UA"/>
        </w:rPr>
        <w:t>–</w:t>
      </w:r>
      <w:r w:rsidRPr="00BA5C0A">
        <w:rPr>
          <w:rFonts w:ascii="Times New Roman" w:hAnsi="Times New Roman" w:cs="Times New Roman"/>
          <w:lang w:val="uk-UA"/>
        </w:rPr>
        <w:t xml:space="preserve">терапії були б рандомізовані контрольні дослідження у пацієнтів з цирозом печінки (за ризиком виникнення) та пацієнтів з ГЦК після лікування ГЦК (для ризику рецидиву). Однак такі випробування піднімуть важливі етичні проблеми. Значна частина даних дає підстави вважати, що випадки ГЦК зменшується після </w:t>
      </w:r>
      <w:r w:rsidR="007039DE">
        <w:rPr>
          <w:rFonts w:ascii="Times New Roman" w:hAnsi="Times New Roman" w:cs="Times New Roman"/>
          <w:lang w:val="uk-UA"/>
        </w:rPr>
        <w:t xml:space="preserve">досягнення </w:t>
      </w:r>
      <w:r w:rsidRPr="00BA5C0A">
        <w:rPr>
          <w:rFonts w:ascii="Times New Roman" w:hAnsi="Times New Roman" w:cs="Times New Roman"/>
          <w:lang w:val="uk-UA"/>
        </w:rPr>
        <w:t xml:space="preserve">СВВ в результаті </w:t>
      </w:r>
      <w:r w:rsidR="007039DE">
        <w:rPr>
          <w:rFonts w:ascii="Times New Roman" w:hAnsi="Times New Roman" w:cs="Times New Roman"/>
          <w:lang w:val="uk-UA"/>
        </w:rPr>
        <w:t xml:space="preserve">лікування </w:t>
      </w:r>
      <w:r w:rsidRPr="00BA5C0A">
        <w:rPr>
          <w:rFonts w:ascii="Times New Roman" w:hAnsi="Times New Roman" w:cs="Times New Roman"/>
          <w:lang w:val="uk-UA"/>
        </w:rPr>
        <w:t xml:space="preserve">ПППД. Для забезпечення більш точної оцінки ризику рецидиву та загального результату при лікуванні ГЦК, після терапії на основі ПППД потрібно більше перспективне дослідження з відповідною стратифікацією ризику та довгостроковими спостереженнями. Оскільки декомпенсація печінки є </w:t>
      </w:r>
      <w:r w:rsidR="002935B8">
        <w:rPr>
          <w:rFonts w:ascii="Times New Roman" w:hAnsi="Times New Roman" w:cs="Times New Roman"/>
          <w:lang w:val="uk-UA"/>
        </w:rPr>
        <w:t>основною причиною</w:t>
      </w:r>
      <w:r w:rsidRPr="00BA5C0A">
        <w:rPr>
          <w:rFonts w:ascii="Times New Roman" w:hAnsi="Times New Roman" w:cs="Times New Roman"/>
          <w:lang w:val="uk-UA"/>
        </w:rPr>
        <w:t xml:space="preserve"> смерті у хворих на ГЦК, і функція печінки може поліпшуватися у пацієнтів з цирозом печінки, в даний час припинення лікування пацієнтами з ВГС, які лікуються від ГЦК, не є доцільним. Проте для цих пацієнтів потрібне </w:t>
      </w:r>
      <w:r w:rsidR="002935B8">
        <w:rPr>
          <w:rFonts w:ascii="Times New Roman" w:hAnsi="Times New Roman" w:cs="Times New Roman"/>
          <w:lang w:val="uk-UA"/>
        </w:rPr>
        <w:t>постійне</w:t>
      </w:r>
      <w:r w:rsidRPr="00BA5C0A">
        <w:rPr>
          <w:rFonts w:ascii="Times New Roman" w:hAnsi="Times New Roman" w:cs="Times New Roman"/>
          <w:lang w:val="uk-UA"/>
        </w:rPr>
        <w:t xml:space="preserve"> спостереження.</w:t>
      </w:r>
    </w:p>
    <w:p w14:paraId="37975613" w14:textId="77777777" w:rsidR="00BA5C0A" w:rsidRPr="00BA5C0A" w:rsidRDefault="00BA5C0A" w:rsidP="00BA5C0A">
      <w:pPr>
        <w:jc w:val="both"/>
        <w:rPr>
          <w:rFonts w:ascii="Times New Roman" w:hAnsi="Times New Roman" w:cs="Times New Roman"/>
          <w:lang w:val="uk-UA"/>
        </w:rPr>
      </w:pPr>
    </w:p>
    <w:tbl>
      <w:tblPr>
        <w:tblW w:w="983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BA5C0A" w:rsidRPr="0080595E" w14:paraId="1B8993E7" w14:textId="77777777" w:rsidTr="007039DE">
        <w:trPr>
          <w:trHeight w:val="544"/>
        </w:trPr>
        <w:tc>
          <w:tcPr>
            <w:tcW w:w="9836" w:type="dxa"/>
            <w:shd w:val="clear" w:color="auto" w:fill="BDD6EE" w:themeFill="accent1" w:themeFillTint="66"/>
          </w:tcPr>
          <w:p w14:paraId="43CDDACA" w14:textId="616F5297" w:rsidR="00BA5C0A" w:rsidRDefault="00BA5C0A" w:rsidP="00BA5C0A">
            <w:pPr>
              <w:jc w:val="both"/>
              <w:rPr>
                <w:rFonts w:ascii="Times New Roman" w:hAnsi="Times New Roman" w:cs="Times New Roman"/>
                <w:b/>
                <w:i/>
                <w:color w:val="4472C4" w:themeColor="accent5"/>
                <w:lang w:val="uk-UA"/>
              </w:rPr>
            </w:pPr>
            <w:r w:rsidRPr="00BA5C0A">
              <w:rPr>
                <w:rFonts w:ascii="Times New Roman" w:hAnsi="Times New Roman" w:cs="Times New Roman"/>
                <w:b/>
                <w:i/>
                <w:color w:val="4472C4" w:themeColor="accent5"/>
                <w:lang w:val="uk-UA"/>
              </w:rPr>
              <w:t>Рекомендації</w:t>
            </w:r>
          </w:p>
          <w:p w14:paraId="06C042FA" w14:textId="77777777" w:rsidR="00560F52" w:rsidRPr="00BA5C0A" w:rsidRDefault="00560F52" w:rsidP="00BA5C0A">
            <w:pPr>
              <w:jc w:val="both"/>
              <w:rPr>
                <w:rFonts w:ascii="Times New Roman" w:hAnsi="Times New Roman" w:cs="Times New Roman"/>
                <w:b/>
                <w:i/>
                <w:color w:val="4472C4" w:themeColor="accent5"/>
                <w:lang w:val="uk-UA"/>
              </w:rPr>
            </w:pPr>
          </w:p>
          <w:p w14:paraId="4B4F4096" w14:textId="5B1A1EDE" w:rsidR="00BA5C0A" w:rsidRPr="00BA5C0A" w:rsidRDefault="00BA5C0A" w:rsidP="00015E3B">
            <w:pPr>
              <w:numPr>
                <w:ilvl w:val="0"/>
                <w:numId w:val="45"/>
              </w:numPr>
              <w:contextualSpacing/>
              <w:jc w:val="both"/>
              <w:rPr>
                <w:rFonts w:ascii="Times New Roman" w:hAnsi="Times New Roman" w:cs="Times New Roman"/>
                <w:lang w:val="uk-UA"/>
              </w:rPr>
            </w:pPr>
            <w:r w:rsidRPr="00BA5C0A">
              <w:rPr>
                <w:rFonts w:ascii="Times New Roman" w:hAnsi="Times New Roman" w:cs="Times New Roman"/>
                <w:lang w:val="uk-UA"/>
              </w:rPr>
              <w:t>Лікування ВГС не слід відкладати у пацієнтів з цирозом печінки</w:t>
            </w:r>
            <w:r w:rsidR="00E34AB6">
              <w:rPr>
                <w:rFonts w:ascii="Times New Roman" w:hAnsi="Times New Roman" w:cs="Times New Roman"/>
                <w:lang w:val="uk-UA"/>
              </w:rPr>
              <w:t xml:space="preserve"> Ці</w:t>
            </w:r>
            <w:r w:rsidRPr="00BA5C0A">
              <w:rPr>
                <w:rFonts w:ascii="Times New Roman" w:hAnsi="Times New Roman" w:cs="Times New Roman"/>
                <w:lang w:val="uk-UA"/>
              </w:rPr>
              <w:t xml:space="preserve"> пацієнти потребуватимуть нагляду щодо ГКЦ після СВВ, тому що ризик виникнення нових випадків або рецидиву ГКЦ зменшується, але не виключається СВВ (A1).</w:t>
            </w:r>
          </w:p>
          <w:p w14:paraId="3A6DA617" w14:textId="40B31A03" w:rsidR="00BA5C0A" w:rsidRPr="00BA5C0A" w:rsidRDefault="00BA5C0A" w:rsidP="00015E3B">
            <w:pPr>
              <w:numPr>
                <w:ilvl w:val="0"/>
                <w:numId w:val="45"/>
              </w:numPr>
              <w:contextualSpacing/>
              <w:jc w:val="both"/>
              <w:rPr>
                <w:rFonts w:ascii="Times New Roman" w:hAnsi="Times New Roman" w:cs="Times New Roman"/>
                <w:lang w:val="uk-UA"/>
              </w:rPr>
            </w:pPr>
            <w:r w:rsidRPr="00BA5C0A">
              <w:rPr>
                <w:rFonts w:ascii="Times New Roman" w:hAnsi="Times New Roman" w:cs="Times New Roman"/>
                <w:lang w:val="uk-UA"/>
              </w:rPr>
              <w:t xml:space="preserve">Невідомо, чи </w:t>
            </w:r>
            <w:r w:rsidR="00FC6D8A">
              <w:rPr>
                <w:rFonts w:ascii="Times New Roman" w:hAnsi="Times New Roman" w:cs="Times New Roman"/>
                <w:lang w:val="uk-UA"/>
              </w:rPr>
              <w:t>противірусна</w:t>
            </w:r>
            <w:r w:rsidRPr="00BA5C0A">
              <w:rPr>
                <w:rFonts w:ascii="Times New Roman" w:hAnsi="Times New Roman" w:cs="Times New Roman"/>
                <w:lang w:val="uk-UA"/>
              </w:rPr>
              <w:t xml:space="preserve"> терапія призводить до довготривалого покращення виживання за рахунок зниження </w:t>
            </w:r>
            <w:r w:rsidR="002935B8">
              <w:rPr>
                <w:rFonts w:ascii="Times New Roman" w:hAnsi="Times New Roman" w:cs="Times New Roman"/>
                <w:lang w:val="uk-UA"/>
              </w:rPr>
              <w:t xml:space="preserve">у пацієнтів </w:t>
            </w:r>
            <w:r w:rsidRPr="00BA5C0A">
              <w:rPr>
                <w:rFonts w:ascii="Times New Roman" w:hAnsi="Times New Roman" w:cs="Times New Roman"/>
                <w:lang w:val="uk-UA"/>
              </w:rPr>
              <w:t xml:space="preserve">ризику </w:t>
            </w:r>
            <w:r w:rsidR="002935B8">
              <w:rPr>
                <w:rFonts w:ascii="Times New Roman" w:hAnsi="Times New Roman" w:cs="Times New Roman"/>
                <w:lang w:val="uk-UA"/>
              </w:rPr>
              <w:t>рецидиву</w:t>
            </w:r>
            <w:r w:rsidRPr="00BA5C0A">
              <w:rPr>
                <w:rFonts w:ascii="Times New Roman" w:hAnsi="Times New Roman" w:cs="Times New Roman"/>
                <w:lang w:val="uk-UA"/>
              </w:rPr>
              <w:t xml:space="preserve"> ГЦК, </w:t>
            </w:r>
            <w:r w:rsidR="00E34AB6">
              <w:rPr>
                <w:rFonts w:ascii="Times New Roman" w:hAnsi="Times New Roman" w:cs="Times New Roman"/>
                <w:lang w:val="uk-UA"/>
              </w:rPr>
              <w:t xml:space="preserve">що </w:t>
            </w:r>
            <w:r w:rsidRPr="00BA5C0A">
              <w:rPr>
                <w:rFonts w:ascii="Times New Roman" w:hAnsi="Times New Roman" w:cs="Times New Roman"/>
                <w:lang w:val="uk-UA"/>
              </w:rPr>
              <w:t>пов'язан</w:t>
            </w:r>
            <w:r w:rsidR="002935B8">
              <w:rPr>
                <w:rFonts w:ascii="Times New Roman" w:hAnsi="Times New Roman" w:cs="Times New Roman"/>
                <w:lang w:val="uk-UA"/>
              </w:rPr>
              <w:t>а</w:t>
            </w:r>
            <w:r w:rsidRPr="00BA5C0A">
              <w:rPr>
                <w:rFonts w:ascii="Times New Roman" w:hAnsi="Times New Roman" w:cs="Times New Roman"/>
                <w:lang w:val="uk-UA"/>
              </w:rPr>
              <w:t xml:space="preserve"> з ВГС. Однак ці пацієнти часто мають </w:t>
            </w:r>
            <w:r w:rsidR="00560F52">
              <w:rPr>
                <w:rFonts w:ascii="Times New Roman" w:hAnsi="Times New Roman" w:cs="Times New Roman"/>
                <w:lang w:val="uk-UA"/>
              </w:rPr>
              <w:t xml:space="preserve">виражений </w:t>
            </w:r>
            <w:r w:rsidRPr="00BA5C0A">
              <w:rPr>
                <w:rFonts w:ascii="Times New Roman" w:hAnsi="Times New Roman" w:cs="Times New Roman"/>
                <w:lang w:val="uk-UA"/>
              </w:rPr>
              <w:t xml:space="preserve">фіброз чи цироз та повинні отримувати відповідну противірусну терапію </w:t>
            </w:r>
            <w:r w:rsidR="00E34AB6">
              <w:rPr>
                <w:rFonts w:ascii="Times New Roman" w:hAnsi="Times New Roman" w:cs="Times New Roman"/>
                <w:lang w:val="uk-UA"/>
              </w:rPr>
              <w:t xml:space="preserve">та підлягають ретельному спостереженню щодо </w:t>
            </w:r>
            <w:r w:rsidRPr="00BA5C0A">
              <w:rPr>
                <w:rFonts w:ascii="Times New Roman" w:hAnsi="Times New Roman" w:cs="Times New Roman"/>
                <w:lang w:val="uk-UA"/>
              </w:rPr>
              <w:t>ГКЦ (B1)</w:t>
            </w:r>
          </w:p>
        </w:tc>
      </w:tr>
    </w:tbl>
    <w:p w14:paraId="07FBCCB4" w14:textId="77777777" w:rsidR="00BA5C0A" w:rsidRPr="00BA5C0A" w:rsidRDefault="00BA5C0A" w:rsidP="00BA5C0A">
      <w:pPr>
        <w:jc w:val="both"/>
        <w:rPr>
          <w:rFonts w:ascii="Times New Roman" w:hAnsi="Times New Roman" w:cs="Times New Roman"/>
          <w:b/>
          <w:i/>
          <w:color w:val="4472C4" w:themeColor="accent5"/>
          <w:sz w:val="36"/>
          <w:szCs w:val="36"/>
          <w:lang w:val="uk-UA"/>
        </w:rPr>
      </w:pPr>
    </w:p>
    <w:p w14:paraId="61E8C950" w14:textId="0AF2F137" w:rsidR="00BA5C0A" w:rsidRPr="00BA5C0A" w:rsidRDefault="00BA5C0A" w:rsidP="00BA5C0A">
      <w:pPr>
        <w:jc w:val="both"/>
        <w:rPr>
          <w:rFonts w:ascii="Times New Roman" w:hAnsi="Times New Roman" w:cs="Times New Roman"/>
          <w:b/>
          <w:i/>
          <w:color w:val="4472C4" w:themeColor="accent5"/>
          <w:sz w:val="36"/>
          <w:szCs w:val="36"/>
          <w:lang w:val="uk-UA"/>
        </w:rPr>
      </w:pPr>
      <w:r w:rsidRPr="00BA5C0A">
        <w:rPr>
          <w:rFonts w:ascii="Times New Roman" w:hAnsi="Times New Roman" w:cs="Times New Roman"/>
          <w:b/>
          <w:i/>
          <w:color w:val="4472C4" w:themeColor="accent5"/>
          <w:sz w:val="36"/>
          <w:szCs w:val="36"/>
          <w:lang w:val="uk-UA"/>
        </w:rPr>
        <w:t xml:space="preserve">Лікування </w:t>
      </w:r>
      <w:r w:rsidR="00E34AB6">
        <w:rPr>
          <w:rFonts w:ascii="Times New Roman" w:hAnsi="Times New Roman" w:cs="Times New Roman"/>
          <w:b/>
          <w:i/>
          <w:color w:val="4472C4" w:themeColor="accent5"/>
          <w:sz w:val="36"/>
          <w:szCs w:val="36"/>
          <w:lang w:val="uk-UA"/>
        </w:rPr>
        <w:t>окремих</w:t>
      </w:r>
      <w:r w:rsidR="00E34AB6" w:rsidRPr="00BA5C0A">
        <w:rPr>
          <w:rFonts w:ascii="Times New Roman" w:hAnsi="Times New Roman" w:cs="Times New Roman"/>
          <w:b/>
          <w:i/>
          <w:color w:val="4472C4" w:themeColor="accent5"/>
          <w:sz w:val="36"/>
          <w:szCs w:val="36"/>
          <w:lang w:val="uk-UA"/>
        </w:rPr>
        <w:t xml:space="preserve"> </w:t>
      </w:r>
      <w:r w:rsidRPr="00BA5C0A">
        <w:rPr>
          <w:rFonts w:ascii="Times New Roman" w:hAnsi="Times New Roman" w:cs="Times New Roman"/>
          <w:b/>
          <w:i/>
          <w:color w:val="4472C4" w:themeColor="accent5"/>
          <w:sz w:val="36"/>
          <w:szCs w:val="36"/>
          <w:lang w:val="uk-UA"/>
        </w:rPr>
        <w:t>груп</w:t>
      </w:r>
    </w:p>
    <w:p w14:paraId="3A7FFD8C" w14:textId="77777777" w:rsidR="00BA5C0A" w:rsidRPr="00BA5C0A" w:rsidRDefault="00BA5C0A" w:rsidP="00BA5C0A">
      <w:pPr>
        <w:jc w:val="both"/>
        <w:rPr>
          <w:rFonts w:ascii="Times New Roman" w:hAnsi="Times New Roman" w:cs="Times New Roman"/>
          <w:b/>
          <w:color w:val="4472C4" w:themeColor="accent5"/>
          <w:lang w:val="uk-UA"/>
        </w:rPr>
      </w:pPr>
    </w:p>
    <w:p w14:paraId="5B2EA485" w14:textId="48E46089" w:rsidR="00BA5C0A" w:rsidRDefault="00BA5C0A" w:rsidP="00BA5C0A">
      <w:pPr>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Коінфекція ВГВ</w:t>
      </w:r>
    </w:p>
    <w:p w14:paraId="7C5848A6" w14:textId="77777777" w:rsidR="00560F52" w:rsidRPr="00BA5C0A" w:rsidRDefault="00560F52" w:rsidP="00BA5C0A">
      <w:pPr>
        <w:jc w:val="both"/>
        <w:rPr>
          <w:rFonts w:ascii="Times New Roman" w:hAnsi="Times New Roman" w:cs="Times New Roman"/>
          <w:b/>
          <w:color w:val="4472C4" w:themeColor="accent5"/>
          <w:lang w:val="uk-UA"/>
        </w:rPr>
      </w:pPr>
    </w:p>
    <w:p w14:paraId="276A7928" w14:textId="3972AFBB"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У пацієнтів з коінфекцією ВГВ</w:t>
      </w:r>
      <w:r w:rsidR="00E34AB6">
        <w:rPr>
          <w:rFonts w:ascii="Times New Roman" w:hAnsi="Times New Roman" w:cs="Times New Roman"/>
          <w:lang w:val="uk-UA"/>
        </w:rPr>
        <w:t>/</w:t>
      </w:r>
      <w:r w:rsidRPr="00BA5C0A">
        <w:rPr>
          <w:rFonts w:ascii="Times New Roman" w:hAnsi="Times New Roman" w:cs="Times New Roman"/>
          <w:lang w:val="uk-UA"/>
        </w:rPr>
        <w:t xml:space="preserve">ВГС рівень ДНК ВГВ часто є низьким або </w:t>
      </w:r>
      <w:r w:rsidR="00E34AB6">
        <w:rPr>
          <w:rFonts w:ascii="Times New Roman" w:hAnsi="Times New Roman" w:cs="Times New Roman"/>
          <w:lang w:val="uk-UA"/>
        </w:rPr>
        <w:t>не визначається</w:t>
      </w:r>
      <w:r w:rsidRPr="00BA5C0A">
        <w:rPr>
          <w:rFonts w:ascii="Times New Roman" w:hAnsi="Times New Roman" w:cs="Times New Roman"/>
          <w:lang w:val="uk-UA"/>
        </w:rPr>
        <w:t xml:space="preserve">, хоча він може коливатися </w:t>
      </w:r>
      <w:r w:rsidR="002935B8">
        <w:rPr>
          <w:rFonts w:ascii="Times New Roman" w:hAnsi="Times New Roman" w:cs="Times New Roman"/>
          <w:lang w:val="uk-UA"/>
        </w:rPr>
        <w:t>у</w:t>
      </w:r>
      <w:r w:rsidRPr="00BA5C0A">
        <w:rPr>
          <w:rFonts w:ascii="Times New Roman" w:hAnsi="Times New Roman" w:cs="Times New Roman"/>
          <w:lang w:val="uk-UA"/>
        </w:rPr>
        <w:t xml:space="preserve"> широких межах, і, як правило, ВГС є </w:t>
      </w:r>
      <w:r w:rsidR="00013BF5">
        <w:rPr>
          <w:rFonts w:ascii="Times New Roman" w:hAnsi="Times New Roman" w:cs="Times New Roman"/>
          <w:lang w:val="uk-UA"/>
        </w:rPr>
        <w:t>основним чинником розвитку хронічних запальних змін</w:t>
      </w:r>
      <w:r w:rsidRPr="00BA5C0A">
        <w:rPr>
          <w:rFonts w:ascii="Times New Roman" w:hAnsi="Times New Roman" w:cs="Times New Roman"/>
          <w:lang w:val="uk-UA"/>
        </w:rPr>
        <w:t>. У пацієнт</w:t>
      </w:r>
      <w:r w:rsidR="00A9166B">
        <w:rPr>
          <w:rFonts w:ascii="Times New Roman" w:hAnsi="Times New Roman" w:cs="Times New Roman"/>
          <w:lang w:val="uk-UA"/>
        </w:rPr>
        <w:t>ів</w:t>
      </w:r>
      <w:r w:rsidRPr="00BA5C0A">
        <w:rPr>
          <w:rFonts w:ascii="Times New Roman" w:hAnsi="Times New Roman" w:cs="Times New Roman"/>
          <w:lang w:val="uk-UA"/>
        </w:rPr>
        <w:t xml:space="preserve"> </w:t>
      </w:r>
      <w:r w:rsidR="00A9166B">
        <w:rPr>
          <w:rFonts w:ascii="Times New Roman" w:hAnsi="Times New Roman" w:cs="Times New Roman"/>
          <w:lang w:val="uk-UA"/>
        </w:rPr>
        <w:t xml:space="preserve">необхідно </w:t>
      </w:r>
      <w:r w:rsidRPr="00BA5C0A">
        <w:rPr>
          <w:rFonts w:ascii="Times New Roman" w:hAnsi="Times New Roman" w:cs="Times New Roman"/>
          <w:lang w:val="uk-UA"/>
        </w:rPr>
        <w:t xml:space="preserve">ретельно </w:t>
      </w:r>
      <w:r w:rsidR="00A9166B">
        <w:rPr>
          <w:rFonts w:ascii="Times New Roman" w:hAnsi="Times New Roman" w:cs="Times New Roman"/>
          <w:lang w:val="uk-UA"/>
        </w:rPr>
        <w:t>п</w:t>
      </w:r>
      <w:r w:rsidRPr="00BA5C0A">
        <w:rPr>
          <w:rFonts w:ascii="Times New Roman" w:hAnsi="Times New Roman" w:cs="Times New Roman"/>
          <w:lang w:val="uk-UA"/>
        </w:rPr>
        <w:t>роаналіз</w:t>
      </w:r>
      <w:r w:rsidR="00A9166B">
        <w:rPr>
          <w:rFonts w:ascii="Times New Roman" w:hAnsi="Times New Roman" w:cs="Times New Roman"/>
          <w:lang w:val="uk-UA"/>
        </w:rPr>
        <w:t>увати</w:t>
      </w:r>
      <w:r w:rsidRPr="00BA5C0A">
        <w:rPr>
          <w:rFonts w:ascii="Times New Roman" w:hAnsi="Times New Roman" w:cs="Times New Roman"/>
          <w:lang w:val="uk-UA"/>
        </w:rPr>
        <w:t xml:space="preserve"> статусу </w:t>
      </w:r>
      <w:r w:rsidR="00A9166B">
        <w:rPr>
          <w:rFonts w:ascii="Times New Roman" w:hAnsi="Times New Roman" w:cs="Times New Roman"/>
          <w:lang w:val="uk-UA"/>
        </w:rPr>
        <w:t>щодо реплікації</w:t>
      </w:r>
      <w:r w:rsidRPr="00BA5C0A">
        <w:rPr>
          <w:rFonts w:ascii="Times New Roman" w:hAnsi="Times New Roman" w:cs="Times New Roman"/>
          <w:lang w:val="uk-UA"/>
        </w:rPr>
        <w:t xml:space="preserve"> ВГВ та</w:t>
      </w:r>
      <w:r w:rsidR="00A9166B">
        <w:rPr>
          <w:rFonts w:ascii="Times New Roman" w:hAnsi="Times New Roman" w:cs="Times New Roman"/>
          <w:lang w:val="uk-UA"/>
        </w:rPr>
        <w:t xml:space="preserve"> </w:t>
      </w:r>
      <w:r w:rsidRPr="00BA5C0A">
        <w:rPr>
          <w:rFonts w:ascii="Times New Roman" w:hAnsi="Times New Roman" w:cs="Times New Roman"/>
          <w:lang w:val="uk-UA"/>
        </w:rPr>
        <w:t xml:space="preserve">ВГС, а також </w:t>
      </w:r>
      <w:r w:rsidR="00A9166B">
        <w:rPr>
          <w:rFonts w:ascii="Times New Roman" w:hAnsi="Times New Roman" w:cs="Times New Roman"/>
          <w:lang w:val="uk-UA"/>
        </w:rPr>
        <w:t xml:space="preserve">провести оцінку наявності </w:t>
      </w:r>
      <w:r w:rsidRPr="00BA5C0A">
        <w:rPr>
          <w:rFonts w:ascii="Times New Roman" w:hAnsi="Times New Roman" w:cs="Times New Roman"/>
          <w:lang w:val="uk-UA"/>
        </w:rPr>
        <w:t xml:space="preserve">вірусу гепатиту </w:t>
      </w:r>
      <w:r w:rsidR="002935B8">
        <w:rPr>
          <w:rFonts w:ascii="Times New Roman" w:hAnsi="Times New Roman" w:cs="Times New Roman"/>
          <w:lang w:val="uk-UA"/>
        </w:rPr>
        <w:t>Д</w:t>
      </w:r>
      <w:r w:rsidRPr="00BA5C0A">
        <w:rPr>
          <w:rFonts w:ascii="Times New Roman" w:hAnsi="Times New Roman" w:cs="Times New Roman"/>
          <w:lang w:val="uk-UA"/>
        </w:rPr>
        <w:t xml:space="preserve">. При реплікації ВГВ, </w:t>
      </w:r>
      <w:r w:rsidR="00E72EE0">
        <w:rPr>
          <w:rFonts w:ascii="Times New Roman" w:hAnsi="Times New Roman" w:cs="Times New Roman"/>
          <w:lang w:val="uk-UA"/>
        </w:rPr>
        <w:t>що</w:t>
      </w:r>
      <w:r w:rsidRPr="00BA5C0A">
        <w:rPr>
          <w:rFonts w:ascii="Times New Roman" w:hAnsi="Times New Roman" w:cs="Times New Roman"/>
          <w:lang w:val="uk-UA"/>
        </w:rPr>
        <w:t xml:space="preserve"> ви</w:t>
      </w:r>
      <w:r w:rsidR="00E72EE0">
        <w:rPr>
          <w:rFonts w:ascii="Times New Roman" w:hAnsi="Times New Roman" w:cs="Times New Roman"/>
          <w:lang w:val="uk-UA"/>
        </w:rPr>
        <w:t>кликає</w:t>
      </w:r>
      <w:r w:rsidRPr="00BA5C0A">
        <w:rPr>
          <w:rFonts w:ascii="Times New Roman" w:hAnsi="Times New Roman" w:cs="Times New Roman"/>
          <w:lang w:val="uk-UA"/>
        </w:rPr>
        <w:t xml:space="preserve"> захворювання печінки, лікування слід проводити відповідно до тих же правил, які застосовуються до моноінфекції ВГС. </w:t>
      </w:r>
    </w:p>
    <w:p w14:paraId="3AB6AA28" w14:textId="77777777" w:rsidR="00BA5C0A" w:rsidRPr="00BA5C0A" w:rsidRDefault="00BA5C0A" w:rsidP="00BA5C0A">
      <w:pPr>
        <w:jc w:val="both"/>
        <w:rPr>
          <w:rFonts w:ascii="Times New Roman" w:hAnsi="Times New Roman" w:cs="Times New Roman"/>
          <w:lang w:val="uk-UA"/>
        </w:rPr>
      </w:pPr>
    </w:p>
    <w:p w14:paraId="0CAA83F8" w14:textId="7C4696EB"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Існує потенційний ризик реактивації ВГВ під час чи після кліренсу ВГС, але цей ризик непередбачуваний.</w:t>
      </w:r>
      <w:r w:rsidRPr="00BA5C0A">
        <w:rPr>
          <w:rFonts w:ascii="Times New Roman" w:hAnsi="Times New Roman" w:cs="Times New Roman"/>
          <w:vertAlign w:val="superscript"/>
          <w:lang w:val="uk-UA"/>
        </w:rPr>
        <w:t>165,166</w:t>
      </w:r>
      <w:r w:rsidRPr="00BA5C0A">
        <w:rPr>
          <w:rFonts w:ascii="Times New Roman" w:hAnsi="Times New Roman" w:cs="Times New Roman"/>
          <w:lang w:val="uk-UA"/>
        </w:rPr>
        <w:t xml:space="preserve"> У проспективному дослідженні, проведеному у 111 тайванських пацієнтів з коінфекцією ВГВ</w:t>
      </w:r>
      <w:r w:rsidR="00D5051E">
        <w:rPr>
          <w:rFonts w:ascii="Times New Roman" w:hAnsi="Times New Roman" w:cs="Times New Roman"/>
          <w:lang w:val="uk-UA"/>
        </w:rPr>
        <w:t>/</w:t>
      </w:r>
      <w:r w:rsidRPr="00BA5C0A">
        <w:rPr>
          <w:rFonts w:ascii="Times New Roman" w:hAnsi="Times New Roman" w:cs="Times New Roman"/>
          <w:lang w:val="uk-UA"/>
        </w:rPr>
        <w:t>ВГС</w:t>
      </w:r>
      <w:r w:rsidR="00B86FA1">
        <w:rPr>
          <w:rFonts w:ascii="Times New Roman" w:hAnsi="Times New Roman" w:cs="Times New Roman"/>
          <w:lang w:val="uk-UA"/>
        </w:rPr>
        <w:t xml:space="preserve"> (</w:t>
      </w:r>
      <w:r w:rsidRPr="00BA5C0A">
        <w:rPr>
          <w:rFonts w:ascii="Times New Roman" w:hAnsi="Times New Roman" w:cs="Times New Roman"/>
          <w:lang w:val="uk-UA"/>
        </w:rPr>
        <w:t>наявність HBs</w:t>
      </w:r>
      <w:r w:rsidR="00D5051E">
        <w:rPr>
          <w:rFonts w:ascii="Times New Roman" w:hAnsi="Times New Roman" w:cs="Times New Roman"/>
          <w:lang w:val="en-US"/>
        </w:rPr>
        <w:t>Ag</w:t>
      </w:r>
      <w:r w:rsidRPr="00BA5C0A">
        <w:rPr>
          <w:rFonts w:ascii="Times New Roman" w:hAnsi="Times New Roman" w:cs="Times New Roman"/>
          <w:lang w:val="uk-UA"/>
        </w:rPr>
        <w:t xml:space="preserve"> та РНК ВГС</w:t>
      </w:r>
      <w:r w:rsidR="00B86FA1">
        <w:rPr>
          <w:rFonts w:ascii="Times New Roman" w:hAnsi="Times New Roman" w:cs="Times New Roman"/>
          <w:lang w:val="uk-UA"/>
        </w:rPr>
        <w:t>)</w:t>
      </w:r>
      <w:r w:rsidRPr="00BA5C0A">
        <w:rPr>
          <w:rFonts w:ascii="Times New Roman" w:hAnsi="Times New Roman" w:cs="Times New Roman"/>
          <w:lang w:val="uk-UA"/>
        </w:rPr>
        <w:t xml:space="preserve">, у 100% пацієнтів було досягнуто СВВ </w:t>
      </w:r>
      <w:r w:rsidR="00B86FA1">
        <w:rPr>
          <w:rFonts w:ascii="Times New Roman" w:hAnsi="Times New Roman" w:cs="Times New Roman"/>
          <w:lang w:val="uk-UA"/>
        </w:rPr>
        <w:t>при використанні</w:t>
      </w:r>
      <w:r w:rsidRPr="00BA5C0A">
        <w:rPr>
          <w:rFonts w:ascii="Times New Roman" w:hAnsi="Times New Roman" w:cs="Times New Roman"/>
          <w:lang w:val="uk-UA"/>
        </w:rPr>
        <w:t xml:space="preserve"> комбінаці</w:t>
      </w:r>
      <w:r w:rsidR="00B86FA1">
        <w:rPr>
          <w:rFonts w:ascii="Times New Roman" w:hAnsi="Times New Roman" w:cs="Times New Roman"/>
          <w:lang w:val="uk-UA"/>
        </w:rPr>
        <w:t>ї</w:t>
      </w:r>
      <w:r w:rsidRPr="00BA5C0A">
        <w:rPr>
          <w:rFonts w:ascii="Times New Roman" w:hAnsi="Times New Roman" w:cs="Times New Roman"/>
          <w:lang w:val="uk-UA"/>
        </w:rPr>
        <w:t xml:space="preserve"> софосбувіру та ледіпасвіру протягом 12 тижнів. Приблизно дві третини з них мали збільшення рівня ДНК ВГВ. У 5 пацієнтів спостерігалося підвищення рівня АЛТ у два рази </w:t>
      </w:r>
      <w:r w:rsidR="00D5051E">
        <w:rPr>
          <w:rFonts w:ascii="Times New Roman" w:hAnsi="Times New Roman" w:cs="Times New Roman"/>
          <w:lang w:val="uk-UA"/>
        </w:rPr>
        <w:t xml:space="preserve">більше за </w:t>
      </w:r>
      <w:r w:rsidRPr="00BA5C0A">
        <w:rPr>
          <w:rFonts w:ascii="Times New Roman" w:hAnsi="Times New Roman" w:cs="Times New Roman"/>
          <w:lang w:val="uk-UA"/>
        </w:rPr>
        <w:t>верхн</w:t>
      </w:r>
      <w:r w:rsidR="00D5051E">
        <w:rPr>
          <w:rFonts w:ascii="Times New Roman" w:hAnsi="Times New Roman" w:cs="Times New Roman"/>
          <w:lang w:val="uk-UA"/>
        </w:rPr>
        <w:t>ю</w:t>
      </w:r>
      <w:r w:rsidRPr="00BA5C0A">
        <w:rPr>
          <w:rFonts w:ascii="Times New Roman" w:hAnsi="Times New Roman" w:cs="Times New Roman"/>
          <w:lang w:val="uk-UA"/>
        </w:rPr>
        <w:t xml:space="preserve"> меж</w:t>
      </w:r>
      <w:r w:rsidR="00D5051E">
        <w:rPr>
          <w:rFonts w:ascii="Times New Roman" w:hAnsi="Times New Roman" w:cs="Times New Roman"/>
          <w:lang w:val="uk-UA"/>
        </w:rPr>
        <w:t xml:space="preserve">у </w:t>
      </w:r>
      <w:r w:rsidRPr="00BA5C0A">
        <w:rPr>
          <w:rFonts w:ascii="Times New Roman" w:hAnsi="Times New Roman" w:cs="Times New Roman"/>
          <w:lang w:val="uk-UA"/>
        </w:rPr>
        <w:t xml:space="preserve">норми, а показання до лікування ВГВ </w:t>
      </w:r>
      <w:r w:rsidR="002935B8">
        <w:rPr>
          <w:rFonts w:ascii="Times New Roman" w:hAnsi="Times New Roman" w:cs="Times New Roman"/>
          <w:lang w:val="uk-UA"/>
        </w:rPr>
        <w:t>появилися</w:t>
      </w:r>
      <w:r w:rsidRPr="00BA5C0A">
        <w:rPr>
          <w:rFonts w:ascii="Times New Roman" w:hAnsi="Times New Roman" w:cs="Times New Roman"/>
          <w:lang w:val="uk-UA"/>
        </w:rPr>
        <w:t xml:space="preserve"> у 2 випадках.</w:t>
      </w:r>
    </w:p>
    <w:p w14:paraId="049586DB" w14:textId="77777777" w:rsidR="00BA5C0A" w:rsidRPr="00BA5C0A" w:rsidRDefault="00BA5C0A" w:rsidP="00BA5C0A">
      <w:pPr>
        <w:jc w:val="both"/>
        <w:rPr>
          <w:rFonts w:ascii="Times New Roman" w:hAnsi="Times New Roman" w:cs="Times New Roman"/>
          <w:lang w:val="uk-UA"/>
        </w:rPr>
      </w:pPr>
    </w:p>
    <w:p w14:paraId="77633727" w14:textId="584B21E4"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Хворі, які починають лікування гепатиту С </w:t>
      </w:r>
      <w:r w:rsidR="00716B7D">
        <w:rPr>
          <w:rFonts w:ascii="Times New Roman" w:hAnsi="Times New Roman" w:cs="Times New Roman"/>
          <w:lang w:val="uk-UA"/>
        </w:rPr>
        <w:t xml:space="preserve">із використанням </w:t>
      </w:r>
      <w:r w:rsidRPr="00BA5C0A">
        <w:rPr>
          <w:rFonts w:ascii="Times New Roman" w:hAnsi="Times New Roman" w:cs="Times New Roman"/>
          <w:lang w:val="uk-UA"/>
        </w:rPr>
        <w:t xml:space="preserve">ПППД, повинні пройти тестування на </w:t>
      </w:r>
      <w:r w:rsidR="00A87B6D">
        <w:rPr>
          <w:rFonts w:ascii="Times New Roman" w:hAnsi="Times New Roman" w:cs="Times New Roman"/>
          <w:lang w:val="uk-UA"/>
        </w:rPr>
        <w:t xml:space="preserve">визначення </w:t>
      </w:r>
      <w:r w:rsidRPr="00BA5C0A">
        <w:rPr>
          <w:rFonts w:ascii="Times New Roman" w:hAnsi="Times New Roman" w:cs="Times New Roman"/>
          <w:lang w:val="uk-UA"/>
        </w:rPr>
        <w:t>поверхнев</w:t>
      </w:r>
      <w:r w:rsidR="00A87B6D">
        <w:rPr>
          <w:rFonts w:ascii="Times New Roman" w:hAnsi="Times New Roman" w:cs="Times New Roman"/>
          <w:lang w:val="uk-UA"/>
        </w:rPr>
        <w:t>ого</w:t>
      </w:r>
      <w:r w:rsidRPr="00BA5C0A">
        <w:rPr>
          <w:rFonts w:ascii="Times New Roman" w:hAnsi="Times New Roman" w:cs="Times New Roman"/>
          <w:lang w:val="uk-UA"/>
        </w:rPr>
        <w:t xml:space="preserve"> антиген</w:t>
      </w:r>
      <w:r w:rsidR="00A87B6D">
        <w:rPr>
          <w:rFonts w:ascii="Times New Roman" w:hAnsi="Times New Roman" w:cs="Times New Roman"/>
          <w:lang w:val="uk-UA"/>
        </w:rPr>
        <w:t>у</w:t>
      </w:r>
      <w:r w:rsidRPr="00BA5C0A">
        <w:rPr>
          <w:rFonts w:ascii="Times New Roman" w:hAnsi="Times New Roman" w:cs="Times New Roman"/>
          <w:lang w:val="uk-UA"/>
        </w:rPr>
        <w:t xml:space="preserve"> ВГВ (Hbs</w:t>
      </w:r>
      <w:r w:rsidRPr="00BA5C0A">
        <w:rPr>
          <w:rFonts w:ascii="Times New Roman" w:hAnsi="Times New Roman" w:cs="Times New Roman"/>
          <w:lang w:val="en-US"/>
        </w:rPr>
        <w:t>Ag</w:t>
      </w:r>
      <w:r w:rsidRPr="00A87B6D">
        <w:rPr>
          <w:rFonts w:ascii="Times New Roman" w:hAnsi="Times New Roman" w:cs="Times New Roman"/>
          <w:lang w:val="uk-UA"/>
        </w:rPr>
        <w:t>)</w:t>
      </w:r>
      <w:r w:rsidRPr="00BA5C0A">
        <w:rPr>
          <w:rFonts w:ascii="Times New Roman" w:hAnsi="Times New Roman" w:cs="Times New Roman"/>
          <w:lang w:val="uk-UA"/>
        </w:rPr>
        <w:t>,</w:t>
      </w:r>
      <w:r w:rsidR="00A87B6D" w:rsidRPr="00A87B6D">
        <w:rPr>
          <w:rFonts w:ascii="Times New Roman" w:hAnsi="Times New Roman" w:cs="Times New Roman"/>
          <w:lang w:val="uk-UA"/>
        </w:rPr>
        <w:t xml:space="preserve"> </w:t>
      </w:r>
      <w:r w:rsidR="00A87B6D">
        <w:rPr>
          <w:rFonts w:ascii="Times New Roman" w:hAnsi="Times New Roman" w:cs="Times New Roman"/>
          <w:lang w:val="en-US"/>
        </w:rPr>
        <w:t>anti</w:t>
      </w:r>
      <w:r w:rsidR="00FC6D8A">
        <w:rPr>
          <w:rFonts w:ascii="Times New Roman" w:hAnsi="Times New Roman" w:cs="Times New Roman"/>
          <w:lang w:val="uk-UA"/>
        </w:rPr>
        <w:t>–</w:t>
      </w:r>
      <w:r w:rsidR="00A87B6D">
        <w:rPr>
          <w:rFonts w:ascii="Times New Roman" w:hAnsi="Times New Roman" w:cs="Times New Roman"/>
          <w:lang w:val="en-US"/>
        </w:rPr>
        <w:t>HBc</w:t>
      </w:r>
      <w:r w:rsidR="00A87B6D" w:rsidRPr="00A87B6D">
        <w:rPr>
          <w:rFonts w:ascii="Times New Roman" w:hAnsi="Times New Roman" w:cs="Times New Roman"/>
          <w:lang w:val="uk-UA"/>
        </w:rPr>
        <w:t xml:space="preserve">, </w:t>
      </w:r>
      <w:r w:rsidR="00A87B6D">
        <w:rPr>
          <w:rFonts w:ascii="Times New Roman" w:hAnsi="Times New Roman" w:cs="Times New Roman"/>
          <w:lang w:val="en-US"/>
        </w:rPr>
        <w:t>anti</w:t>
      </w:r>
      <w:r w:rsidR="00FC6D8A">
        <w:rPr>
          <w:rFonts w:ascii="Times New Roman" w:hAnsi="Times New Roman" w:cs="Times New Roman"/>
          <w:lang w:val="uk-UA"/>
        </w:rPr>
        <w:t>–</w:t>
      </w:r>
      <w:r w:rsidR="00A87B6D">
        <w:rPr>
          <w:rFonts w:ascii="Times New Roman" w:hAnsi="Times New Roman" w:cs="Times New Roman"/>
          <w:lang w:val="en-US"/>
        </w:rPr>
        <w:t>HBs</w:t>
      </w:r>
      <w:r w:rsidRPr="00BA5C0A">
        <w:rPr>
          <w:rFonts w:ascii="Times New Roman" w:hAnsi="Times New Roman" w:cs="Times New Roman"/>
          <w:lang w:val="uk-UA"/>
        </w:rPr>
        <w:t>. Якщо присутній антиген HBs</w:t>
      </w:r>
      <w:r w:rsidRPr="00BA5C0A">
        <w:rPr>
          <w:rFonts w:ascii="Times New Roman" w:hAnsi="Times New Roman" w:cs="Times New Roman"/>
          <w:lang w:val="en-US"/>
        </w:rPr>
        <w:t>Ag</w:t>
      </w:r>
      <w:r w:rsidRPr="00BA5C0A">
        <w:rPr>
          <w:rFonts w:ascii="Times New Roman" w:hAnsi="Times New Roman" w:cs="Times New Roman"/>
          <w:lang w:val="uk-UA"/>
        </w:rPr>
        <w:t>, то показано одночасне лікування аналогами нуклеозид/нуклеотидів. У HBs</w:t>
      </w:r>
      <w:r w:rsidRPr="00BA5C0A">
        <w:rPr>
          <w:rFonts w:ascii="Times New Roman" w:hAnsi="Times New Roman" w:cs="Times New Roman"/>
          <w:lang w:val="en-US"/>
        </w:rPr>
        <w:t>Ag</w:t>
      </w:r>
      <w:r w:rsidRPr="00BA5C0A">
        <w:rPr>
          <w:rFonts w:ascii="Times New Roman" w:hAnsi="Times New Roman" w:cs="Times New Roman"/>
          <w:lang w:val="uk-UA"/>
        </w:rPr>
        <w:t xml:space="preserve"> </w:t>
      </w:r>
      <w:r w:rsidR="00FC6D8A">
        <w:rPr>
          <w:rFonts w:ascii="Times New Roman" w:hAnsi="Times New Roman" w:cs="Times New Roman"/>
          <w:lang w:val="uk-UA"/>
        </w:rPr>
        <w:t>–</w:t>
      </w:r>
      <w:r w:rsidRPr="00BA5C0A">
        <w:rPr>
          <w:rFonts w:ascii="Times New Roman" w:hAnsi="Times New Roman" w:cs="Times New Roman"/>
          <w:lang w:val="uk-UA"/>
        </w:rPr>
        <w:t xml:space="preserve">негативних та </w:t>
      </w:r>
      <w:r w:rsidRPr="00BA5C0A">
        <w:rPr>
          <w:rFonts w:ascii="Times New Roman" w:hAnsi="Times New Roman" w:cs="Times New Roman"/>
          <w:lang w:val="en-US"/>
        </w:rPr>
        <w:t>anti</w:t>
      </w:r>
      <w:r w:rsidR="00FC6D8A">
        <w:rPr>
          <w:rFonts w:ascii="Times New Roman" w:hAnsi="Times New Roman" w:cs="Times New Roman"/>
          <w:lang w:val="uk-UA"/>
        </w:rPr>
        <w:t>–</w:t>
      </w:r>
      <w:r w:rsidRPr="00BA5C0A">
        <w:rPr>
          <w:rFonts w:ascii="Times New Roman" w:hAnsi="Times New Roman" w:cs="Times New Roman"/>
          <w:lang w:val="uk-UA"/>
        </w:rPr>
        <w:t>HBs</w:t>
      </w:r>
      <w:r w:rsidR="00FC6D8A">
        <w:rPr>
          <w:rFonts w:ascii="Times New Roman" w:hAnsi="Times New Roman" w:cs="Times New Roman"/>
          <w:lang w:val="uk-UA"/>
        </w:rPr>
        <w:t>–</w:t>
      </w:r>
      <w:r w:rsidRPr="00BA5C0A">
        <w:rPr>
          <w:rFonts w:ascii="Times New Roman" w:hAnsi="Times New Roman" w:cs="Times New Roman"/>
          <w:lang w:val="uk-UA"/>
        </w:rPr>
        <w:t>позитивних</w:t>
      </w:r>
      <w:r w:rsidR="00D5051E">
        <w:rPr>
          <w:rFonts w:ascii="Times New Roman" w:hAnsi="Times New Roman" w:cs="Times New Roman"/>
          <w:lang w:val="uk-UA"/>
        </w:rPr>
        <w:t xml:space="preserve"> пацієнтів</w:t>
      </w:r>
      <w:r w:rsidRPr="00BA5C0A">
        <w:rPr>
          <w:rFonts w:ascii="Times New Roman" w:hAnsi="Times New Roman" w:cs="Times New Roman"/>
          <w:lang w:val="uk-UA"/>
        </w:rPr>
        <w:t xml:space="preserve"> слід контролювати рівень A</w:t>
      </w:r>
      <w:r w:rsidR="00EB1EED">
        <w:rPr>
          <w:rFonts w:ascii="Times New Roman" w:hAnsi="Times New Roman" w:cs="Times New Roman"/>
          <w:lang w:val="uk-UA"/>
        </w:rPr>
        <w:t>Л</w:t>
      </w:r>
      <w:r w:rsidRPr="00BA5C0A">
        <w:rPr>
          <w:rFonts w:ascii="Times New Roman" w:hAnsi="Times New Roman" w:cs="Times New Roman"/>
          <w:lang w:val="uk-UA"/>
        </w:rPr>
        <w:t>T в сироватці крові, а також слід перевіряти HBs</w:t>
      </w:r>
      <w:r w:rsidRPr="00BA5C0A">
        <w:rPr>
          <w:rFonts w:ascii="Times New Roman" w:hAnsi="Times New Roman" w:cs="Times New Roman"/>
          <w:lang w:val="en-US"/>
        </w:rPr>
        <w:t>Ag</w:t>
      </w:r>
      <w:r w:rsidRPr="00BA5C0A">
        <w:rPr>
          <w:rFonts w:ascii="Times New Roman" w:hAnsi="Times New Roman" w:cs="Times New Roman"/>
          <w:lang w:val="uk-UA"/>
        </w:rPr>
        <w:t xml:space="preserve"> та ДНК ВГВ, якщо рівень A</w:t>
      </w:r>
      <w:r w:rsidR="00EB1EED">
        <w:rPr>
          <w:rFonts w:ascii="Times New Roman" w:hAnsi="Times New Roman" w:cs="Times New Roman"/>
          <w:lang w:val="uk-UA"/>
        </w:rPr>
        <w:t>Л</w:t>
      </w:r>
      <w:r w:rsidRPr="00BA5C0A">
        <w:rPr>
          <w:rFonts w:ascii="Times New Roman" w:hAnsi="Times New Roman" w:cs="Times New Roman"/>
          <w:lang w:val="uk-UA"/>
        </w:rPr>
        <w:t>T не нормалізується або підвищується протягом або після ВГС терапії. Моніторинг рівня A</w:t>
      </w:r>
      <w:r w:rsidR="00EB1EED">
        <w:rPr>
          <w:rFonts w:ascii="Times New Roman" w:hAnsi="Times New Roman" w:cs="Times New Roman"/>
          <w:lang w:val="uk-UA"/>
        </w:rPr>
        <w:t>Л</w:t>
      </w:r>
      <w:r w:rsidRPr="00BA5C0A">
        <w:rPr>
          <w:rFonts w:ascii="Times New Roman" w:hAnsi="Times New Roman" w:cs="Times New Roman"/>
          <w:lang w:val="uk-UA"/>
        </w:rPr>
        <w:t>T у сироватці крові показаний у анти</w:t>
      </w:r>
      <w:r w:rsidR="00FC6D8A">
        <w:rPr>
          <w:rFonts w:ascii="Times New Roman" w:hAnsi="Times New Roman" w:cs="Times New Roman"/>
          <w:lang w:val="uk-UA"/>
        </w:rPr>
        <w:t>–</w:t>
      </w:r>
      <w:r w:rsidRPr="00BA5C0A">
        <w:rPr>
          <w:rFonts w:ascii="Times New Roman" w:hAnsi="Times New Roman" w:cs="Times New Roman"/>
          <w:lang w:val="uk-UA"/>
        </w:rPr>
        <w:t>HBs та анти</w:t>
      </w:r>
      <w:r w:rsidR="00FC6D8A">
        <w:rPr>
          <w:rFonts w:ascii="Times New Roman" w:hAnsi="Times New Roman" w:cs="Times New Roman"/>
          <w:lang w:val="uk-UA"/>
        </w:rPr>
        <w:t>–</w:t>
      </w:r>
      <w:r w:rsidRPr="00BA5C0A">
        <w:rPr>
          <w:rFonts w:ascii="Times New Roman" w:hAnsi="Times New Roman" w:cs="Times New Roman"/>
          <w:lang w:val="uk-UA"/>
        </w:rPr>
        <w:t xml:space="preserve">HBc </w:t>
      </w:r>
      <w:r w:rsidR="00FC6D8A">
        <w:rPr>
          <w:rFonts w:ascii="Times New Roman" w:hAnsi="Times New Roman" w:cs="Times New Roman"/>
          <w:lang w:val="uk-UA"/>
        </w:rPr>
        <w:t>–</w:t>
      </w:r>
      <w:r w:rsidRPr="00BA5C0A">
        <w:rPr>
          <w:rFonts w:ascii="Times New Roman" w:hAnsi="Times New Roman" w:cs="Times New Roman"/>
          <w:lang w:val="uk-UA"/>
        </w:rPr>
        <w:t>позитивних пацієнтів.</w:t>
      </w:r>
    </w:p>
    <w:p w14:paraId="3447CAD4" w14:textId="0AFDD978" w:rsidR="00BA5C0A" w:rsidRDefault="00BA5C0A" w:rsidP="00BA5C0A">
      <w:pPr>
        <w:jc w:val="both"/>
        <w:rPr>
          <w:rFonts w:ascii="Times New Roman" w:hAnsi="Times New Roman" w:cs="Times New Roman"/>
          <w:lang w:val="uk-UA"/>
        </w:rPr>
      </w:pPr>
    </w:p>
    <w:p w14:paraId="478C8C29" w14:textId="75E9EA3E" w:rsidR="00770318" w:rsidRDefault="00770318" w:rsidP="00BA5C0A">
      <w:pPr>
        <w:jc w:val="both"/>
        <w:rPr>
          <w:rFonts w:ascii="Times New Roman" w:hAnsi="Times New Roman" w:cs="Times New Roman"/>
          <w:lang w:val="uk-UA"/>
        </w:rPr>
      </w:pPr>
    </w:p>
    <w:p w14:paraId="29CC3533" w14:textId="1A21B5EE" w:rsidR="00770318" w:rsidRDefault="00770318" w:rsidP="00BA5C0A">
      <w:pPr>
        <w:jc w:val="both"/>
        <w:rPr>
          <w:rFonts w:ascii="Times New Roman" w:hAnsi="Times New Roman" w:cs="Times New Roman"/>
          <w:lang w:val="uk-UA"/>
        </w:rPr>
      </w:pPr>
    </w:p>
    <w:p w14:paraId="1A4D1B1E" w14:textId="1B161575" w:rsidR="00770318" w:rsidRDefault="00770318" w:rsidP="00BA5C0A">
      <w:pPr>
        <w:jc w:val="both"/>
        <w:rPr>
          <w:rFonts w:ascii="Times New Roman" w:hAnsi="Times New Roman" w:cs="Times New Roman"/>
          <w:lang w:val="uk-UA"/>
        </w:rPr>
      </w:pPr>
    </w:p>
    <w:p w14:paraId="3941EEE3" w14:textId="77777777" w:rsidR="00770318" w:rsidRPr="00BA5C0A" w:rsidRDefault="00770318" w:rsidP="00BA5C0A">
      <w:pPr>
        <w:jc w:val="both"/>
        <w:rPr>
          <w:rFonts w:ascii="Times New Roman" w:hAnsi="Times New Roman" w:cs="Times New Roman"/>
          <w:lang w:val="uk-U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A5C0A" w:rsidRPr="0080595E" w14:paraId="42A8941F" w14:textId="77777777" w:rsidTr="00544369">
        <w:trPr>
          <w:trHeight w:val="544"/>
        </w:trPr>
        <w:tc>
          <w:tcPr>
            <w:tcW w:w="9607" w:type="dxa"/>
            <w:shd w:val="clear" w:color="auto" w:fill="BDD6EE" w:themeFill="accent1" w:themeFillTint="66"/>
          </w:tcPr>
          <w:p w14:paraId="413D0400" w14:textId="05F989EF" w:rsidR="00BA5C0A" w:rsidRDefault="00BA5C0A" w:rsidP="00BA5C0A">
            <w:pPr>
              <w:jc w:val="both"/>
              <w:rPr>
                <w:rFonts w:ascii="Times New Roman" w:hAnsi="Times New Roman" w:cs="Times New Roman"/>
                <w:b/>
                <w:i/>
                <w:color w:val="4472C4" w:themeColor="accent5"/>
                <w:lang w:val="uk-UA"/>
              </w:rPr>
            </w:pPr>
            <w:r w:rsidRPr="00BA5C0A">
              <w:rPr>
                <w:rFonts w:ascii="Times New Roman" w:hAnsi="Times New Roman" w:cs="Times New Roman"/>
                <w:b/>
                <w:i/>
                <w:color w:val="4472C4" w:themeColor="accent5"/>
                <w:lang w:val="uk-UA"/>
              </w:rPr>
              <w:t>Рекомендації</w:t>
            </w:r>
          </w:p>
          <w:p w14:paraId="512D4421" w14:textId="77777777" w:rsidR="00C64350" w:rsidRPr="00BA5C0A" w:rsidRDefault="00C64350" w:rsidP="00BA5C0A">
            <w:pPr>
              <w:jc w:val="both"/>
              <w:rPr>
                <w:rFonts w:ascii="Times New Roman" w:hAnsi="Times New Roman" w:cs="Times New Roman"/>
                <w:b/>
                <w:i/>
                <w:color w:val="4472C4" w:themeColor="accent5"/>
                <w:lang w:val="uk-UA"/>
              </w:rPr>
            </w:pPr>
          </w:p>
          <w:p w14:paraId="5CCF5DCC" w14:textId="2926941F" w:rsidR="00BA5C0A" w:rsidRPr="00BA5C0A" w:rsidRDefault="00BA5C0A" w:rsidP="00015E3B">
            <w:pPr>
              <w:numPr>
                <w:ilvl w:val="0"/>
                <w:numId w:val="44"/>
              </w:numPr>
              <w:contextualSpacing/>
              <w:jc w:val="both"/>
              <w:rPr>
                <w:rFonts w:ascii="Times New Roman" w:hAnsi="Times New Roman" w:cs="Times New Roman"/>
                <w:lang w:val="uk-UA"/>
              </w:rPr>
            </w:pPr>
            <w:r w:rsidRPr="00BA5C0A">
              <w:rPr>
                <w:rFonts w:ascii="Times New Roman" w:hAnsi="Times New Roman" w:cs="Times New Roman"/>
                <w:lang w:val="uk-UA"/>
              </w:rPr>
              <w:t>Пацієнтам з коінфекцією ВГВ</w:t>
            </w:r>
            <w:r w:rsidR="00D5051E">
              <w:rPr>
                <w:rFonts w:ascii="Times New Roman" w:hAnsi="Times New Roman" w:cs="Times New Roman"/>
                <w:lang w:val="uk-UA"/>
              </w:rPr>
              <w:t>/</w:t>
            </w:r>
            <w:r w:rsidRPr="00BA5C0A">
              <w:rPr>
                <w:rFonts w:ascii="Times New Roman" w:hAnsi="Times New Roman" w:cs="Times New Roman"/>
                <w:lang w:val="uk-UA"/>
              </w:rPr>
              <w:t>ВГС слід застосовувати ті самі схеми ВГС терапії, що застосуються до моноінфікованих пацієнтів з ВГС (В1).</w:t>
            </w:r>
          </w:p>
          <w:p w14:paraId="1A4E473C" w14:textId="3C27CD4F" w:rsidR="00BA5C0A" w:rsidRPr="00BA5C0A" w:rsidRDefault="00BA5C0A" w:rsidP="00015E3B">
            <w:pPr>
              <w:numPr>
                <w:ilvl w:val="0"/>
                <w:numId w:val="44"/>
              </w:numPr>
              <w:contextualSpacing/>
              <w:jc w:val="both"/>
              <w:rPr>
                <w:rFonts w:ascii="Times New Roman" w:hAnsi="Times New Roman" w:cs="Times New Roman"/>
                <w:lang w:val="uk-UA"/>
              </w:rPr>
            </w:pPr>
            <w:r w:rsidRPr="00BA5C0A">
              <w:rPr>
                <w:rFonts w:ascii="Times New Roman" w:hAnsi="Times New Roman" w:cs="Times New Roman"/>
                <w:lang w:val="uk-UA"/>
              </w:rPr>
              <w:t xml:space="preserve">Пацієнти, </w:t>
            </w:r>
            <w:r w:rsidR="00D5051E">
              <w:rPr>
                <w:rFonts w:ascii="Times New Roman" w:hAnsi="Times New Roman" w:cs="Times New Roman"/>
                <w:lang w:val="uk-UA"/>
              </w:rPr>
              <w:t>які</w:t>
            </w:r>
            <w:r w:rsidR="00D5051E" w:rsidRPr="00BA5C0A">
              <w:rPr>
                <w:rFonts w:ascii="Times New Roman" w:hAnsi="Times New Roman" w:cs="Times New Roman"/>
                <w:lang w:val="uk-UA"/>
              </w:rPr>
              <w:t xml:space="preserve"> </w:t>
            </w:r>
            <w:r w:rsidRPr="00BA5C0A">
              <w:rPr>
                <w:rFonts w:ascii="Times New Roman" w:hAnsi="Times New Roman" w:cs="Times New Roman"/>
                <w:lang w:val="uk-UA"/>
              </w:rPr>
              <w:t>інфіковані ВГВ</w:t>
            </w:r>
            <w:r w:rsidR="00013BF5">
              <w:rPr>
                <w:rFonts w:ascii="Times New Roman" w:hAnsi="Times New Roman" w:cs="Times New Roman"/>
                <w:lang w:val="uk-UA"/>
              </w:rPr>
              <w:t>/</w:t>
            </w:r>
            <w:r w:rsidRPr="00BA5C0A">
              <w:rPr>
                <w:rFonts w:ascii="Times New Roman" w:hAnsi="Times New Roman" w:cs="Times New Roman"/>
                <w:lang w:val="uk-UA"/>
              </w:rPr>
              <w:t xml:space="preserve">ВГС, </w:t>
            </w:r>
            <w:r w:rsidR="001226B4">
              <w:rPr>
                <w:rFonts w:ascii="Times New Roman" w:hAnsi="Times New Roman" w:cs="Times New Roman"/>
                <w:lang w:val="uk-UA"/>
              </w:rPr>
              <w:t xml:space="preserve">та </w:t>
            </w:r>
            <w:r w:rsidRPr="00BA5C0A">
              <w:rPr>
                <w:rFonts w:ascii="Times New Roman" w:hAnsi="Times New Roman" w:cs="Times New Roman"/>
                <w:lang w:val="uk-UA"/>
              </w:rPr>
              <w:t xml:space="preserve">які відповідають стандартним критеріям лікування ВГВ, повинні отримувати лікування </w:t>
            </w:r>
            <w:r w:rsidR="00013BF5">
              <w:rPr>
                <w:rFonts w:ascii="Times New Roman" w:hAnsi="Times New Roman" w:cs="Times New Roman"/>
                <w:lang w:val="uk-UA"/>
              </w:rPr>
              <w:t>нуклеоз(т)идними аналогами</w:t>
            </w:r>
            <w:r w:rsidRPr="00BA5C0A">
              <w:rPr>
                <w:rFonts w:ascii="Times New Roman" w:hAnsi="Times New Roman" w:cs="Times New Roman"/>
                <w:lang w:val="uk-UA"/>
              </w:rPr>
              <w:t xml:space="preserve"> відповідно до Клінічної практики EASL 2017 щодо лікування вірусу гепатиту В (A1).</w:t>
            </w:r>
          </w:p>
          <w:p w14:paraId="480F8065" w14:textId="329C0FD9" w:rsidR="00BA5C0A" w:rsidRPr="00BA5C0A" w:rsidRDefault="00BA5C0A" w:rsidP="00015E3B">
            <w:pPr>
              <w:numPr>
                <w:ilvl w:val="0"/>
                <w:numId w:val="44"/>
              </w:numPr>
              <w:contextualSpacing/>
              <w:jc w:val="both"/>
              <w:rPr>
                <w:rFonts w:ascii="Times New Roman" w:hAnsi="Times New Roman" w:cs="Times New Roman"/>
                <w:lang w:val="uk-UA"/>
              </w:rPr>
            </w:pPr>
            <w:r w:rsidRPr="00BA5C0A">
              <w:rPr>
                <w:rFonts w:ascii="Times New Roman" w:hAnsi="Times New Roman" w:cs="Times New Roman"/>
                <w:lang w:val="uk-UA"/>
              </w:rPr>
              <w:t>Пацієнти, які є HBs</w:t>
            </w:r>
            <w:r w:rsidRPr="00BA5C0A">
              <w:rPr>
                <w:rFonts w:ascii="Times New Roman" w:hAnsi="Times New Roman" w:cs="Times New Roman"/>
                <w:lang w:val="en-US"/>
              </w:rPr>
              <w:t>Ag</w:t>
            </w:r>
            <w:r w:rsidR="00FC6D8A">
              <w:rPr>
                <w:rFonts w:ascii="Times New Roman" w:hAnsi="Times New Roman" w:cs="Times New Roman"/>
                <w:lang w:val="uk-UA"/>
              </w:rPr>
              <w:t>–</w:t>
            </w:r>
            <w:r w:rsidRPr="00BA5C0A">
              <w:rPr>
                <w:rFonts w:ascii="Times New Roman" w:hAnsi="Times New Roman" w:cs="Times New Roman"/>
                <w:lang w:val="uk-UA"/>
              </w:rPr>
              <w:t xml:space="preserve">позитивними, повинні отримувати </w:t>
            </w:r>
            <w:r w:rsidR="002E367C">
              <w:rPr>
                <w:rFonts w:ascii="Times New Roman" w:hAnsi="Times New Roman" w:cs="Times New Roman"/>
                <w:lang w:val="uk-UA"/>
              </w:rPr>
              <w:t xml:space="preserve">аналоги </w:t>
            </w:r>
            <w:r w:rsidRPr="00BA5C0A">
              <w:rPr>
                <w:rFonts w:ascii="Times New Roman" w:hAnsi="Times New Roman" w:cs="Times New Roman"/>
                <w:lang w:val="uk-UA"/>
              </w:rPr>
              <w:t>нуклеозид</w:t>
            </w:r>
            <w:r w:rsidR="002E367C">
              <w:rPr>
                <w:rFonts w:ascii="Times New Roman" w:hAnsi="Times New Roman" w:cs="Times New Roman"/>
                <w:lang w:val="uk-UA"/>
              </w:rPr>
              <w:t>ів</w:t>
            </w:r>
            <w:r w:rsidRPr="00BA5C0A">
              <w:rPr>
                <w:rFonts w:ascii="Times New Roman" w:hAnsi="Times New Roman" w:cs="Times New Roman"/>
                <w:lang w:val="uk-UA"/>
              </w:rPr>
              <w:t>/нуклеотид</w:t>
            </w:r>
            <w:r w:rsidR="002E367C">
              <w:rPr>
                <w:rFonts w:ascii="Times New Roman" w:hAnsi="Times New Roman" w:cs="Times New Roman"/>
                <w:lang w:val="uk-UA"/>
              </w:rPr>
              <w:t>ів</w:t>
            </w:r>
            <w:r w:rsidRPr="00BA5C0A">
              <w:rPr>
                <w:rFonts w:ascii="Times New Roman" w:hAnsi="Times New Roman" w:cs="Times New Roman"/>
                <w:lang w:val="uk-UA"/>
              </w:rPr>
              <w:t xml:space="preserve"> принаймні </w:t>
            </w:r>
            <w:r w:rsidR="002E367C">
              <w:rPr>
                <w:rFonts w:ascii="Times New Roman" w:hAnsi="Times New Roman" w:cs="Times New Roman"/>
                <w:lang w:val="uk-UA"/>
              </w:rPr>
              <w:t>ще</w:t>
            </w:r>
            <w:r w:rsidRPr="00BA5C0A">
              <w:rPr>
                <w:rFonts w:ascii="Times New Roman" w:hAnsi="Times New Roman" w:cs="Times New Roman"/>
                <w:lang w:val="uk-UA"/>
              </w:rPr>
              <w:t xml:space="preserve"> 12 тижн</w:t>
            </w:r>
            <w:r w:rsidR="002E367C">
              <w:rPr>
                <w:rFonts w:ascii="Times New Roman" w:hAnsi="Times New Roman" w:cs="Times New Roman"/>
                <w:lang w:val="uk-UA"/>
              </w:rPr>
              <w:t>ів</w:t>
            </w:r>
            <w:r w:rsidRPr="00BA5C0A">
              <w:rPr>
                <w:rFonts w:ascii="Times New Roman" w:hAnsi="Times New Roman" w:cs="Times New Roman"/>
                <w:lang w:val="uk-UA"/>
              </w:rPr>
              <w:t xml:space="preserve"> після </w:t>
            </w:r>
            <w:r w:rsidR="002E367C">
              <w:rPr>
                <w:rFonts w:ascii="Times New Roman" w:hAnsi="Times New Roman" w:cs="Times New Roman"/>
                <w:lang w:val="uk-UA"/>
              </w:rPr>
              <w:t xml:space="preserve">закінчення </w:t>
            </w:r>
            <w:r w:rsidRPr="00BA5C0A">
              <w:rPr>
                <w:rFonts w:ascii="Times New Roman" w:hAnsi="Times New Roman" w:cs="Times New Roman"/>
                <w:lang w:val="uk-UA"/>
              </w:rPr>
              <w:t>ВГС</w:t>
            </w:r>
            <w:r w:rsidR="00FC6D8A">
              <w:rPr>
                <w:rFonts w:ascii="Times New Roman" w:hAnsi="Times New Roman" w:cs="Times New Roman"/>
                <w:lang w:val="uk-UA"/>
              </w:rPr>
              <w:t>–</w:t>
            </w:r>
            <w:r w:rsidRPr="00BA5C0A">
              <w:rPr>
                <w:rFonts w:ascii="Times New Roman" w:hAnsi="Times New Roman" w:cs="Times New Roman"/>
                <w:lang w:val="uk-UA"/>
              </w:rPr>
              <w:t xml:space="preserve">терапії </w:t>
            </w:r>
            <w:r w:rsidR="002E367C">
              <w:rPr>
                <w:rFonts w:ascii="Times New Roman" w:hAnsi="Times New Roman" w:cs="Times New Roman"/>
                <w:lang w:val="uk-UA"/>
              </w:rPr>
              <w:t xml:space="preserve">із щомісячним розглядом питання щодо </w:t>
            </w:r>
            <w:r w:rsidRPr="00BA5C0A">
              <w:rPr>
                <w:rFonts w:ascii="Times New Roman" w:hAnsi="Times New Roman" w:cs="Times New Roman"/>
                <w:lang w:val="uk-UA"/>
              </w:rPr>
              <w:t>припиненн</w:t>
            </w:r>
            <w:r w:rsidR="00013BF5">
              <w:rPr>
                <w:rFonts w:ascii="Times New Roman" w:hAnsi="Times New Roman" w:cs="Times New Roman"/>
                <w:lang w:val="uk-UA"/>
              </w:rPr>
              <w:t>я</w:t>
            </w:r>
            <w:r w:rsidRPr="00BA5C0A">
              <w:rPr>
                <w:rFonts w:ascii="Times New Roman" w:hAnsi="Times New Roman" w:cs="Times New Roman"/>
                <w:lang w:val="uk-UA"/>
              </w:rPr>
              <w:t xml:space="preserve"> лікування ВГВ (B1).</w:t>
            </w:r>
          </w:p>
          <w:p w14:paraId="15BD73FE" w14:textId="438101BF" w:rsidR="00BA5C0A" w:rsidRPr="00BA5C0A" w:rsidRDefault="00BA5C0A" w:rsidP="00015E3B">
            <w:pPr>
              <w:numPr>
                <w:ilvl w:val="0"/>
                <w:numId w:val="44"/>
              </w:numPr>
              <w:contextualSpacing/>
              <w:jc w:val="both"/>
              <w:rPr>
                <w:rFonts w:ascii="Times New Roman" w:hAnsi="Times New Roman" w:cs="Times New Roman"/>
                <w:lang w:val="uk-UA"/>
              </w:rPr>
            </w:pPr>
            <w:r w:rsidRPr="00BA5C0A">
              <w:rPr>
                <w:rFonts w:ascii="Times New Roman" w:hAnsi="Times New Roman" w:cs="Times New Roman"/>
                <w:lang w:val="uk-UA"/>
              </w:rPr>
              <w:t>У хворих, які є HBs</w:t>
            </w:r>
            <w:r w:rsidRPr="00BA5C0A">
              <w:rPr>
                <w:rFonts w:ascii="Times New Roman" w:hAnsi="Times New Roman" w:cs="Times New Roman"/>
                <w:lang w:val="en-US"/>
              </w:rPr>
              <w:t>Ag</w:t>
            </w:r>
            <w:r w:rsidR="00FC6D8A">
              <w:rPr>
                <w:rFonts w:ascii="Times New Roman" w:hAnsi="Times New Roman" w:cs="Times New Roman"/>
                <w:lang w:val="uk-UA"/>
              </w:rPr>
              <w:t>–</w:t>
            </w:r>
            <w:r w:rsidRPr="00BA5C0A">
              <w:rPr>
                <w:rFonts w:ascii="Times New Roman" w:hAnsi="Times New Roman" w:cs="Times New Roman"/>
                <w:lang w:val="uk-UA"/>
              </w:rPr>
              <w:t>негативними, але HBс</w:t>
            </w:r>
            <w:r w:rsidR="00FC6D8A">
              <w:rPr>
                <w:rFonts w:ascii="Times New Roman" w:hAnsi="Times New Roman" w:cs="Times New Roman"/>
                <w:lang w:val="uk-UA"/>
              </w:rPr>
              <w:t>–</w:t>
            </w:r>
            <w:r w:rsidRPr="00BA5C0A">
              <w:rPr>
                <w:rFonts w:ascii="Times New Roman" w:hAnsi="Times New Roman" w:cs="Times New Roman"/>
                <w:lang w:val="uk-UA"/>
              </w:rPr>
              <w:t>позитивними, рівень A</w:t>
            </w:r>
            <w:r w:rsidR="002E367C">
              <w:rPr>
                <w:rFonts w:ascii="Times New Roman" w:hAnsi="Times New Roman" w:cs="Times New Roman"/>
                <w:lang w:val="uk-UA"/>
              </w:rPr>
              <w:t>Л</w:t>
            </w:r>
            <w:r w:rsidRPr="00BA5C0A">
              <w:rPr>
                <w:rFonts w:ascii="Times New Roman" w:hAnsi="Times New Roman" w:cs="Times New Roman"/>
                <w:lang w:val="uk-UA"/>
              </w:rPr>
              <w:t>T в сироватці крові повинен контролюватися щомісяця, а антиген HBs</w:t>
            </w:r>
            <w:r w:rsidRPr="00BA5C0A">
              <w:rPr>
                <w:rFonts w:ascii="Times New Roman" w:hAnsi="Times New Roman" w:cs="Times New Roman"/>
                <w:lang w:val="en-US"/>
              </w:rPr>
              <w:t>Ag</w:t>
            </w:r>
            <w:r w:rsidRPr="00BA5C0A">
              <w:rPr>
                <w:rFonts w:ascii="Times New Roman" w:hAnsi="Times New Roman" w:cs="Times New Roman"/>
                <w:lang w:val="uk-UA"/>
              </w:rPr>
              <w:t xml:space="preserve"> та ДНК ВГВ слід перевіряти, якщо рівень АЛТ не нормалізується або підвищується протягом або після ВГС терапії, і нуклеозид/нуклеотидна аналогова терапія повинна бути розпочата, якщо присутні антиген HBs</w:t>
            </w:r>
            <w:r w:rsidRPr="00BA5C0A">
              <w:rPr>
                <w:rFonts w:ascii="Times New Roman" w:hAnsi="Times New Roman" w:cs="Times New Roman"/>
                <w:lang w:val="en-US"/>
              </w:rPr>
              <w:t>Ag</w:t>
            </w:r>
            <w:r w:rsidRPr="00BA5C0A">
              <w:rPr>
                <w:rFonts w:ascii="Times New Roman" w:hAnsi="Times New Roman" w:cs="Times New Roman"/>
                <w:lang w:val="uk-UA"/>
              </w:rPr>
              <w:t xml:space="preserve"> та/або ДНК ВГВ (B1).</w:t>
            </w:r>
          </w:p>
          <w:p w14:paraId="20178DD3" w14:textId="148125FE" w:rsidR="00BA5C0A" w:rsidRPr="00BA5C0A" w:rsidRDefault="00013BF5" w:rsidP="00015E3B">
            <w:pPr>
              <w:numPr>
                <w:ilvl w:val="0"/>
                <w:numId w:val="44"/>
              </w:numPr>
              <w:contextualSpacing/>
              <w:jc w:val="both"/>
              <w:rPr>
                <w:rFonts w:ascii="Times New Roman" w:hAnsi="Times New Roman" w:cs="Times New Roman"/>
                <w:lang w:val="uk-UA"/>
              </w:rPr>
            </w:pPr>
            <w:r>
              <w:rPr>
                <w:rFonts w:ascii="Times New Roman" w:hAnsi="Times New Roman" w:cs="Times New Roman"/>
                <w:lang w:val="uk-UA"/>
              </w:rPr>
              <w:t xml:space="preserve">У </w:t>
            </w:r>
            <w:r w:rsidR="00BA5C0A" w:rsidRPr="00BA5C0A">
              <w:rPr>
                <w:rFonts w:ascii="Times New Roman" w:hAnsi="Times New Roman" w:cs="Times New Roman"/>
                <w:lang w:val="uk-UA"/>
              </w:rPr>
              <w:t>HBs</w:t>
            </w:r>
            <w:r w:rsidR="00BA5C0A" w:rsidRPr="00BA5C0A">
              <w:rPr>
                <w:rFonts w:ascii="Times New Roman" w:hAnsi="Times New Roman" w:cs="Times New Roman"/>
                <w:lang w:val="en-US"/>
              </w:rPr>
              <w:t>Ag</w:t>
            </w:r>
            <w:r w:rsidR="00FC6D8A">
              <w:rPr>
                <w:rFonts w:ascii="Times New Roman" w:hAnsi="Times New Roman" w:cs="Times New Roman"/>
                <w:lang w:val="uk-UA"/>
              </w:rPr>
              <w:t>–</w:t>
            </w:r>
            <w:r w:rsidR="00BA5C0A" w:rsidRPr="00BA5C0A">
              <w:rPr>
                <w:rFonts w:ascii="Times New Roman" w:hAnsi="Times New Roman" w:cs="Times New Roman"/>
                <w:lang w:val="uk-UA"/>
              </w:rPr>
              <w:t>негативн</w:t>
            </w:r>
            <w:r>
              <w:rPr>
                <w:rFonts w:ascii="Times New Roman" w:hAnsi="Times New Roman" w:cs="Times New Roman"/>
                <w:lang w:val="uk-UA"/>
              </w:rPr>
              <w:t>их</w:t>
            </w:r>
            <w:r w:rsidR="00BA5C0A" w:rsidRPr="00BA5C0A">
              <w:rPr>
                <w:rFonts w:ascii="Times New Roman" w:hAnsi="Times New Roman" w:cs="Times New Roman"/>
                <w:lang w:val="uk-UA"/>
              </w:rPr>
              <w:t>, але HBс</w:t>
            </w:r>
            <w:r w:rsidR="00FC6D8A">
              <w:rPr>
                <w:rFonts w:ascii="Times New Roman" w:hAnsi="Times New Roman" w:cs="Times New Roman"/>
                <w:lang w:val="uk-UA"/>
              </w:rPr>
              <w:t>–</w:t>
            </w:r>
            <w:r w:rsidR="00BA5C0A" w:rsidRPr="00BA5C0A">
              <w:rPr>
                <w:rFonts w:ascii="Times New Roman" w:hAnsi="Times New Roman" w:cs="Times New Roman"/>
                <w:lang w:val="uk-UA"/>
              </w:rPr>
              <w:t>позитивн</w:t>
            </w:r>
            <w:r>
              <w:rPr>
                <w:rFonts w:ascii="Times New Roman" w:hAnsi="Times New Roman" w:cs="Times New Roman"/>
                <w:lang w:val="uk-UA"/>
              </w:rPr>
              <w:t>их пацієнтів</w:t>
            </w:r>
            <w:r w:rsidR="00BA5C0A" w:rsidRPr="00BA5C0A">
              <w:rPr>
                <w:rFonts w:ascii="Times New Roman" w:hAnsi="Times New Roman" w:cs="Times New Roman"/>
                <w:lang w:val="uk-UA"/>
              </w:rPr>
              <w:t>, які проходять ВГС</w:t>
            </w:r>
            <w:r w:rsidR="00FC6D8A">
              <w:rPr>
                <w:rFonts w:ascii="Times New Roman" w:hAnsi="Times New Roman" w:cs="Times New Roman"/>
                <w:lang w:val="uk-UA"/>
              </w:rPr>
              <w:t>–</w:t>
            </w:r>
            <w:r w:rsidR="00BA5C0A" w:rsidRPr="00BA5C0A">
              <w:rPr>
                <w:rFonts w:ascii="Times New Roman" w:hAnsi="Times New Roman" w:cs="Times New Roman"/>
                <w:lang w:val="uk-UA"/>
              </w:rPr>
              <w:t xml:space="preserve">терапію, </w:t>
            </w:r>
            <w:r>
              <w:rPr>
                <w:rFonts w:ascii="Times New Roman" w:hAnsi="Times New Roman" w:cs="Times New Roman"/>
                <w:lang w:val="uk-UA"/>
              </w:rPr>
              <w:t>необхідно</w:t>
            </w:r>
            <w:r w:rsidR="00BA5C0A" w:rsidRPr="00BA5C0A">
              <w:rPr>
                <w:rFonts w:ascii="Times New Roman" w:hAnsi="Times New Roman" w:cs="Times New Roman"/>
                <w:lang w:val="uk-UA"/>
              </w:rPr>
              <w:t xml:space="preserve"> щоміся</w:t>
            </w:r>
            <w:r>
              <w:rPr>
                <w:rFonts w:ascii="Times New Roman" w:hAnsi="Times New Roman" w:cs="Times New Roman"/>
                <w:lang w:val="uk-UA"/>
              </w:rPr>
              <w:t>ця</w:t>
            </w:r>
            <w:r w:rsidR="00BA5C0A" w:rsidRPr="00BA5C0A">
              <w:rPr>
                <w:rFonts w:ascii="Times New Roman" w:hAnsi="Times New Roman" w:cs="Times New Roman"/>
                <w:lang w:val="uk-UA"/>
              </w:rPr>
              <w:t xml:space="preserve"> контролювати АЛТ та перевіряти </w:t>
            </w:r>
            <w:r>
              <w:rPr>
                <w:rFonts w:ascii="Times New Roman" w:hAnsi="Times New Roman" w:cs="Times New Roman"/>
                <w:lang w:val="uk-UA"/>
              </w:rPr>
              <w:t xml:space="preserve">наявність </w:t>
            </w:r>
            <w:r w:rsidR="00BA5C0A" w:rsidRPr="00BA5C0A">
              <w:rPr>
                <w:rFonts w:ascii="Times New Roman" w:hAnsi="Times New Roman" w:cs="Times New Roman"/>
                <w:lang w:val="uk-UA"/>
              </w:rPr>
              <w:t>HBs</w:t>
            </w:r>
            <w:r w:rsidR="00BA5C0A" w:rsidRPr="00BA5C0A">
              <w:rPr>
                <w:rFonts w:ascii="Times New Roman" w:hAnsi="Times New Roman" w:cs="Times New Roman"/>
                <w:lang w:val="en-US"/>
              </w:rPr>
              <w:t>Ag</w:t>
            </w:r>
            <w:r w:rsidR="00BA5C0A" w:rsidRPr="00BA5C0A">
              <w:rPr>
                <w:rFonts w:ascii="Times New Roman" w:hAnsi="Times New Roman" w:cs="Times New Roman"/>
                <w:lang w:val="uk-UA"/>
              </w:rPr>
              <w:t xml:space="preserve"> та ДНК ВГВ при підвищенні АЛТ (B1).</w:t>
            </w:r>
          </w:p>
        </w:tc>
      </w:tr>
    </w:tbl>
    <w:p w14:paraId="58473324" w14:textId="77777777" w:rsidR="00BA5C0A" w:rsidRPr="00BA5C0A" w:rsidRDefault="00BA5C0A" w:rsidP="00BA5C0A">
      <w:pPr>
        <w:jc w:val="both"/>
        <w:rPr>
          <w:rFonts w:ascii="Times New Roman" w:hAnsi="Times New Roman" w:cs="Times New Roman"/>
          <w:lang w:val="uk-UA"/>
        </w:rPr>
      </w:pPr>
    </w:p>
    <w:p w14:paraId="3E81C9AA" w14:textId="3F3E94D8" w:rsidR="00BA5C0A" w:rsidRPr="002E367C" w:rsidRDefault="00FD0BB6" w:rsidP="00BA5C0A">
      <w:pPr>
        <w:jc w:val="both"/>
        <w:rPr>
          <w:rFonts w:ascii="Times New Roman" w:hAnsi="Times New Roman" w:cs="Times New Roman"/>
          <w:b/>
          <w:i/>
          <w:color w:val="4472C4" w:themeColor="accent5"/>
          <w:sz w:val="32"/>
          <w:szCs w:val="32"/>
          <w:lang w:val="uk-UA"/>
        </w:rPr>
      </w:pPr>
      <w:r>
        <w:rPr>
          <w:rFonts w:ascii="Times New Roman" w:hAnsi="Times New Roman" w:cs="Times New Roman"/>
          <w:b/>
          <w:i/>
          <w:color w:val="4472C4" w:themeColor="accent5"/>
          <w:sz w:val="32"/>
          <w:szCs w:val="32"/>
          <w:lang w:val="uk-UA"/>
        </w:rPr>
        <w:t xml:space="preserve">Позапечінкові </w:t>
      </w:r>
      <w:r w:rsidR="00BA5C0A" w:rsidRPr="002E367C">
        <w:rPr>
          <w:rFonts w:ascii="Times New Roman" w:hAnsi="Times New Roman" w:cs="Times New Roman"/>
          <w:b/>
          <w:i/>
          <w:color w:val="4472C4" w:themeColor="accent5"/>
          <w:sz w:val="32"/>
          <w:szCs w:val="32"/>
          <w:lang w:val="uk-UA"/>
        </w:rPr>
        <w:t>прояви</w:t>
      </w:r>
      <w:r w:rsidR="001226B4" w:rsidRPr="001226B4">
        <w:rPr>
          <w:rFonts w:ascii="Times New Roman" w:hAnsi="Times New Roman" w:cs="Times New Roman"/>
          <w:b/>
          <w:i/>
          <w:color w:val="4472C4" w:themeColor="accent5"/>
          <w:sz w:val="32"/>
          <w:szCs w:val="32"/>
          <w:lang w:val="uk-UA"/>
        </w:rPr>
        <w:t xml:space="preserve"> </w:t>
      </w:r>
      <w:r w:rsidR="001226B4" w:rsidRPr="002E367C">
        <w:rPr>
          <w:rFonts w:ascii="Times New Roman" w:hAnsi="Times New Roman" w:cs="Times New Roman"/>
          <w:b/>
          <w:i/>
          <w:color w:val="4472C4" w:themeColor="accent5"/>
          <w:sz w:val="32"/>
          <w:szCs w:val="32"/>
          <w:lang w:val="uk-UA"/>
        </w:rPr>
        <w:t>хронічного гепатиту С</w:t>
      </w:r>
      <w:r w:rsidR="001226B4">
        <w:rPr>
          <w:rFonts w:ascii="Times New Roman" w:hAnsi="Times New Roman" w:cs="Times New Roman"/>
          <w:b/>
          <w:i/>
          <w:color w:val="4472C4" w:themeColor="accent5"/>
          <w:sz w:val="32"/>
          <w:szCs w:val="32"/>
          <w:lang w:val="uk-UA"/>
        </w:rPr>
        <w:t xml:space="preserve">, пов’язані з </w:t>
      </w:r>
      <w:r w:rsidR="00B74E6C">
        <w:rPr>
          <w:rFonts w:ascii="Times New Roman" w:hAnsi="Times New Roman" w:cs="Times New Roman"/>
          <w:b/>
          <w:i/>
          <w:color w:val="4472C4" w:themeColor="accent5"/>
          <w:sz w:val="32"/>
          <w:szCs w:val="32"/>
          <w:lang w:val="uk-UA"/>
        </w:rPr>
        <w:t xml:space="preserve">наявністю </w:t>
      </w:r>
      <w:r w:rsidR="001226B4">
        <w:rPr>
          <w:rFonts w:ascii="Times New Roman" w:hAnsi="Times New Roman" w:cs="Times New Roman"/>
          <w:b/>
          <w:i/>
          <w:color w:val="4472C4" w:themeColor="accent5"/>
          <w:sz w:val="32"/>
          <w:szCs w:val="32"/>
          <w:lang w:val="uk-UA"/>
        </w:rPr>
        <w:t>імунни</w:t>
      </w:r>
      <w:r w:rsidR="00B74E6C">
        <w:rPr>
          <w:rFonts w:ascii="Times New Roman" w:hAnsi="Times New Roman" w:cs="Times New Roman"/>
          <w:b/>
          <w:i/>
          <w:color w:val="4472C4" w:themeColor="accent5"/>
          <w:sz w:val="32"/>
          <w:szCs w:val="32"/>
          <w:lang w:val="uk-UA"/>
        </w:rPr>
        <w:t>х</w:t>
      </w:r>
      <w:r w:rsidR="001226B4">
        <w:rPr>
          <w:rFonts w:ascii="Times New Roman" w:hAnsi="Times New Roman" w:cs="Times New Roman"/>
          <w:b/>
          <w:i/>
          <w:color w:val="4472C4" w:themeColor="accent5"/>
          <w:sz w:val="32"/>
          <w:szCs w:val="32"/>
          <w:lang w:val="uk-UA"/>
        </w:rPr>
        <w:t xml:space="preserve"> комплекс</w:t>
      </w:r>
      <w:r w:rsidR="00B74E6C">
        <w:rPr>
          <w:rFonts w:ascii="Times New Roman" w:hAnsi="Times New Roman" w:cs="Times New Roman"/>
          <w:b/>
          <w:i/>
          <w:color w:val="4472C4" w:themeColor="accent5"/>
          <w:sz w:val="32"/>
          <w:szCs w:val="32"/>
          <w:lang w:val="uk-UA"/>
        </w:rPr>
        <w:t>ів</w:t>
      </w:r>
      <w:r w:rsidR="00BA5C0A" w:rsidRPr="002E367C">
        <w:rPr>
          <w:rFonts w:ascii="Times New Roman" w:hAnsi="Times New Roman" w:cs="Times New Roman"/>
          <w:b/>
          <w:i/>
          <w:color w:val="4472C4" w:themeColor="accent5"/>
          <w:sz w:val="32"/>
          <w:szCs w:val="32"/>
          <w:lang w:val="uk-UA"/>
        </w:rPr>
        <w:t xml:space="preserve"> </w:t>
      </w:r>
    </w:p>
    <w:p w14:paraId="14225394" w14:textId="77777777" w:rsidR="00BA5C0A" w:rsidRPr="00BA5C0A" w:rsidRDefault="00BA5C0A" w:rsidP="00BA5C0A">
      <w:pPr>
        <w:jc w:val="both"/>
        <w:rPr>
          <w:rFonts w:ascii="Times New Roman" w:hAnsi="Times New Roman" w:cs="Times New Roman"/>
          <w:lang w:val="uk-UA"/>
        </w:rPr>
      </w:pPr>
    </w:p>
    <w:p w14:paraId="03ED1FEC" w14:textId="2EDEB1D8"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Описано кілька </w:t>
      </w:r>
      <w:r w:rsidR="00B74E6C">
        <w:rPr>
          <w:rFonts w:ascii="Times New Roman" w:hAnsi="Times New Roman" w:cs="Times New Roman"/>
          <w:lang w:val="uk-UA"/>
        </w:rPr>
        <w:t xml:space="preserve">важких </w:t>
      </w:r>
      <w:r w:rsidR="002A0B08">
        <w:rPr>
          <w:rFonts w:ascii="Times New Roman" w:hAnsi="Times New Roman" w:cs="Times New Roman"/>
          <w:lang w:val="uk-UA"/>
        </w:rPr>
        <w:t xml:space="preserve">позапечінкових </w:t>
      </w:r>
      <w:r w:rsidRPr="00BA5C0A">
        <w:rPr>
          <w:rFonts w:ascii="Times New Roman" w:hAnsi="Times New Roman" w:cs="Times New Roman"/>
          <w:lang w:val="uk-UA"/>
        </w:rPr>
        <w:t>проявів хронічної ВГС</w:t>
      </w:r>
      <w:r w:rsidR="00B74E6C" w:rsidRPr="00B74E6C">
        <w:rPr>
          <w:rFonts w:ascii="Times New Roman" w:hAnsi="Times New Roman" w:cs="Times New Roman"/>
          <w:lang w:val="uk-UA"/>
        </w:rPr>
        <w:t xml:space="preserve"> </w:t>
      </w:r>
      <w:r w:rsidR="00B74E6C" w:rsidRPr="00BA5C0A">
        <w:rPr>
          <w:rFonts w:ascii="Times New Roman" w:hAnsi="Times New Roman" w:cs="Times New Roman"/>
          <w:lang w:val="uk-UA"/>
        </w:rPr>
        <w:t>інфекції</w:t>
      </w:r>
      <w:r w:rsidR="00B74E6C">
        <w:rPr>
          <w:rFonts w:ascii="Times New Roman" w:hAnsi="Times New Roman" w:cs="Times New Roman"/>
          <w:lang w:val="uk-UA"/>
        </w:rPr>
        <w:t xml:space="preserve">, </w:t>
      </w:r>
      <w:r w:rsidR="00013BF5">
        <w:rPr>
          <w:rFonts w:ascii="Times New Roman" w:hAnsi="Times New Roman" w:cs="Times New Roman"/>
          <w:lang w:val="uk-UA"/>
        </w:rPr>
        <w:t xml:space="preserve">що </w:t>
      </w:r>
      <w:r w:rsidR="00B74E6C">
        <w:rPr>
          <w:rFonts w:ascii="Times New Roman" w:hAnsi="Times New Roman" w:cs="Times New Roman"/>
          <w:lang w:val="uk-UA"/>
        </w:rPr>
        <w:t>пов’язан</w:t>
      </w:r>
      <w:r w:rsidR="00013BF5">
        <w:rPr>
          <w:rFonts w:ascii="Times New Roman" w:hAnsi="Times New Roman" w:cs="Times New Roman"/>
          <w:lang w:val="uk-UA"/>
        </w:rPr>
        <w:t>і</w:t>
      </w:r>
      <w:r w:rsidR="00B74E6C">
        <w:rPr>
          <w:rFonts w:ascii="Times New Roman" w:hAnsi="Times New Roman" w:cs="Times New Roman"/>
          <w:lang w:val="uk-UA"/>
        </w:rPr>
        <w:t xml:space="preserve"> із наявністю імунних комплексів</w:t>
      </w:r>
      <w:r w:rsidR="00277304">
        <w:rPr>
          <w:rFonts w:ascii="Times New Roman" w:hAnsi="Times New Roman" w:cs="Times New Roman"/>
          <w:lang w:val="uk-UA"/>
        </w:rPr>
        <w:t>. Змішана крі</w:t>
      </w:r>
      <w:r w:rsidRPr="00BA5C0A">
        <w:rPr>
          <w:rFonts w:ascii="Times New Roman" w:hAnsi="Times New Roman" w:cs="Times New Roman"/>
          <w:lang w:val="uk-UA"/>
        </w:rPr>
        <w:t>оглобулінемія, пов'язана з експансією В</w:t>
      </w:r>
      <w:r w:rsidR="00FC6D8A">
        <w:rPr>
          <w:rFonts w:ascii="Times New Roman" w:hAnsi="Times New Roman" w:cs="Times New Roman"/>
          <w:lang w:val="uk-UA"/>
        </w:rPr>
        <w:t>–</w:t>
      </w:r>
      <w:r w:rsidRPr="00BA5C0A">
        <w:rPr>
          <w:rFonts w:ascii="Times New Roman" w:hAnsi="Times New Roman" w:cs="Times New Roman"/>
          <w:lang w:val="uk-UA"/>
        </w:rPr>
        <w:t>лімфоцитів, може спричинити системний васкуліт, що спричинює ураження багатьох органів внаслідок судинного осадження імунних комплексів. Лікування змішаної кріоглубулінемії засноване на каузальній (противірусної) терапії та/або імуносупресивній терапії. Не</w:t>
      </w:r>
      <w:r w:rsidR="002A0B08">
        <w:rPr>
          <w:rFonts w:ascii="Times New Roman" w:hAnsi="Times New Roman" w:cs="Times New Roman"/>
          <w:lang w:val="uk-UA"/>
        </w:rPr>
        <w:t>щодавні</w:t>
      </w:r>
      <w:r w:rsidRPr="00BA5C0A">
        <w:rPr>
          <w:rFonts w:ascii="Times New Roman" w:hAnsi="Times New Roman" w:cs="Times New Roman"/>
          <w:lang w:val="uk-UA"/>
        </w:rPr>
        <w:t xml:space="preserve"> дослідження показали, що СВВ, індукований режимами без IFN, був пов'язаний з поліпшенням клінічних проявів з</w:t>
      </w:r>
      <w:r w:rsidR="00277304">
        <w:rPr>
          <w:rFonts w:ascii="Times New Roman" w:hAnsi="Times New Roman" w:cs="Times New Roman"/>
          <w:lang w:val="uk-UA"/>
        </w:rPr>
        <w:t>мішаної крі</w:t>
      </w:r>
      <w:r w:rsidRPr="00BA5C0A">
        <w:rPr>
          <w:rFonts w:ascii="Times New Roman" w:hAnsi="Times New Roman" w:cs="Times New Roman"/>
          <w:lang w:val="uk-UA"/>
        </w:rPr>
        <w:t>оглобулінемії.</w:t>
      </w:r>
      <w:r w:rsidRPr="00BA5C0A">
        <w:rPr>
          <w:rFonts w:ascii="Times New Roman" w:hAnsi="Times New Roman" w:cs="Times New Roman"/>
          <w:vertAlign w:val="superscript"/>
          <w:lang w:val="uk-UA"/>
        </w:rPr>
        <w:t>168</w:t>
      </w:r>
      <w:r w:rsidR="00FC6D8A">
        <w:rPr>
          <w:rFonts w:ascii="Times New Roman" w:hAnsi="Times New Roman" w:cs="Times New Roman"/>
          <w:vertAlign w:val="superscript"/>
          <w:lang w:val="uk-UA"/>
        </w:rPr>
        <w:t>–</w:t>
      </w:r>
      <w:r w:rsidRPr="00BA5C0A">
        <w:rPr>
          <w:rFonts w:ascii="Times New Roman" w:hAnsi="Times New Roman" w:cs="Times New Roman"/>
          <w:vertAlign w:val="superscript"/>
          <w:lang w:val="uk-UA"/>
        </w:rPr>
        <w:t>174</w:t>
      </w:r>
      <w:r w:rsidRPr="00BA5C0A">
        <w:rPr>
          <w:rFonts w:ascii="Times New Roman" w:hAnsi="Times New Roman" w:cs="Times New Roman"/>
          <w:lang w:val="uk-UA"/>
        </w:rPr>
        <w:t xml:space="preserve"> </w:t>
      </w:r>
      <w:r w:rsidR="00555235" w:rsidRPr="00555235">
        <w:rPr>
          <w:rFonts w:ascii="Times New Roman" w:hAnsi="Times New Roman" w:cs="Times New Roman"/>
          <w:lang w:val="uk-UA"/>
        </w:rPr>
        <w:t>При ураженні шкіри та внутрішніх органів використовувався р</w:t>
      </w:r>
      <w:r w:rsidRPr="00555235">
        <w:rPr>
          <w:rFonts w:ascii="Times New Roman" w:hAnsi="Times New Roman" w:cs="Times New Roman"/>
          <w:lang w:val="uk-UA"/>
        </w:rPr>
        <w:t xml:space="preserve">итуксимаб, </w:t>
      </w:r>
      <w:r w:rsidR="00555235" w:rsidRPr="00555235">
        <w:rPr>
          <w:rFonts w:ascii="Times New Roman" w:hAnsi="Times New Roman" w:cs="Times New Roman"/>
          <w:lang w:val="uk-UA"/>
        </w:rPr>
        <w:t>синтетичний препарат, який є генно-інженерним моноклональни</w:t>
      </w:r>
      <w:r w:rsidRPr="00555235">
        <w:rPr>
          <w:rFonts w:ascii="Times New Roman" w:hAnsi="Times New Roman" w:cs="Times New Roman"/>
          <w:lang w:val="uk-UA"/>
        </w:rPr>
        <w:t xml:space="preserve"> антитіло</w:t>
      </w:r>
      <w:r w:rsidR="00555235" w:rsidRPr="00555235">
        <w:rPr>
          <w:rFonts w:ascii="Times New Roman" w:hAnsi="Times New Roman" w:cs="Times New Roman"/>
          <w:lang w:val="uk-UA"/>
        </w:rPr>
        <w:t>м</w:t>
      </w:r>
      <w:r w:rsidRPr="00555235">
        <w:rPr>
          <w:rFonts w:ascii="Times New Roman" w:hAnsi="Times New Roman" w:cs="Times New Roman"/>
          <w:lang w:val="uk-UA"/>
        </w:rPr>
        <w:t xml:space="preserve"> </w:t>
      </w:r>
      <w:r w:rsidR="00184AC2" w:rsidRPr="00555235">
        <w:rPr>
          <w:rFonts w:ascii="Times New Roman" w:hAnsi="Times New Roman" w:cs="Times New Roman"/>
          <w:lang w:val="uk-UA"/>
        </w:rPr>
        <w:t>до поверхневого антигену В</w:t>
      </w:r>
      <w:r w:rsidR="00FC6D8A" w:rsidRPr="00555235">
        <w:rPr>
          <w:rFonts w:ascii="Times New Roman" w:hAnsi="Times New Roman" w:cs="Times New Roman"/>
          <w:lang w:val="uk-UA"/>
        </w:rPr>
        <w:t>–</w:t>
      </w:r>
      <w:r w:rsidR="00184AC2" w:rsidRPr="00555235">
        <w:rPr>
          <w:rFonts w:ascii="Times New Roman" w:hAnsi="Times New Roman" w:cs="Times New Roman"/>
          <w:lang w:val="uk-UA"/>
        </w:rPr>
        <w:t xml:space="preserve">лімфоцитів </w:t>
      </w:r>
      <w:r w:rsidRPr="00555235">
        <w:rPr>
          <w:rFonts w:ascii="Times New Roman" w:hAnsi="Times New Roman" w:cs="Times New Roman"/>
          <w:lang w:val="uk-UA"/>
        </w:rPr>
        <w:t>анті</w:t>
      </w:r>
      <w:r w:rsidR="00FC6D8A" w:rsidRPr="00555235">
        <w:rPr>
          <w:rFonts w:ascii="Times New Roman" w:hAnsi="Times New Roman" w:cs="Times New Roman"/>
          <w:lang w:val="uk-UA"/>
        </w:rPr>
        <w:t>–</w:t>
      </w:r>
      <w:r w:rsidRPr="00555235">
        <w:rPr>
          <w:rFonts w:ascii="Times New Roman" w:hAnsi="Times New Roman" w:cs="Times New Roman"/>
          <w:lang w:val="uk-UA"/>
        </w:rPr>
        <w:t>C</w:t>
      </w:r>
      <w:r w:rsidR="00184AC2" w:rsidRPr="00555235">
        <w:rPr>
          <w:rFonts w:ascii="Times New Roman" w:hAnsi="Times New Roman" w:cs="Times New Roman"/>
          <w:lang w:val="en-US"/>
        </w:rPr>
        <w:t>D</w:t>
      </w:r>
      <w:r w:rsidR="00555235" w:rsidRPr="00555235">
        <w:rPr>
          <w:rFonts w:ascii="Times New Roman" w:hAnsi="Times New Roman" w:cs="Times New Roman"/>
          <w:lang w:val="uk-UA"/>
        </w:rPr>
        <w:t xml:space="preserve">20. </w:t>
      </w:r>
    </w:p>
    <w:p w14:paraId="3AEE5B54" w14:textId="77777777" w:rsidR="00BA5C0A" w:rsidRPr="00BA5C0A" w:rsidRDefault="00BA5C0A" w:rsidP="00BA5C0A">
      <w:pPr>
        <w:jc w:val="both"/>
        <w:rPr>
          <w:rFonts w:ascii="Times New Roman" w:hAnsi="Times New Roman" w:cs="Times New Roman"/>
          <w:lang w:val="uk-UA"/>
        </w:rPr>
      </w:pPr>
    </w:p>
    <w:p w14:paraId="65328100" w14:textId="06C35347"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Існує </w:t>
      </w:r>
      <w:r w:rsidR="00E10BEF">
        <w:rPr>
          <w:rFonts w:ascii="Times New Roman" w:hAnsi="Times New Roman" w:cs="Times New Roman"/>
          <w:lang w:val="uk-UA"/>
        </w:rPr>
        <w:t xml:space="preserve">взаємодія </w:t>
      </w:r>
      <w:r w:rsidRPr="00BA5C0A">
        <w:rPr>
          <w:rFonts w:ascii="Times New Roman" w:hAnsi="Times New Roman" w:cs="Times New Roman"/>
          <w:lang w:val="uk-UA"/>
        </w:rPr>
        <w:t>між гепатитом С і В</w:t>
      </w:r>
      <w:r w:rsidR="00FC6D8A">
        <w:rPr>
          <w:rFonts w:ascii="Times New Roman" w:hAnsi="Times New Roman" w:cs="Times New Roman"/>
          <w:lang w:val="uk-UA"/>
        </w:rPr>
        <w:t>–</w:t>
      </w:r>
      <w:r w:rsidRPr="00BA5C0A">
        <w:rPr>
          <w:rFonts w:ascii="Times New Roman" w:hAnsi="Times New Roman" w:cs="Times New Roman"/>
          <w:lang w:val="uk-UA"/>
        </w:rPr>
        <w:t>клітинною неходжкінською лімфомою. Найбільш поширеною є дифузна В</w:t>
      </w:r>
      <w:r w:rsidR="00555235">
        <w:rPr>
          <w:rFonts w:ascii="Times New Roman" w:hAnsi="Times New Roman" w:cs="Times New Roman"/>
          <w:lang w:val="uk-UA"/>
        </w:rPr>
        <w:t>-</w:t>
      </w:r>
      <w:r w:rsidRPr="00BA5C0A">
        <w:rPr>
          <w:rFonts w:ascii="Times New Roman" w:hAnsi="Times New Roman" w:cs="Times New Roman"/>
          <w:lang w:val="uk-UA"/>
        </w:rPr>
        <w:t>великоклітинна лімфома. Хворому призначають стандартні режими лікування R</w:t>
      </w:r>
      <w:r w:rsidR="00FC6D8A">
        <w:rPr>
          <w:rFonts w:ascii="Times New Roman" w:hAnsi="Times New Roman" w:cs="Times New Roman"/>
          <w:lang w:val="uk-UA"/>
        </w:rPr>
        <w:t>–</w:t>
      </w:r>
      <w:r w:rsidRPr="00BA5C0A">
        <w:rPr>
          <w:rFonts w:ascii="Times New Roman" w:hAnsi="Times New Roman" w:cs="Times New Roman"/>
          <w:lang w:val="uk-UA"/>
        </w:rPr>
        <w:t>CHOP; посилюєть</w:t>
      </w:r>
      <w:r w:rsidR="00277304">
        <w:rPr>
          <w:rFonts w:ascii="Times New Roman" w:hAnsi="Times New Roman" w:cs="Times New Roman"/>
          <w:lang w:val="uk-UA"/>
        </w:rPr>
        <w:t>ся дія ритуксимабу, хоча ритукси</w:t>
      </w:r>
      <w:r w:rsidRPr="00BA5C0A">
        <w:rPr>
          <w:rFonts w:ascii="Times New Roman" w:hAnsi="Times New Roman" w:cs="Times New Roman"/>
          <w:lang w:val="uk-UA"/>
        </w:rPr>
        <w:t>маб може посилити вірусну реплікацію. Повідомлялося про випадки регресу низькодиференційованої лімфоми після досягнення СВВ з без</w:t>
      </w:r>
      <w:r w:rsidR="00FC6D8A">
        <w:rPr>
          <w:rFonts w:ascii="Times New Roman" w:hAnsi="Times New Roman" w:cs="Times New Roman"/>
          <w:lang w:val="uk-UA"/>
        </w:rPr>
        <w:t>–</w:t>
      </w:r>
      <w:r w:rsidRPr="00BA5C0A">
        <w:rPr>
          <w:rFonts w:ascii="Times New Roman" w:hAnsi="Times New Roman" w:cs="Times New Roman"/>
          <w:lang w:val="uk-UA"/>
        </w:rPr>
        <w:t xml:space="preserve">IFN схемами лікування. </w:t>
      </w:r>
      <w:r w:rsidRPr="00BA5C0A">
        <w:rPr>
          <w:rFonts w:ascii="Times New Roman" w:hAnsi="Times New Roman" w:cs="Times New Roman"/>
          <w:vertAlign w:val="superscript"/>
          <w:lang w:val="uk-UA"/>
        </w:rPr>
        <w:t>175</w:t>
      </w:r>
      <w:r w:rsidR="00FC6D8A">
        <w:rPr>
          <w:rFonts w:ascii="Times New Roman" w:hAnsi="Times New Roman" w:cs="Times New Roman"/>
          <w:vertAlign w:val="superscript"/>
          <w:lang w:val="uk-UA"/>
        </w:rPr>
        <w:t>–</w:t>
      </w:r>
      <w:r w:rsidRPr="00BA5C0A">
        <w:rPr>
          <w:rFonts w:ascii="Times New Roman" w:hAnsi="Times New Roman" w:cs="Times New Roman"/>
          <w:vertAlign w:val="superscript"/>
          <w:lang w:val="uk-UA"/>
        </w:rPr>
        <w:t>177</w:t>
      </w:r>
      <w:r w:rsidRPr="00BA5C0A">
        <w:rPr>
          <w:rFonts w:ascii="Times New Roman" w:hAnsi="Times New Roman" w:cs="Times New Roman"/>
          <w:lang w:val="uk-UA"/>
        </w:rPr>
        <w:t>. У недавньому дослідженні лікування ПППД у комбінації з хіміотерапією було визнано незалежним прогностичним фактором безрецедивного виживання.</w:t>
      </w:r>
      <w:r w:rsidRPr="00BA5C0A">
        <w:rPr>
          <w:rFonts w:ascii="Times New Roman" w:hAnsi="Times New Roman" w:cs="Times New Roman"/>
          <w:vertAlign w:val="superscript"/>
          <w:lang w:val="uk-UA"/>
        </w:rPr>
        <w:t>178</w:t>
      </w:r>
    </w:p>
    <w:p w14:paraId="5D8BD4E2" w14:textId="77777777" w:rsidR="00BA5C0A" w:rsidRPr="00BA5C0A" w:rsidRDefault="00BA5C0A" w:rsidP="00BA5C0A">
      <w:pPr>
        <w:jc w:val="both"/>
        <w:rPr>
          <w:rFonts w:ascii="Times New Roman" w:hAnsi="Times New Roman" w:cs="Times New Roman"/>
          <w:lang w:val="uk-UA"/>
        </w:rPr>
      </w:pPr>
    </w:p>
    <w:p w14:paraId="5872D3EB" w14:textId="098BF5ED" w:rsid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Встановлено зв'язок між хронічною інфекцією ВГС та хронічним захворюванням нирок.</w:t>
      </w:r>
      <w:r w:rsidRPr="00BA5C0A">
        <w:rPr>
          <w:rFonts w:ascii="Times New Roman" w:hAnsi="Times New Roman" w:cs="Times New Roman"/>
          <w:vertAlign w:val="superscript"/>
          <w:lang w:val="uk-UA"/>
        </w:rPr>
        <w:t>179</w:t>
      </w:r>
      <w:r w:rsidRPr="00BA5C0A">
        <w:rPr>
          <w:rFonts w:ascii="Times New Roman" w:hAnsi="Times New Roman" w:cs="Times New Roman"/>
          <w:lang w:val="uk-UA"/>
        </w:rPr>
        <w:t xml:space="preserve"> Було повідомлено про </w:t>
      </w:r>
      <w:r w:rsidR="00555235">
        <w:rPr>
          <w:rFonts w:ascii="Times New Roman" w:hAnsi="Times New Roman" w:cs="Times New Roman"/>
          <w:lang w:val="uk-UA"/>
        </w:rPr>
        <w:t>низку</w:t>
      </w:r>
      <w:r w:rsidRPr="00BA5C0A">
        <w:rPr>
          <w:rFonts w:ascii="Times New Roman" w:hAnsi="Times New Roman" w:cs="Times New Roman"/>
          <w:lang w:val="uk-UA"/>
        </w:rPr>
        <w:t xml:space="preserve"> гістопатологічних уражень, однак найчастішим є мембранозний проліферативний гломерулонефрит типу I, що розвивається, зазвичай на фоні змішаної кр</w:t>
      </w:r>
      <w:r w:rsidR="00555235">
        <w:rPr>
          <w:rFonts w:ascii="Times New Roman" w:hAnsi="Times New Roman" w:cs="Times New Roman"/>
          <w:lang w:val="uk-UA"/>
        </w:rPr>
        <w:t>іо</w:t>
      </w:r>
      <w:r w:rsidRPr="00BA5C0A">
        <w:rPr>
          <w:rFonts w:ascii="Times New Roman" w:hAnsi="Times New Roman" w:cs="Times New Roman"/>
          <w:lang w:val="uk-UA"/>
        </w:rPr>
        <w:t>глобінемії типу II. Може також виникати фокальний сегментарний глом</w:t>
      </w:r>
      <w:r w:rsidR="00555235">
        <w:rPr>
          <w:rFonts w:ascii="Times New Roman" w:hAnsi="Times New Roman" w:cs="Times New Roman"/>
          <w:lang w:val="uk-UA"/>
        </w:rPr>
        <w:t>ерулосклороз</w:t>
      </w:r>
      <w:r w:rsidRPr="00BA5C0A">
        <w:rPr>
          <w:rFonts w:ascii="Times New Roman" w:hAnsi="Times New Roman" w:cs="Times New Roman"/>
          <w:lang w:val="uk-UA"/>
        </w:rPr>
        <w:t xml:space="preserve"> та інтерстиціальний нефрит. Терапевтичні підходи до асоційованої з ВГС ниркової патології включають </w:t>
      </w:r>
      <w:r w:rsidR="00ED60B9">
        <w:rPr>
          <w:rFonts w:ascii="Times New Roman" w:hAnsi="Times New Roman" w:cs="Times New Roman"/>
          <w:lang w:val="uk-UA"/>
        </w:rPr>
        <w:t>проти</w:t>
      </w:r>
      <w:r w:rsidRPr="00BA5C0A">
        <w:rPr>
          <w:rFonts w:ascii="Times New Roman" w:hAnsi="Times New Roman" w:cs="Times New Roman"/>
          <w:lang w:val="uk-UA"/>
        </w:rPr>
        <w:t xml:space="preserve">вірусну терапію, </w:t>
      </w:r>
      <w:r w:rsidR="002E0D6B">
        <w:rPr>
          <w:rFonts w:ascii="Times New Roman" w:hAnsi="Times New Roman" w:cs="Times New Roman"/>
          <w:lang w:val="uk-UA"/>
        </w:rPr>
        <w:t xml:space="preserve">призначення </w:t>
      </w:r>
      <w:r w:rsidRPr="00BA5C0A">
        <w:rPr>
          <w:rFonts w:ascii="Times New Roman" w:hAnsi="Times New Roman" w:cs="Times New Roman"/>
          <w:lang w:val="uk-UA"/>
        </w:rPr>
        <w:t>ритуксимаб</w:t>
      </w:r>
      <w:r w:rsidR="002E0D6B">
        <w:rPr>
          <w:rFonts w:ascii="Times New Roman" w:hAnsi="Times New Roman" w:cs="Times New Roman"/>
          <w:lang w:val="uk-UA"/>
        </w:rPr>
        <w:t>у</w:t>
      </w:r>
      <w:r w:rsidRPr="00BA5C0A">
        <w:rPr>
          <w:rFonts w:ascii="Times New Roman" w:hAnsi="Times New Roman" w:cs="Times New Roman"/>
          <w:lang w:val="uk-UA"/>
        </w:rPr>
        <w:t>, плазмаферез</w:t>
      </w:r>
      <w:r w:rsidR="002E0D6B">
        <w:rPr>
          <w:rFonts w:ascii="Times New Roman" w:hAnsi="Times New Roman" w:cs="Times New Roman"/>
          <w:lang w:val="uk-UA"/>
        </w:rPr>
        <w:t>у</w:t>
      </w:r>
      <w:r w:rsidRPr="00BA5C0A">
        <w:rPr>
          <w:rFonts w:ascii="Times New Roman" w:hAnsi="Times New Roman" w:cs="Times New Roman"/>
          <w:lang w:val="uk-UA"/>
        </w:rPr>
        <w:t>, кортикостероїд</w:t>
      </w:r>
      <w:r w:rsidR="002E0D6B">
        <w:rPr>
          <w:rFonts w:ascii="Times New Roman" w:hAnsi="Times New Roman" w:cs="Times New Roman"/>
          <w:lang w:val="uk-UA"/>
        </w:rPr>
        <w:t>ів</w:t>
      </w:r>
      <w:r w:rsidRPr="00BA5C0A">
        <w:rPr>
          <w:rFonts w:ascii="Times New Roman" w:hAnsi="Times New Roman" w:cs="Times New Roman"/>
          <w:lang w:val="uk-UA"/>
        </w:rPr>
        <w:t xml:space="preserve"> та </w:t>
      </w:r>
      <w:r w:rsidRPr="00BA5C0A">
        <w:rPr>
          <w:rFonts w:ascii="Times New Roman" w:hAnsi="Times New Roman" w:cs="Times New Roman"/>
          <w:lang w:val="uk-UA"/>
        </w:rPr>
        <w:lastRenderedPageBreak/>
        <w:t>циклофосфамід</w:t>
      </w:r>
      <w:r w:rsidR="002E0D6B">
        <w:rPr>
          <w:rFonts w:ascii="Times New Roman" w:hAnsi="Times New Roman" w:cs="Times New Roman"/>
          <w:lang w:val="uk-UA"/>
        </w:rPr>
        <w:t>у</w:t>
      </w:r>
      <w:r w:rsidRPr="00BA5C0A">
        <w:rPr>
          <w:rFonts w:ascii="Times New Roman" w:hAnsi="Times New Roman" w:cs="Times New Roman"/>
          <w:lang w:val="uk-UA"/>
        </w:rPr>
        <w:t>. Цілком можливо, що швидка відповідь</w:t>
      </w:r>
      <w:r w:rsidR="00184AC2">
        <w:rPr>
          <w:rFonts w:ascii="Times New Roman" w:hAnsi="Times New Roman" w:cs="Times New Roman"/>
          <w:lang w:val="uk-UA"/>
        </w:rPr>
        <w:t xml:space="preserve"> на лікування</w:t>
      </w:r>
      <w:r w:rsidRPr="00BA5C0A">
        <w:rPr>
          <w:rFonts w:ascii="Times New Roman" w:hAnsi="Times New Roman" w:cs="Times New Roman"/>
          <w:lang w:val="uk-UA"/>
        </w:rPr>
        <w:t xml:space="preserve">, що спостерігається при </w:t>
      </w:r>
      <w:r w:rsidR="00ED60B9">
        <w:rPr>
          <w:rFonts w:ascii="Times New Roman" w:hAnsi="Times New Roman" w:cs="Times New Roman"/>
          <w:lang w:val="uk-UA"/>
        </w:rPr>
        <w:t>проти</w:t>
      </w:r>
      <w:r w:rsidRPr="00BA5C0A">
        <w:rPr>
          <w:rFonts w:ascii="Times New Roman" w:hAnsi="Times New Roman" w:cs="Times New Roman"/>
          <w:lang w:val="uk-UA"/>
        </w:rPr>
        <w:t>вірусних схемах без IFN, покращить результат, хоча це не підтверджено. Існують докази про використання ритукс</w:t>
      </w:r>
      <w:r w:rsidR="00555235">
        <w:rPr>
          <w:rFonts w:ascii="Times New Roman" w:hAnsi="Times New Roman" w:cs="Times New Roman"/>
          <w:lang w:val="uk-UA"/>
        </w:rPr>
        <w:t>и</w:t>
      </w:r>
      <w:r w:rsidRPr="00BA5C0A">
        <w:rPr>
          <w:rFonts w:ascii="Times New Roman" w:hAnsi="Times New Roman" w:cs="Times New Roman"/>
          <w:lang w:val="uk-UA"/>
        </w:rPr>
        <w:t xml:space="preserve">мабу при лікуванні </w:t>
      </w:r>
      <w:r w:rsidR="002E0D6B">
        <w:rPr>
          <w:rFonts w:ascii="Times New Roman" w:hAnsi="Times New Roman" w:cs="Times New Roman"/>
          <w:lang w:val="uk-UA"/>
        </w:rPr>
        <w:t xml:space="preserve">захворювань нирок, викликаних </w:t>
      </w:r>
      <w:r w:rsidRPr="00BA5C0A">
        <w:rPr>
          <w:rFonts w:ascii="Times New Roman" w:hAnsi="Times New Roman" w:cs="Times New Roman"/>
          <w:lang w:val="uk-UA"/>
        </w:rPr>
        <w:t>ВГС. Рекомендується використовувати міждисциплінарний підхід.</w:t>
      </w:r>
    </w:p>
    <w:p w14:paraId="4838B4D7" w14:textId="409987FD" w:rsidR="00BA5C0A" w:rsidRPr="00BA5C0A" w:rsidRDefault="00BA5C0A" w:rsidP="00BA5C0A">
      <w:pPr>
        <w:jc w:val="both"/>
        <w:rPr>
          <w:rFonts w:ascii="Times New Roman" w:hAnsi="Times New Roman" w:cs="Times New Roman"/>
          <w:lang w:val="uk-U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A5C0A" w:rsidRPr="0080595E" w14:paraId="11E06436" w14:textId="77777777" w:rsidTr="00544369">
        <w:trPr>
          <w:trHeight w:val="544"/>
        </w:trPr>
        <w:tc>
          <w:tcPr>
            <w:tcW w:w="9607" w:type="dxa"/>
            <w:shd w:val="clear" w:color="auto" w:fill="BDD6EE" w:themeFill="accent1" w:themeFillTint="66"/>
          </w:tcPr>
          <w:p w14:paraId="427E671C" w14:textId="509B8991" w:rsidR="00BA5C0A" w:rsidRDefault="00BA5C0A" w:rsidP="00BA5C0A">
            <w:pPr>
              <w:jc w:val="both"/>
              <w:rPr>
                <w:rFonts w:ascii="Times New Roman" w:hAnsi="Times New Roman" w:cs="Times New Roman"/>
                <w:b/>
                <w:i/>
                <w:color w:val="4472C4" w:themeColor="accent5"/>
                <w:lang w:val="uk-UA"/>
              </w:rPr>
            </w:pPr>
            <w:r w:rsidRPr="00BA5C0A">
              <w:rPr>
                <w:rFonts w:ascii="Times New Roman" w:hAnsi="Times New Roman" w:cs="Times New Roman"/>
                <w:b/>
                <w:i/>
                <w:color w:val="4472C4" w:themeColor="accent5"/>
                <w:lang w:val="uk-UA"/>
              </w:rPr>
              <w:t>Рекомендації</w:t>
            </w:r>
          </w:p>
          <w:p w14:paraId="79F968DF" w14:textId="77777777" w:rsidR="00C64350" w:rsidRPr="00BA5C0A" w:rsidRDefault="00C64350" w:rsidP="00BA5C0A">
            <w:pPr>
              <w:jc w:val="both"/>
              <w:rPr>
                <w:rFonts w:ascii="Times New Roman" w:hAnsi="Times New Roman" w:cs="Times New Roman"/>
                <w:b/>
                <w:i/>
                <w:color w:val="4472C4" w:themeColor="accent5"/>
                <w:lang w:val="uk-UA"/>
              </w:rPr>
            </w:pPr>
          </w:p>
          <w:p w14:paraId="06467032" w14:textId="5E8DFAB5" w:rsidR="00BA5C0A" w:rsidRPr="00BA5C0A" w:rsidRDefault="00555235" w:rsidP="00015E3B">
            <w:pPr>
              <w:numPr>
                <w:ilvl w:val="0"/>
                <w:numId w:val="43"/>
              </w:numPr>
              <w:contextualSpacing/>
              <w:jc w:val="both"/>
              <w:rPr>
                <w:rFonts w:ascii="Times New Roman" w:hAnsi="Times New Roman" w:cs="Times New Roman"/>
                <w:lang w:val="uk-UA"/>
              </w:rPr>
            </w:pPr>
            <w:r>
              <w:rPr>
                <w:rFonts w:ascii="Times New Roman" w:hAnsi="Times New Roman" w:cs="Times New Roman"/>
                <w:lang w:val="uk-UA"/>
              </w:rPr>
              <w:t>Для лікуваня змішаної кріо</w:t>
            </w:r>
            <w:r w:rsidR="00BA5C0A" w:rsidRPr="00BA5C0A">
              <w:rPr>
                <w:rFonts w:ascii="Times New Roman" w:hAnsi="Times New Roman" w:cs="Times New Roman"/>
                <w:lang w:val="uk-UA"/>
              </w:rPr>
              <w:t xml:space="preserve">глобулінемії та захворювання нирок, </w:t>
            </w:r>
            <w:r w:rsidR="00184AC2">
              <w:rPr>
                <w:rFonts w:ascii="Times New Roman" w:hAnsi="Times New Roman" w:cs="Times New Roman"/>
                <w:lang w:val="uk-UA"/>
              </w:rPr>
              <w:t xml:space="preserve">що </w:t>
            </w:r>
            <w:r w:rsidR="00BA5C0A" w:rsidRPr="00BA5C0A">
              <w:rPr>
                <w:rFonts w:ascii="Times New Roman" w:hAnsi="Times New Roman" w:cs="Times New Roman"/>
                <w:lang w:val="uk-UA"/>
              </w:rPr>
              <w:t>пов'язан</w:t>
            </w:r>
            <w:r w:rsidR="00184AC2">
              <w:rPr>
                <w:rFonts w:ascii="Times New Roman" w:hAnsi="Times New Roman" w:cs="Times New Roman"/>
                <w:lang w:val="uk-UA"/>
              </w:rPr>
              <w:t>і</w:t>
            </w:r>
            <w:r w:rsidR="00BA5C0A" w:rsidRPr="00BA5C0A">
              <w:rPr>
                <w:rFonts w:ascii="Times New Roman" w:hAnsi="Times New Roman" w:cs="Times New Roman"/>
                <w:lang w:val="uk-UA"/>
              </w:rPr>
              <w:t xml:space="preserve"> з хронічною інфекцією ВГС, слід розглядати противовірусну терапію препаратами, що не містять IFN, без рибавірину, та засновану на вищезазначених рекомендаціях з ретельним спостереження за побічними реакціями (B1).</w:t>
            </w:r>
          </w:p>
          <w:p w14:paraId="574AEB87" w14:textId="77777777" w:rsidR="00BA5C0A" w:rsidRPr="00BA5C0A" w:rsidRDefault="00BA5C0A" w:rsidP="00015E3B">
            <w:pPr>
              <w:numPr>
                <w:ilvl w:val="0"/>
                <w:numId w:val="43"/>
              </w:numPr>
              <w:contextualSpacing/>
              <w:jc w:val="both"/>
              <w:rPr>
                <w:rFonts w:ascii="Times New Roman" w:hAnsi="Times New Roman" w:cs="Times New Roman"/>
                <w:lang w:val="uk-UA"/>
              </w:rPr>
            </w:pPr>
            <w:r w:rsidRPr="00BA5C0A">
              <w:rPr>
                <w:rFonts w:ascii="Times New Roman" w:hAnsi="Times New Roman" w:cs="Times New Roman"/>
                <w:lang w:val="uk-UA"/>
              </w:rPr>
              <w:t>Призначення ритуксимабу при захворюванні на ниркову недостатність з ВГС повинно обговорюватися міждисциплінарною командою (В1).</w:t>
            </w:r>
          </w:p>
          <w:p w14:paraId="703A912D" w14:textId="163CCAF0" w:rsidR="00BA5C0A" w:rsidRPr="00BA5C0A" w:rsidRDefault="00BA5C0A" w:rsidP="00015E3B">
            <w:pPr>
              <w:numPr>
                <w:ilvl w:val="0"/>
                <w:numId w:val="43"/>
              </w:numPr>
              <w:contextualSpacing/>
              <w:jc w:val="both"/>
              <w:rPr>
                <w:rFonts w:ascii="Times New Roman" w:hAnsi="Times New Roman" w:cs="Times New Roman"/>
                <w:lang w:val="uk-UA"/>
              </w:rPr>
            </w:pPr>
            <w:r w:rsidRPr="00BA5C0A">
              <w:rPr>
                <w:rFonts w:ascii="Times New Roman" w:hAnsi="Times New Roman" w:cs="Times New Roman"/>
                <w:lang w:val="uk-UA"/>
              </w:rPr>
              <w:t>При лікуванні ВГС</w:t>
            </w:r>
            <w:r w:rsidR="00FC6D8A">
              <w:rPr>
                <w:rFonts w:ascii="Times New Roman" w:hAnsi="Times New Roman" w:cs="Times New Roman"/>
                <w:lang w:val="uk-UA"/>
              </w:rPr>
              <w:t>–</w:t>
            </w:r>
            <w:r w:rsidRPr="00BA5C0A">
              <w:rPr>
                <w:rFonts w:ascii="Times New Roman" w:hAnsi="Times New Roman" w:cs="Times New Roman"/>
                <w:lang w:val="uk-UA"/>
              </w:rPr>
              <w:t>асоційованої лімфоми слід використовувати режими, без інтерферону</w:t>
            </w:r>
            <w:r w:rsidR="00ED6FDE">
              <w:rPr>
                <w:rFonts w:ascii="Times New Roman" w:hAnsi="Times New Roman" w:cs="Times New Roman"/>
                <w:lang w:val="uk-UA"/>
              </w:rPr>
              <w:t xml:space="preserve"> </w:t>
            </w:r>
            <w:r w:rsidRPr="00BA5C0A">
              <w:rPr>
                <w:rFonts w:ascii="Times New Roman" w:hAnsi="Times New Roman" w:cs="Times New Roman"/>
                <w:lang w:val="uk-UA"/>
              </w:rPr>
              <w:t>та</w:t>
            </w:r>
            <w:r w:rsidR="00ED6FDE">
              <w:rPr>
                <w:rFonts w:ascii="Times New Roman" w:hAnsi="Times New Roman" w:cs="Times New Roman"/>
                <w:lang w:val="uk-UA"/>
              </w:rPr>
              <w:t xml:space="preserve"> </w:t>
            </w:r>
            <w:r w:rsidRPr="00BA5C0A">
              <w:rPr>
                <w:rFonts w:ascii="Times New Roman" w:hAnsi="Times New Roman" w:cs="Times New Roman"/>
                <w:lang w:val="uk-UA"/>
              </w:rPr>
              <w:t>рибавірину відповідно до вищезгаданих рекомендацій, у поєднанні із хіміотерапією з урахуванням можливих взаємодій між лікарськими засобами (B1)</w:t>
            </w:r>
          </w:p>
        </w:tc>
      </w:tr>
    </w:tbl>
    <w:p w14:paraId="68711EA4" w14:textId="77777777" w:rsidR="00BA5C0A" w:rsidRPr="00BA5C0A" w:rsidRDefault="00BA5C0A" w:rsidP="00BA5C0A">
      <w:pPr>
        <w:jc w:val="both"/>
        <w:rPr>
          <w:rFonts w:ascii="Times New Roman" w:hAnsi="Times New Roman" w:cs="Times New Roman"/>
          <w:b/>
          <w:color w:val="4472C4" w:themeColor="accent5"/>
          <w:sz w:val="40"/>
          <w:szCs w:val="40"/>
          <w:lang w:val="uk-UA"/>
        </w:rPr>
      </w:pPr>
    </w:p>
    <w:p w14:paraId="56B16E2A" w14:textId="402DAD2A" w:rsidR="00BA5C0A" w:rsidRPr="00D901B1" w:rsidRDefault="00BA5C0A" w:rsidP="00BA5C0A">
      <w:pPr>
        <w:jc w:val="both"/>
        <w:rPr>
          <w:rFonts w:ascii="Times New Roman" w:hAnsi="Times New Roman" w:cs="Times New Roman"/>
          <w:b/>
          <w:color w:val="4472C4" w:themeColor="accent5"/>
          <w:sz w:val="32"/>
          <w:szCs w:val="32"/>
          <w:lang w:val="uk-UA"/>
        </w:rPr>
      </w:pPr>
      <w:r w:rsidRPr="00D901B1">
        <w:rPr>
          <w:rFonts w:ascii="Times New Roman" w:hAnsi="Times New Roman" w:cs="Times New Roman"/>
          <w:b/>
          <w:color w:val="4472C4" w:themeColor="accent5"/>
          <w:sz w:val="32"/>
          <w:szCs w:val="32"/>
          <w:lang w:val="uk-UA"/>
        </w:rPr>
        <w:t>Пацієнти з порушеннями функції нирок, у тому числі пацієнт</w:t>
      </w:r>
      <w:r w:rsidR="00ED6FDE">
        <w:rPr>
          <w:rFonts w:ascii="Times New Roman" w:hAnsi="Times New Roman" w:cs="Times New Roman"/>
          <w:b/>
          <w:color w:val="4472C4" w:themeColor="accent5"/>
          <w:sz w:val="32"/>
          <w:szCs w:val="32"/>
          <w:lang w:val="uk-UA"/>
        </w:rPr>
        <w:t>и</w:t>
      </w:r>
      <w:r w:rsidRPr="00D901B1">
        <w:rPr>
          <w:rFonts w:ascii="Times New Roman" w:hAnsi="Times New Roman" w:cs="Times New Roman"/>
          <w:b/>
          <w:color w:val="4472C4" w:themeColor="accent5"/>
          <w:sz w:val="32"/>
          <w:szCs w:val="32"/>
          <w:lang w:val="uk-UA"/>
        </w:rPr>
        <w:t xml:space="preserve">, які </w:t>
      </w:r>
      <w:r w:rsidR="00ED6FDE">
        <w:rPr>
          <w:rFonts w:ascii="Times New Roman" w:hAnsi="Times New Roman" w:cs="Times New Roman"/>
          <w:b/>
          <w:color w:val="4472C4" w:themeColor="accent5"/>
          <w:sz w:val="32"/>
          <w:szCs w:val="32"/>
          <w:lang w:val="uk-UA"/>
        </w:rPr>
        <w:t xml:space="preserve">перебувають </w:t>
      </w:r>
      <w:r w:rsidRPr="00D901B1">
        <w:rPr>
          <w:rFonts w:ascii="Times New Roman" w:hAnsi="Times New Roman" w:cs="Times New Roman"/>
          <w:b/>
          <w:color w:val="4472C4" w:themeColor="accent5"/>
          <w:sz w:val="32"/>
          <w:szCs w:val="32"/>
          <w:lang w:val="uk-UA"/>
        </w:rPr>
        <w:t>на гемодіалізі</w:t>
      </w:r>
    </w:p>
    <w:p w14:paraId="6FDC335F" w14:textId="77777777" w:rsidR="00BA5C0A" w:rsidRPr="00BA5C0A" w:rsidRDefault="00BA5C0A" w:rsidP="00BA5C0A">
      <w:pPr>
        <w:jc w:val="both"/>
        <w:rPr>
          <w:rFonts w:ascii="Times New Roman" w:hAnsi="Times New Roman" w:cs="Times New Roman"/>
          <w:lang w:val="uk-UA"/>
        </w:rPr>
      </w:pPr>
    </w:p>
    <w:p w14:paraId="6DABB5DA" w14:textId="107105A4"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ВГС</w:t>
      </w:r>
      <w:r w:rsidR="00FC6D8A">
        <w:rPr>
          <w:rFonts w:ascii="Times New Roman" w:hAnsi="Times New Roman" w:cs="Times New Roman"/>
          <w:lang w:val="uk-UA"/>
        </w:rPr>
        <w:t>–</w:t>
      </w:r>
      <w:r w:rsidRPr="00BA5C0A">
        <w:rPr>
          <w:rFonts w:ascii="Times New Roman" w:hAnsi="Times New Roman" w:cs="Times New Roman"/>
          <w:lang w:val="uk-UA"/>
        </w:rPr>
        <w:t>інфекція поширена у хворих з порушеннями функції нирок, у тому числі з важкими порушеннями функції нирок (</w:t>
      </w:r>
      <w:r w:rsidR="00681632">
        <w:rPr>
          <w:rFonts w:ascii="Times New Roman" w:hAnsi="Times New Roman" w:cs="Times New Roman"/>
          <w:lang w:val="uk-UA"/>
        </w:rPr>
        <w:t>ШКФ</w:t>
      </w:r>
      <w:r w:rsidRPr="00BA5C0A">
        <w:rPr>
          <w:rFonts w:ascii="Times New Roman" w:hAnsi="Times New Roman" w:cs="Times New Roman"/>
          <w:lang w:val="uk-UA"/>
        </w:rPr>
        <w:t xml:space="preserve"> &lt;30 мл / хв / 1,73 м2) та у людей з </w:t>
      </w:r>
      <w:r w:rsidR="00ED6FDE">
        <w:rPr>
          <w:rFonts w:ascii="Times New Roman" w:hAnsi="Times New Roman" w:cs="Times New Roman"/>
          <w:lang w:val="uk-UA"/>
        </w:rPr>
        <w:t>термінальною</w:t>
      </w:r>
      <w:r w:rsidR="00ED6FDE" w:rsidRPr="00BA5C0A">
        <w:rPr>
          <w:rFonts w:ascii="Times New Roman" w:hAnsi="Times New Roman" w:cs="Times New Roman"/>
          <w:lang w:val="uk-UA"/>
        </w:rPr>
        <w:t xml:space="preserve"> </w:t>
      </w:r>
      <w:r w:rsidRPr="00BA5C0A">
        <w:rPr>
          <w:rFonts w:ascii="Times New Roman" w:hAnsi="Times New Roman" w:cs="Times New Roman"/>
          <w:lang w:val="uk-UA"/>
        </w:rPr>
        <w:t>стадією ниркової недостатн</w:t>
      </w:r>
      <w:r w:rsidR="00ED6FDE">
        <w:rPr>
          <w:rFonts w:ascii="Times New Roman" w:hAnsi="Times New Roman" w:cs="Times New Roman"/>
          <w:lang w:val="uk-UA"/>
        </w:rPr>
        <w:t>о</w:t>
      </w:r>
      <w:r w:rsidRPr="00BA5C0A">
        <w:rPr>
          <w:rFonts w:ascii="Times New Roman" w:hAnsi="Times New Roman" w:cs="Times New Roman"/>
          <w:lang w:val="uk-UA"/>
        </w:rPr>
        <w:t>ст</w:t>
      </w:r>
      <w:r w:rsidR="00ED6FDE">
        <w:rPr>
          <w:rFonts w:ascii="Times New Roman" w:hAnsi="Times New Roman" w:cs="Times New Roman"/>
          <w:lang w:val="uk-UA"/>
        </w:rPr>
        <w:t>і</w:t>
      </w:r>
      <w:r w:rsidRPr="00BA5C0A">
        <w:rPr>
          <w:rFonts w:ascii="Times New Roman" w:hAnsi="Times New Roman" w:cs="Times New Roman"/>
          <w:lang w:val="uk-UA"/>
        </w:rPr>
        <w:t>, які потребують гемодіалізу або перитонеального діалізу. Необхідно враховувати різноманітні групи пацієнтів з захворюваннями нирок, коли призначається лікування гепатиту С. До них відносяться</w:t>
      </w:r>
      <w:r w:rsidR="00ED6FDE">
        <w:rPr>
          <w:rFonts w:ascii="Times New Roman" w:hAnsi="Times New Roman" w:cs="Times New Roman"/>
          <w:lang w:val="uk-UA"/>
        </w:rPr>
        <w:t>:</w:t>
      </w:r>
      <w:r w:rsidRPr="00BA5C0A">
        <w:rPr>
          <w:rFonts w:ascii="Times New Roman" w:hAnsi="Times New Roman" w:cs="Times New Roman"/>
          <w:lang w:val="uk-UA"/>
        </w:rPr>
        <w:t xml:space="preserve"> пацієнти з </w:t>
      </w:r>
      <w:r w:rsidR="00ED6FDE">
        <w:rPr>
          <w:rFonts w:ascii="Times New Roman" w:hAnsi="Times New Roman" w:cs="Times New Roman"/>
          <w:lang w:val="uk-UA"/>
        </w:rPr>
        <w:t xml:space="preserve">4 стадією </w:t>
      </w:r>
      <w:r w:rsidRPr="00BA5C0A">
        <w:rPr>
          <w:rFonts w:ascii="Times New Roman" w:hAnsi="Times New Roman" w:cs="Times New Roman"/>
          <w:lang w:val="uk-UA"/>
        </w:rPr>
        <w:t>хронічно</w:t>
      </w:r>
      <w:r w:rsidR="00ED6FDE">
        <w:rPr>
          <w:rFonts w:ascii="Times New Roman" w:hAnsi="Times New Roman" w:cs="Times New Roman"/>
          <w:lang w:val="uk-UA"/>
        </w:rPr>
        <w:t>ї</w:t>
      </w:r>
      <w:r w:rsidRPr="00BA5C0A">
        <w:rPr>
          <w:rFonts w:ascii="Times New Roman" w:hAnsi="Times New Roman" w:cs="Times New Roman"/>
          <w:lang w:val="uk-UA"/>
        </w:rPr>
        <w:t xml:space="preserve"> хвороб</w:t>
      </w:r>
      <w:r w:rsidR="00ED6FDE">
        <w:rPr>
          <w:rFonts w:ascii="Times New Roman" w:hAnsi="Times New Roman" w:cs="Times New Roman"/>
          <w:lang w:val="uk-UA"/>
        </w:rPr>
        <w:t>и</w:t>
      </w:r>
      <w:r w:rsidRPr="00BA5C0A">
        <w:rPr>
          <w:rFonts w:ascii="Times New Roman" w:hAnsi="Times New Roman" w:cs="Times New Roman"/>
          <w:lang w:val="uk-UA"/>
        </w:rPr>
        <w:t xml:space="preserve"> нирок (</w:t>
      </w:r>
      <w:r w:rsidR="00ED6FDE">
        <w:rPr>
          <w:rFonts w:ascii="Times New Roman" w:hAnsi="Times New Roman" w:cs="Times New Roman"/>
          <w:lang w:val="uk-UA"/>
        </w:rPr>
        <w:t xml:space="preserve">далі – </w:t>
      </w:r>
      <w:r w:rsidRPr="00BA5C0A">
        <w:rPr>
          <w:rFonts w:ascii="Times New Roman" w:hAnsi="Times New Roman" w:cs="Times New Roman"/>
          <w:lang w:val="uk-UA"/>
        </w:rPr>
        <w:t xml:space="preserve">ХХН) </w:t>
      </w:r>
      <w:r w:rsidR="00ED6FDE">
        <w:rPr>
          <w:rFonts w:ascii="Times New Roman" w:hAnsi="Times New Roman" w:cs="Times New Roman"/>
          <w:lang w:val="uk-UA"/>
        </w:rPr>
        <w:t>(</w:t>
      </w:r>
      <w:r w:rsidR="00681632">
        <w:rPr>
          <w:rFonts w:ascii="Times New Roman" w:hAnsi="Times New Roman" w:cs="Times New Roman"/>
          <w:lang w:val="uk-UA"/>
        </w:rPr>
        <w:t>ШКФ</w:t>
      </w:r>
      <w:r w:rsidRPr="00BA5C0A">
        <w:rPr>
          <w:rFonts w:ascii="Times New Roman" w:hAnsi="Times New Roman" w:cs="Times New Roman"/>
          <w:lang w:val="uk-UA"/>
        </w:rPr>
        <w:t xml:space="preserve"> = 15</w:t>
      </w:r>
      <w:r w:rsidR="00FC6D8A">
        <w:rPr>
          <w:rFonts w:ascii="Times New Roman" w:hAnsi="Times New Roman" w:cs="Times New Roman"/>
          <w:lang w:val="uk-UA"/>
        </w:rPr>
        <w:t>–</w:t>
      </w:r>
      <w:r w:rsidRPr="00BA5C0A">
        <w:rPr>
          <w:rFonts w:ascii="Times New Roman" w:hAnsi="Times New Roman" w:cs="Times New Roman"/>
          <w:lang w:val="uk-UA"/>
        </w:rPr>
        <w:t>29 мл / мін / 1,73 м2</w:t>
      </w:r>
      <w:r w:rsidR="00ED6FDE">
        <w:rPr>
          <w:rFonts w:ascii="Times New Roman" w:hAnsi="Times New Roman" w:cs="Times New Roman"/>
          <w:lang w:val="uk-UA"/>
        </w:rPr>
        <w:t xml:space="preserve">) </w:t>
      </w:r>
      <w:r w:rsidRPr="00BA5C0A">
        <w:rPr>
          <w:rFonts w:ascii="Times New Roman" w:hAnsi="Times New Roman" w:cs="Times New Roman"/>
          <w:lang w:val="uk-UA"/>
        </w:rPr>
        <w:t>або з</w:t>
      </w:r>
      <w:r w:rsidR="00ED6FDE">
        <w:rPr>
          <w:rFonts w:ascii="Times New Roman" w:hAnsi="Times New Roman" w:cs="Times New Roman"/>
          <w:lang w:val="uk-UA"/>
        </w:rPr>
        <w:t xml:space="preserve"> 5</w:t>
      </w:r>
      <w:r w:rsidRPr="00BA5C0A">
        <w:rPr>
          <w:rFonts w:ascii="Times New Roman" w:hAnsi="Times New Roman" w:cs="Times New Roman"/>
          <w:lang w:val="uk-UA"/>
        </w:rPr>
        <w:t xml:space="preserve"> стадією </w:t>
      </w:r>
      <w:r w:rsidR="00ED6FDE">
        <w:rPr>
          <w:rFonts w:ascii="Times New Roman" w:hAnsi="Times New Roman" w:cs="Times New Roman"/>
          <w:lang w:val="uk-UA"/>
        </w:rPr>
        <w:t>ХХН</w:t>
      </w:r>
      <w:r w:rsidRPr="00BA5C0A">
        <w:rPr>
          <w:rFonts w:ascii="Times New Roman" w:hAnsi="Times New Roman" w:cs="Times New Roman"/>
          <w:lang w:val="uk-UA"/>
        </w:rPr>
        <w:t xml:space="preserve"> (</w:t>
      </w:r>
      <w:r w:rsidR="00681632">
        <w:rPr>
          <w:rFonts w:ascii="Times New Roman" w:hAnsi="Times New Roman" w:cs="Times New Roman"/>
          <w:lang w:val="uk-UA"/>
        </w:rPr>
        <w:t>ШКФ</w:t>
      </w:r>
      <w:r w:rsidRPr="00BA5C0A">
        <w:rPr>
          <w:rFonts w:ascii="Times New Roman" w:hAnsi="Times New Roman" w:cs="Times New Roman"/>
          <w:lang w:val="uk-UA"/>
        </w:rPr>
        <w:t xml:space="preserve"> &lt;15 мл / хв / 1,73 м2 або на діалізі); пацієнти після трансплантації нирок; пацієнти з цирозом печінки з порушеннями функції нирок (хронічне захворювання нирок, гепаторенальний синдром, гостре пошкодження нирок, гостра хронічна </w:t>
      </w:r>
      <w:r w:rsidR="00355288">
        <w:rPr>
          <w:rFonts w:ascii="Times New Roman" w:hAnsi="Times New Roman" w:cs="Times New Roman"/>
          <w:lang w:val="uk-UA"/>
        </w:rPr>
        <w:t xml:space="preserve">ниркова </w:t>
      </w:r>
      <w:r w:rsidRPr="00BA5C0A">
        <w:rPr>
          <w:rFonts w:ascii="Times New Roman" w:hAnsi="Times New Roman" w:cs="Times New Roman"/>
          <w:lang w:val="uk-UA"/>
        </w:rPr>
        <w:t>недостатність); пацієнти після трансплантації печінки з кальциневрін</w:t>
      </w:r>
      <w:r w:rsidR="00FC6D8A">
        <w:rPr>
          <w:rFonts w:ascii="Times New Roman" w:hAnsi="Times New Roman" w:cs="Times New Roman"/>
          <w:lang w:val="uk-UA"/>
        </w:rPr>
        <w:t>–</w:t>
      </w:r>
      <w:r w:rsidRPr="00BA5C0A">
        <w:rPr>
          <w:rFonts w:ascii="Times New Roman" w:hAnsi="Times New Roman" w:cs="Times New Roman"/>
          <w:lang w:val="uk-UA"/>
        </w:rPr>
        <w:t>індукованими порушеннями нир</w:t>
      </w:r>
      <w:r w:rsidR="00555235">
        <w:rPr>
          <w:rFonts w:ascii="Times New Roman" w:hAnsi="Times New Roman" w:cs="Times New Roman"/>
          <w:lang w:val="uk-UA"/>
        </w:rPr>
        <w:t>ок; або пацієнти зі змішаною крі</w:t>
      </w:r>
      <w:r w:rsidRPr="00BA5C0A">
        <w:rPr>
          <w:rFonts w:ascii="Times New Roman" w:hAnsi="Times New Roman" w:cs="Times New Roman"/>
          <w:lang w:val="uk-UA"/>
        </w:rPr>
        <w:t xml:space="preserve">оглобулінемією з пошкодженням нирок. У деяких з цих груп </w:t>
      </w:r>
      <w:r w:rsidR="00ED6FDE">
        <w:rPr>
          <w:rFonts w:ascii="Times New Roman" w:hAnsi="Times New Roman" w:cs="Times New Roman"/>
          <w:lang w:val="uk-UA"/>
        </w:rPr>
        <w:t xml:space="preserve">пацієнтів </w:t>
      </w:r>
      <w:r w:rsidRPr="00BA5C0A">
        <w:rPr>
          <w:rFonts w:ascii="Times New Roman" w:hAnsi="Times New Roman" w:cs="Times New Roman"/>
          <w:lang w:val="uk-UA"/>
        </w:rPr>
        <w:t xml:space="preserve">функція нирок може потенційно поліпшуватися </w:t>
      </w:r>
      <w:r w:rsidR="00184AC2">
        <w:rPr>
          <w:rFonts w:ascii="Times New Roman" w:hAnsi="Times New Roman" w:cs="Times New Roman"/>
          <w:lang w:val="uk-UA"/>
        </w:rPr>
        <w:t>у результаті</w:t>
      </w:r>
      <w:r w:rsidRPr="00BA5C0A">
        <w:rPr>
          <w:rFonts w:ascii="Times New Roman" w:hAnsi="Times New Roman" w:cs="Times New Roman"/>
          <w:lang w:val="uk-UA"/>
        </w:rPr>
        <w:t xml:space="preserve"> противірусного лікування. Проте, відновлення органу може бути відкладе</w:t>
      </w:r>
      <w:r w:rsidR="00555235">
        <w:rPr>
          <w:rFonts w:ascii="Times New Roman" w:hAnsi="Times New Roman" w:cs="Times New Roman"/>
          <w:lang w:val="uk-UA"/>
        </w:rPr>
        <w:t>но після СВВ у пацієнтів з кріо</w:t>
      </w:r>
      <w:r w:rsidRPr="00BA5C0A">
        <w:rPr>
          <w:rFonts w:ascii="Times New Roman" w:hAnsi="Times New Roman" w:cs="Times New Roman"/>
          <w:lang w:val="uk-UA"/>
        </w:rPr>
        <w:t>глобулінемією.</w:t>
      </w:r>
      <w:r w:rsidRPr="00BA5C0A">
        <w:rPr>
          <w:rFonts w:ascii="Times New Roman" w:hAnsi="Times New Roman" w:cs="Times New Roman"/>
          <w:vertAlign w:val="superscript"/>
          <w:lang w:val="uk-UA"/>
        </w:rPr>
        <w:t>169</w:t>
      </w:r>
      <w:r w:rsidRPr="00BA5C0A">
        <w:rPr>
          <w:rFonts w:ascii="Times New Roman" w:hAnsi="Times New Roman" w:cs="Times New Roman"/>
          <w:lang w:val="uk-UA"/>
        </w:rPr>
        <w:t xml:space="preserve"> </w:t>
      </w:r>
      <w:r w:rsidR="00184AC2">
        <w:rPr>
          <w:rFonts w:ascii="Times New Roman" w:hAnsi="Times New Roman" w:cs="Times New Roman"/>
          <w:lang w:val="uk-UA"/>
        </w:rPr>
        <w:t>В осіб</w:t>
      </w:r>
      <w:r w:rsidRPr="00BA5C0A">
        <w:rPr>
          <w:rFonts w:ascii="Times New Roman" w:hAnsi="Times New Roman" w:cs="Times New Roman"/>
          <w:lang w:val="uk-UA"/>
        </w:rPr>
        <w:t xml:space="preserve"> на гемодіалізі ВГС</w:t>
      </w:r>
      <w:r w:rsidR="00FC6D8A">
        <w:rPr>
          <w:rFonts w:ascii="Times New Roman" w:hAnsi="Times New Roman" w:cs="Times New Roman"/>
          <w:lang w:val="uk-UA"/>
        </w:rPr>
        <w:t>–</w:t>
      </w:r>
      <w:r w:rsidRPr="00BA5C0A">
        <w:rPr>
          <w:rFonts w:ascii="Times New Roman" w:hAnsi="Times New Roman" w:cs="Times New Roman"/>
          <w:lang w:val="uk-UA"/>
        </w:rPr>
        <w:t>інфекція пов'язана з підвищеним ризиком смертності від усіх причин. Проте серцево</w:t>
      </w:r>
      <w:r w:rsidR="00FC6D8A">
        <w:rPr>
          <w:rFonts w:ascii="Times New Roman" w:hAnsi="Times New Roman" w:cs="Times New Roman"/>
          <w:lang w:val="uk-UA"/>
        </w:rPr>
        <w:t>–</w:t>
      </w:r>
      <w:r w:rsidRPr="00BA5C0A">
        <w:rPr>
          <w:rFonts w:ascii="Times New Roman" w:hAnsi="Times New Roman" w:cs="Times New Roman"/>
          <w:lang w:val="uk-UA"/>
        </w:rPr>
        <w:t>судинні захворювання залишаються основною причиною смерті хворих на діалізі незалежно від ста</w:t>
      </w:r>
      <w:r w:rsidR="00355288">
        <w:rPr>
          <w:rFonts w:ascii="Times New Roman" w:hAnsi="Times New Roman" w:cs="Times New Roman"/>
          <w:lang w:val="uk-UA"/>
        </w:rPr>
        <w:t>тусу щодо</w:t>
      </w:r>
      <w:r w:rsidRPr="00BA5C0A">
        <w:rPr>
          <w:rFonts w:ascii="Times New Roman" w:hAnsi="Times New Roman" w:cs="Times New Roman"/>
          <w:lang w:val="uk-UA"/>
        </w:rPr>
        <w:t xml:space="preserve"> ВГС.</w:t>
      </w:r>
    </w:p>
    <w:p w14:paraId="6F6C4D3A" w14:textId="77777777" w:rsidR="00BA5C0A" w:rsidRPr="00BA5C0A" w:rsidRDefault="00BA5C0A" w:rsidP="00BA5C0A">
      <w:pPr>
        <w:jc w:val="both"/>
        <w:rPr>
          <w:rFonts w:ascii="Times New Roman" w:hAnsi="Times New Roman" w:cs="Times New Roman"/>
          <w:lang w:val="uk-UA"/>
        </w:rPr>
      </w:pPr>
    </w:p>
    <w:p w14:paraId="28DB8C9A" w14:textId="69AEEF52"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У хворих з легким та </w:t>
      </w:r>
      <w:r w:rsidR="00CF0D47">
        <w:rPr>
          <w:rFonts w:ascii="Times New Roman" w:hAnsi="Times New Roman" w:cs="Times New Roman"/>
          <w:lang w:val="uk-UA"/>
        </w:rPr>
        <w:t>помірним</w:t>
      </w:r>
      <w:r w:rsidRPr="00BA5C0A">
        <w:rPr>
          <w:rFonts w:ascii="Times New Roman" w:hAnsi="Times New Roman" w:cs="Times New Roman"/>
          <w:lang w:val="uk-UA"/>
        </w:rPr>
        <w:t xml:space="preserve"> пошкодженням нирок (</w:t>
      </w:r>
      <w:r w:rsidR="00681632">
        <w:rPr>
          <w:rFonts w:ascii="Times New Roman" w:hAnsi="Times New Roman" w:cs="Times New Roman"/>
          <w:lang w:val="uk-UA"/>
        </w:rPr>
        <w:t>ШКФ</w:t>
      </w:r>
      <w:r w:rsidRPr="00BA5C0A">
        <w:rPr>
          <w:rFonts w:ascii="Times New Roman" w:hAnsi="Times New Roman" w:cs="Times New Roman"/>
          <w:lang w:val="uk-UA"/>
        </w:rPr>
        <w:t xml:space="preserve"> ≥30 мл / хв / 1,73 м2), корегування дози не  потрібно для будь</w:t>
      </w:r>
      <w:r w:rsidR="00FC6D8A">
        <w:rPr>
          <w:rFonts w:ascii="Times New Roman" w:hAnsi="Times New Roman" w:cs="Times New Roman"/>
          <w:lang w:val="uk-UA"/>
        </w:rPr>
        <w:t>–</w:t>
      </w:r>
      <w:r w:rsidRPr="00BA5C0A">
        <w:rPr>
          <w:rFonts w:ascii="Times New Roman" w:hAnsi="Times New Roman" w:cs="Times New Roman"/>
          <w:lang w:val="uk-UA"/>
        </w:rPr>
        <w:t xml:space="preserve">яких схвалених ПППД. Тому цих пацієнтів </w:t>
      </w:r>
      <w:r w:rsidR="00CF0D47">
        <w:rPr>
          <w:rFonts w:ascii="Times New Roman" w:hAnsi="Times New Roman" w:cs="Times New Roman"/>
          <w:lang w:val="uk-UA"/>
        </w:rPr>
        <w:t>потрібно</w:t>
      </w:r>
      <w:r w:rsidRPr="00BA5C0A">
        <w:rPr>
          <w:rFonts w:ascii="Times New Roman" w:hAnsi="Times New Roman" w:cs="Times New Roman"/>
          <w:lang w:val="uk-UA"/>
        </w:rPr>
        <w:t xml:space="preserve"> лікувати відповідно до загальних рекомендацій, наданих раніше.</w:t>
      </w:r>
    </w:p>
    <w:p w14:paraId="568720D7" w14:textId="77777777" w:rsidR="00DC2873" w:rsidRDefault="00DC2873" w:rsidP="00BA5C0A">
      <w:pPr>
        <w:jc w:val="both"/>
        <w:rPr>
          <w:rFonts w:ascii="Times New Roman" w:hAnsi="Times New Roman" w:cs="Times New Roman"/>
          <w:lang w:val="uk-UA"/>
        </w:rPr>
      </w:pPr>
    </w:p>
    <w:p w14:paraId="09ADC465" w14:textId="1AB66854"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У пацієнтів </w:t>
      </w:r>
      <w:r w:rsidR="00CF0D47">
        <w:rPr>
          <w:rFonts w:ascii="Times New Roman" w:hAnsi="Times New Roman" w:cs="Times New Roman"/>
          <w:lang w:val="uk-UA"/>
        </w:rPr>
        <w:t>і</w:t>
      </w:r>
      <w:r w:rsidRPr="00BA5C0A">
        <w:rPr>
          <w:rFonts w:ascii="Times New Roman" w:hAnsi="Times New Roman" w:cs="Times New Roman"/>
          <w:lang w:val="uk-UA"/>
        </w:rPr>
        <w:t xml:space="preserve">з </w:t>
      </w:r>
      <w:r w:rsidR="00CF0D47">
        <w:rPr>
          <w:rFonts w:ascii="Times New Roman" w:hAnsi="Times New Roman" w:cs="Times New Roman"/>
          <w:lang w:val="uk-UA"/>
        </w:rPr>
        <w:t>вираженою</w:t>
      </w:r>
      <w:r w:rsidRPr="00BA5C0A">
        <w:rPr>
          <w:rFonts w:ascii="Times New Roman" w:hAnsi="Times New Roman" w:cs="Times New Roman"/>
          <w:lang w:val="uk-UA"/>
        </w:rPr>
        <w:t xml:space="preserve"> дисфункцією нирок (</w:t>
      </w:r>
      <w:r w:rsidR="00E9283D">
        <w:rPr>
          <w:rFonts w:ascii="Times New Roman" w:hAnsi="Times New Roman" w:cs="Times New Roman"/>
          <w:lang w:val="uk-UA"/>
        </w:rPr>
        <w:t>ШКФ</w:t>
      </w:r>
      <w:r w:rsidRPr="00BA5C0A">
        <w:rPr>
          <w:rFonts w:ascii="Times New Roman" w:hAnsi="Times New Roman" w:cs="Times New Roman"/>
          <w:lang w:val="uk-UA"/>
        </w:rPr>
        <w:t xml:space="preserve"> &lt;30 мл / хв / 1,73 м2) безпечн</w:t>
      </w:r>
      <w:r w:rsidR="00184AC2">
        <w:rPr>
          <w:rFonts w:ascii="Times New Roman" w:hAnsi="Times New Roman" w:cs="Times New Roman"/>
          <w:lang w:val="uk-UA"/>
        </w:rPr>
        <w:t>ість</w:t>
      </w:r>
      <w:r w:rsidRPr="00BA5C0A">
        <w:rPr>
          <w:rFonts w:ascii="Times New Roman" w:hAnsi="Times New Roman" w:cs="Times New Roman"/>
          <w:lang w:val="uk-UA"/>
        </w:rPr>
        <w:t xml:space="preserve"> схем на основі софосбувіру була поставлена під сумнів. Софосбувір виводиться в основному нирками, і його застосування у пацієнтів з 4 або 5 стадією ХХН або у тих, хто знаходиться на гемодіалізі не відповідає рекомендаціям. Виникли занепокоєння через значно більшу концентрацію софосбувіру і, найголовніше, виведення його метаболіту GS</w:t>
      </w:r>
      <w:r w:rsidR="00FC6D8A">
        <w:rPr>
          <w:rFonts w:ascii="Times New Roman" w:hAnsi="Times New Roman" w:cs="Times New Roman"/>
          <w:lang w:val="uk-UA"/>
        </w:rPr>
        <w:t>–</w:t>
      </w:r>
      <w:r w:rsidRPr="00BA5C0A">
        <w:rPr>
          <w:rFonts w:ascii="Times New Roman" w:hAnsi="Times New Roman" w:cs="Times New Roman"/>
          <w:lang w:val="uk-UA"/>
        </w:rPr>
        <w:t>331007 у пацієнтів з порушеннями функції нирок</w:t>
      </w:r>
      <w:r w:rsidR="009F1581">
        <w:rPr>
          <w:rFonts w:ascii="Times New Roman" w:hAnsi="Times New Roman" w:cs="Times New Roman"/>
          <w:lang w:val="uk-UA"/>
        </w:rPr>
        <w:t xml:space="preserve">, порівнюючи </w:t>
      </w:r>
      <w:r w:rsidRPr="00BA5C0A">
        <w:rPr>
          <w:rFonts w:ascii="Times New Roman" w:hAnsi="Times New Roman" w:cs="Times New Roman"/>
          <w:lang w:val="uk-UA"/>
        </w:rPr>
        <w:t>з тими, у кого не було порушень функції нирок (+ 103% та 501% AUCT, відповідно).</w:t>
      </w:r>
      <w:r w:rsidRPr="00BA5C0A">
        <w:rPr>
          <w:rFonts w:ascii="Times New Roman" w:hAnsi="Times New Roman" w:cs="Times New Roman"/>
          <w:vertAlign w:val="superscript"/>
          <w:lang w:val="uk-UA"/>
        </w:rPr>
        <w:t>62</w:t>
      </w:r>
      <w:r w:rsidRPr="00BA5C0A">
        <w:rPr>
          <w:rFonts w:ascii="Times New Roman" w:hAnsi="Times New Roman" w:cs="Times New Roman"/>
          <w:lang w:val="uk-UA"/>
        </w:rPr>
        <w:t xml:space="preserve"> ВІЛ</w:t>
      </w:r>
      <w:r w:rsidR="00FC6D8A">
        <w:rPr>
          <w:rFonts w:ascii="Times New Roman" w:hAnsi="Times New Roman" w:cs="Times New Roman"/>
          <w:lang w:val="uk-UA"/>
        </w:rPr>
        <w:t>–</w:t>
      </w:r>
      <w:r w:rsidRPr="00BA5C0A">
        <w:rPr>
          <w:rFonts w:ascii="Times New Roman" w:hAnsi="Times New Roman" w:cs="Times New Roman"/>
          <w:lang w:val="uk-UA"/>
        </w:rPr>
        <w:t>інфіковані пацієнти з 4 або 5 стадіями ХХН отримували схеми, розроблені на основі софосбувіру, коли інших варіантів не було, і лікування було необхідним, без погіршення їх ниркової функції у більшості випадків.</w:t>
      </w:r>
      <w:r w:rsidRPr="00BA5C0A">
        <w:rPr>
          <w:rFonts w:ascii="Times New Roman" w:hAnsi="Times New Roman" w:cs="Times New Roman"/>
          <w:vertAlign w:val="superscript"/>
          <w:lang w:val="uk-UA"/>
        </w:rPr>
        <w:t>180</w:t>
      </w:r>
      <w:r w:rsidRPr="00BA5C0A">
        <w:rPr>
          <w:rFonts w:ascii="Times New Roman" w:hAnsi="Times New Roman" w:cs="Times New Roman"/>
          <w:lang w:val="uk-UA"/>
        </w:rPr>
        <w:t xml:space="preserve"> Однак у когортному дослідженні </w:t>
      </w:r>
      <w:r w:rsidRPr="00BA5C0A">
        <w:rPr>
          <w:rFonts w:ascii="Times New Roman" w:hAnsi="Times New Roman" w:cs="Times New Roman"/>
          <w:lang w:val="uk-UA"/>
        </w:rPr>
        <w:lastRenderedPageBreak/>
        <w:t xml:space="preserve">TARGET 2.0 прогресуюче погіршення функції нирок </w:t>
      </w:r>
      <w:r w:rsidR="00E35EFE">
        <w:rPr>
          <w:rFonts w:ascii="Times New Roman" w:hAnsi="Times New Roman" w:cs="Times New Roman"/>
          <w:lang w:val="uk-UA"/>
        </w:rPr>
        <w:t>спостерігал</w:t>
      </w:r>
      <w:r w:rsidRPr="00BA5C0A">
        <w:rPr>
          <w:rFonts w:ascii="Times New Roman" w:hAnsi="Times New Roman" w:cs="Times New Roman"/>
          <w:lang w:val="uk-UA"/>
        </w:rPr>
        <w:t>ися у пацієнтів з важкими порушеннями функції нирок, які отримували схем</w:t>
      </w:r>
      <w:r w:rsidR="00DC2873">
        <w:rPr>
          <w:rFonts w:ascii="Times New Roman" w:hAnsi="Times New Roman" w:cs="Times New Roman"/>
          <w:lang w:val="uk-UA"/>
        </w:rPr>
        <w:t>и</w:t>
      </w:r>
      <w:r w:rsidRPr="00BA5C0A">
        <w:rPr>
          <w:rFonts w:ascii="Times New Roman" w:hAnsi="Times New Roman" w:cs="Times New Roman"/>
          <w:lang w:val="uk-UA"/>
        </w:rPr>
        <w:t xml:space="preserve"> на основі софосбувіру, хоча ефективність </w:t>
      </w:r>
      <w:r w:rsidR="00ED6FDE">
        <w:rPr>
          <w:rFonts w:ascii="Times New Roman" w:hAnsi="Times New Roman" w:cs="Times New Roman"/>
          <w:lang w:val="uk-UA"/>
        </w:rPr>
        <w:t xml:space="preserve">лікування </w:t>
      </w:r>
      <w:r w:rsidRPr="00BA5C0A">
        <w:rPr>
          <w:rFonts w:ascii="Times New Roman" w:hAnsi="Times New Roman" w:cs="Times New Roman"/>
          <w:lang w:val="uk-UA"/>
        </w:rPr>
        <w:t>була такою ж, як і у пацієнтів без порушення функці</w:t>
      </w:r>
      <w:r w:rsidR="00DC2873">
        <w:rPr>
          <w:rFonts w:ascii="Times New Roman" w:hAnsi="Times New Roman" w:cs="Times New Roman"/>
          <w:lang w:val="uk-UA"/>
        </w:rPr>
        <w:t>й</w:t>
      </w:r>
      <w:r w:rsidRPr="00BA5C0A">
        <w:rPr>
          <w:rFonts w:ascii="Times New Roman" w:hAnsi="Times New Roman" w:cs="Times New Roman"/>
          <w:lang w:val="uk-UA"/>
        </w:rPr>
        <w:t xml:space="preserve"> нирок.</w:t>
      </w:r>
      <w:r w:rsidRPr="00BA5C0A">
        <w:rPr>
          <w:rFonts w:ascii="Times New Roman" w:hAnsi="Times New Roman" w:cs="Times New Roman"/>
          <w:vertAlign w:val="superscript"/>
          <w:lang w:val="uk-UA"/>
        </w:rPr>
        <w:t xml:space="preserve">181 </w:t>
      </w:r>
      <w:r w:rsidRPr="00BA5C0A">
        <w:rPr>
          <w:rFonts w:ascii="Times New Roman" w:hAnsi="Times New Roman" w:cs="Times New Roman"/>
          <w:lang w:val="uk-UA"/>
        </w:rPr>
        <w:t xml:space="preserve">У пацієнтів з </w:t>
      </w:r>
      <w:r w:rsidR="00DC2873">
        <w:rPr>
          <w:rFonts w:ascii="Times New Roman" w:hAnsi="Times New Roman" w:cs="Times New Roman"/>
          <w:lang w:val="uk-UA"/>
        </w:rPr>
        <w:t xml:space="preserve">термінальними </w:t>
      </w:r>
      <w:r w:rsidRPr="00BA5C0A">
        <w:rPr>
          <w:rFonts w:ascii="Times New Roman" w:hAnsi="Times New Roman" w:cs="Times New Roman"/>
          <w:lang w:val="uk-UA"/>
        </w:rPr>
        <w:t>стаді</w:t>
      </w:r>
      <w:r w:rsidR="00DC2873">
        <w:rPr>
          <w:rFonts w:ascii="Times New Roman" w:hAnsi="Times New Roman" w:cs="Times New Roman"/>
          <w:lang w:val="uk-UA"/>
        </w:rPr>
        <w:t>ями захворювання</w:t>
      </w:r>
      <w:r w:rsidRPr="00BA5C0A">
        <w:rPr>
          <w:rFonts w:ascii="Times New Roman" w:hAnsi="Times New Roman" w:cs="Times New Roman"/>
          <w:lang w:val="uk-UA"/>
        </w:rPr>
        <w:t xml:space="preserve"> нирок</w:t>
      </w:r>
      <w:r w:rsidR="00DC2873">
        <w:rPr>
          <w:rFonts w:ascii="Times New Roman" w:hAnsi="Times New Roman" w:cs="Times New Roman"/>
          <w:lang w:val="uk-UA"/>
        </w:rPr>
        <w:t>, що перебувають на</w:t>
      </w:r>
      <w:r w:rsidRPr="00BA5C0A">
        <w:rPr>
          <w:rFonts w:ascii="Times New Roman" w:hAnsi="Times New Roman" w:cs="Times New Roman"/>
          <w:lang w:val="uk-UA"/>
        </w:rPr>
        <w:t xml:space="preserve">  гемодіалізі концентрація </w:t>
      </w:r>
      <w:r w:rsidR="00ED6FDE">
        <w:rPr>
          <w:rFonts w:ascii="Times New Roman" w:hAnsi="Times New Roman" w:cs="Times New Roman"/>
          <w:lang w:val="uk-UA"/>
        </w:rPr>
        <w:t xml:space="preserve">метаболіту </w:t>
      </w:r>
      <w:r w:rsidRPr="00BA5C0A">
        <w:rPr>
          <w:rFonts w:ascii="Times New Roman" w:hAnsi="Times New Roman" w:cs="Times New Roman"/>
          <w:lang w:val="uk-UA"/>
        </w:rPr>
        <w:t>GS</w:t>
      </w:r>
      <w:r w:rsidR="00FC6D8A">
        <w:rPr>
          <w:rFonts w:ascii="Times New Roman" w:hAnsi="Times New Roman" w:cs="Times New Roman"/>
          <w:lang w:val="uk-UA"/>
        </w:rPr>
        <w:t>–</w:t>
      </w:r>
      <w:r w:rsidRPr="00BA5C0A">
        <w:rPr>
          <w:rFonts w:ascii="Times New Roman" w:hAnsi="Times New Roman" w:cs="Times New Roman"/>
          <w:lang w:val="uk-UA"/>
        </w:rPr>
        <w:t>331007 була в 10 разів вище впродовж однієї години до діалізу і у 20 разів вище через годину після діалізу, ніж у пацієнтів з нормальною функцією нирок.</w:t>
      </w:r>
      <w:r w:rsidRPr="00BA5C0A">
        <w:rPr>
          <w:rFonts w:ascii="Times New Roman" w:hAnsi="Times New Roman" w:cs="Times New Roman"/>
          <w:vertAlign w:val="superscript"/>
          <w:lang w:val="uk-UA"/>
        </w:rPr>
        <w:t>182</w:t>
      </w:r>
      <w:r w:rsidRPr="00BA5C0A">
        <w:rPr>
          <w:rFonts w:ascii="Times New Roman" w:hAnsi="Times New Roman" w:cs="Times New Roman"/>
          <w:lang w:val="uk-UA"/>
        </w:rPr>
        <w:t xml:space="preserve"> В іншому дослідженні </w:t>
      </w:r>
      <w:r w:rsidR="00863F2B">
        <w:rPr>
          <w:rFonts w:ascii="Times New Roman" w:hAnsi="Times New Roman" w:cs="Times New Roman"/>
          <w:lang w:val="uk-UA"/>
        </w:rPr>
        <w:t xml:space="preserve">накопичення </w:t>
      </w:r>
      <w:r w:rsidRPr="00BA5C0A">
        <w:rPr>
          <w:rFonts w:ascii="Times New Roman" w:hAnsi="Times New Roman" w:cs="Times New Roman"/>
          <w:lang w:val="uk-UA"/>
        </w:rPr>
        <w:t>софосбувір</w:t>
      </w:r>
      <w:r w:rsidR="00863F2B">
        <w:rPr>
          <w:rFonts w:ascii="Times New Roman" w:hAnsi="Times New Roman" w:cs="Times New Roman"/>
          <w:lang w:val="uk-UA"/>
        </w:rPr>
        <w:t>у</w:t>
      </w:r>
      <w:r w:rsidRPr="00BA5C0A">
        <w:rPr>
          <w:rFonts w:ascii="Times New Roman" w:hAnsi="Times New Roman" w:cs="Times New Roman"/>
          <w:lang w:val="uk-UA"/>
        </w:rPr>
        <w:t xml:space="preserve"> та </w:t>
      </w:r>
      <w:r w:rsidR="00863F2B">
        <w:rPr>
          <w:rFonts w:ascii="Times New Roman" w:hAnsi="Times New Roman" w:cs="Times New Roman"/>
          <w:lang w:val="uk-UA"/>
        </w:rPr>
        <w:t xml:space="preserve">його основного </w:t>
      </w:r>
      <w:r w:rsidR="00ED6FDE">
        <w:rPr>
          <w:rFonts w:ascii="Times New Roman" w:hAnsi="Times New Roman" w:cs="Times New Roman"/>
          <w:lang w:val="uk-UA"/>
        </w:rPr>
        <w:t>метаболіт</w:t>
      </w:r>
      <w:r w:rsidR="00863F2B">
        <w:rPr>
          <w:rFonts w:ascii="Times New Roman" w:hAnsi="Times New Roman" w:cs="Times New Roman"/>
          <w:lang w:val="uk-UA"/>
        </w:rPr>
        <w:t>у</w:t>
      </w:r>
      <w:r w:rsidR="00ED6FDE">
        <w:rPr>
          <w:rFonts w:ascii="Times New Roman" w:hAnsi="Times New Roman" w:cs="Times New Roman"/>
          <w:lang w:val="uk-UA"/>
        </w:rPr>
        <w:t xml:space="preserve"> </w:t>
      </w:r>
      <w:r w:rsidRPr="00BA5C0A">
        <w:rPr>
          <w:rFonts w:ascii="Times New Roman" w:hAnsi="Times New Roman" w:cs="Times New Roman"/>
          <w:lang w:val="uk-UA"/>
        </w:rPr>
        <w:t>GS</w:t>
      </w:r>
      <w:r w:rsidR="00FC6D8A">
        <w:rPr>
          <w:rFonts w:ascii="Times New Roman" w:hAnsi="Times New Roman" w:cs="Times New Roman"/>
          <w:lang w:val="uk-UA"/>
        </w:rPr>
        <w:t>–</w:t>
      </w:r>
      <w:r w:rsidRPr="00BA5C0A">
        <w:rPr>
          <w:rFonts w:ascii="Times New Roman" w:hAnsi="Times New Roman" w:cs="Times New Roman"/>
          <w:lang w:val="uk-UA"/>
        </w:rPr>
        <w:t xml:space="preserve">331007 не </w:t>
      </w:r>
      <w:r w:rsidR="00863F2B">
        <w:rPr>
          <w:rFonts w:ascii="Times New Roman" w:hAnsi="Times New Roman" w:cs="Times New Roman"/>
          <w:lang w:val="uk-UA"/>
        </w:rPr>
        <w:t>відбувалося</w:t>
      </w:r>
      <w:r w:rsidRPr="00BA5C0A">
        <w:rPr>
          <w:rFonts w:ascii="Times New Roman" w:hAnsi="Times New Roman" w:cs="Times New Roman"/>
          <w:lang w:val="uk-UA"/>
        </w:rPr>
        <w:t xml:space="preserve"> у пацієнтів, які проходили гемодіаліз.</w:t>
      </w:r>
      <w:r w:rsidRPr="00BA5C0A">
        <w:rPr>
          <w:rFonts w:ascii="Times New Roman" w:hAnsi="Times New Roman" w:cs="Times New Roman"/>
          <w:vertAlign w:val="superscript"/>
          <w:lang w:val="uk-UA"/>
        </w:rPr>
        <w:t>61</w:t>
      </w:r>
      <w:r w:rsidRPr="00BA5C0A">
        <w:rPr>
          <w:rFonts w:ascii="Times New Roman" w:hAnsi="Times New Roman" w:cs="Times New Roman"/>
          <w:lang w:val="uk-UA"/>
        </w:rPr>
        <w:t xml:space="preserve"> Загалом</w:t>
      </w:r>
      <w:r w:rsidR="00863F2B">
        <w:rPr>
          <w:rFonts w:ascii="Times New Roman" w:hAnsi="Times New Roman" w:cs="Times New Roman"/>
          <w:lang w:val="uk-UA"/>
        </w:rPr>
        <w:t>,</w:t>
      </w:r>
      <w:r w:rsidRPr="00BA5C0A">
        <w:rPr>
          <w:rFonts w:ascii="Times New Roman" w:hAnsi="Times New Roman" w:cs="Times New Roman"/>
          <w:lang w:val="uk-UA"/>
        </w:rPr>
        <w:t xml:space="preserve"> відповідна терапевтична доза софосбувіру у пацієнтів з </w:t>
      </w:r>
      <w:r w:rsidR="003C163F">
        <w:rPr>
          <w:rFonts w:ascii="Times New Roman" w:hAnsi="Times New Roman" w:cs="Times New Roman"/>
          <w:lang w:val="uk-UA"/>
        </w:rPr>
        <w:t>вираженою</w:t>
      </w:r>
      <w:r w:rsidR="003C163F" w:rsidRPr="00BA5C0A">
        <w:rPr>
          <w:rFonts w:ascii="Times New Roman" w:hAnsi="Times New Roman" w:cs="Times New Roman"/>
          <w:lang w:val="uk-UA"/>
        </w:rPr>
        <w:t xml:space="preserve"> </w:t>
      </w:r>
      <w:r w:rsidRPr="00BA5C0A">
        <w:rPr>
          <w:rFonts w:ascii="Times New Roman" w:hAnsi="Times New Roman" w:cs="Times New Roman"/>
          <w:lang w:val="uk-UA"/>
        </w:rPr>
        <w:t xml:space="preserve">або </w:t>
      </w:r>
      <w:r w:rsidR="00863F2B">
        <w:rPr>
          <w:rFonts w:ascii="Times New Roman" w:hAnsi="Times New Roman" w:cs="Times New Roman"/>
          <w:lang w:val="uk-UA"/>
        </w:rPr>
        <w:t>термінальною</w:t>
      </w:r>
      <w:r w:rsidRPr="00BA5C0A">
        <w:rPr>
          <w:rFonts w:ascii="Times New Roman" w:hAnsi="Times New Roman" w:cs="Times New Roman"/>
          <w:lang w:val="uk-UA"/>
        </w:rPr>
        <w:t xml:space="preserve"> стадією ниркової недостатності не встановлен</w:t>
      </w:r>
      <w:r w:rsidR="00DC2873">
        <w:rPr>
          <w:rFonts w:ascii="Times New Roman" w:hAnsi="Times New Roman" w:cs="Times New Roman"/>
          <w:lang w:val="uk-UA"/>
        </w:rPr>
        <w:t>а</w:t>
      </w:r>
      <w:r w:rsidRPr="00BA5C0A">
        <w:rPr>
          <w:rFonts w:ascii="Times New Roman" w:hAnsi="Times New Roman" w:cs="Times New Roman"/>
          <w:lang w:val="uk-UA"/>
        </w:rPr>
        <w:t>.</w:t>
      </w:r>
    </w:p>
    <w:p w14:paraId="6A53FF00" w14:textId="77777777" w:rsidR="00BA5C0A" w:rsidRPr="00BA5C0A" w:rsidRDefault="00BA5C0A" w:rsidP="00BA5C0A">
      <w:pPr>
        <w:jc w:val="both"/>
        <w:rPr>
          <w:rFonts w:ascii="Times New Roman" w:hAnsi="Times New Roman" w:cs="Times New Roman"/>
          <w:lang w:val="uk-UA"/>
        </w:rPr>
      </w:pPr>
    </w:p>
    <w:p w14:paraId="336A9890" w14:textId="610226EF"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Таким чином, пацієнти з важкими порушеннями функції нирок або термінальною стадією ниркової недостатності</w:t>
      </w:r>
      <w:r w:rsidR="00254EAB">
        <w:rPr>
          <w:rFonts w:ascii="Times New Roman" w:hAnsi="Times New Roman" w:cs="Times New Roman"/>
          <w:lang w:val="uk-UA"/>
        </w:rPr>
        <w:t>, що перебувають</w:t>
      </w:r>
      <w:r w:rsidRPr="00BA5C0A">
        <w:rPr>
          <w:rFonts w:ascii="Times New Roman" w:hAnsi="Times New Roman" w:cs="Times New Roman"/>
          <w:lang w:val="uk-UA"/>
        </w:rPr>
        <w:t xml:space="preserve"> на гемодіалізі, можуть лікувати ВГС, але </w:t>
      </w:r>
      <w:r w:rsidR="00254EAB">
        <w:rPr>
          <w:rFonts w:ascii="Times New Roman" w:hAnsi="Times New Roman" w:cs="Times New Roman"/>
          <w:lang w:val="uk-UA"/>
        </w:rPr>
        <w:t xml:space="preserve">слід </w:t>
      </w:r>
      <w:r w:rsidRPr="00BA5C0A">
        <w:rPr>
          <w:rFonts w:ascii="Times New Roman" w:hAnsi="Times New Roman" w:cs="Times New Roman"/>
          <w:lang w:val="uk-UA"/>
        </w:rPr>
        <w:t xml:space="preserve">віддавати перевагу режимам без софосбувіру. Якщо не існує іншого вибору, крім схеми на основі софосбувіру, необхідно провести ретельний моніторинг і швидко переривати лікування, якщо функція нирок погіршується. </w:t>
      </w:r>
      <w:r w:rsidR="00555235">
        <w:rPr>
          <w:rFonts w:ascii="Times New Roman" w:hAnsi="Times New Roman" w:cs="Times New Roman"/>
          <w:lang w:val="uk-UA"/>
        </w:rPr>
        <w:t xml:space="preserve">У випадку </w:t>
      </w:r>
      <w:r w:rsidR="00555235" w:rsidRPr="00555235">
        <w:rPr>
          <w:rFonts w:ascii="Times New Roman" w:hAnsi="Times New Roman" w:cs="Times New Roman"/>
          <w:lang w:val="uk-UA"/>
        </w:rPr>
        <w:t>термінальної</w:t>
      </w:r>
      <w:r w:rsidR="00254EAB" w:rsidRPr="00555235">
        <w:rPr>
          <w:rFonts w:ascii="Times New Roman" w:hAnsi="Times New Roman" w:cs="Times New Roman"/>
          <w:lang w:val="uk-UA"/>
        </w:rPr>
        <w:t xml:space="preserve"> </w:t>
      </w:r>
      <w:r w:rsidR="0071381B" w:rsidRPr="00555235">
        <w:rPr>
          <w:rFonts w:ascii="Times New Roman" w:hAnsi="Times New Roman" w:cs="Times New Roman"/>
          <w:lang w:val="uk-UA"/>
        </w:rPr>
        <w:t>стаді</w:t>
      </w:r>
      <w:r w:rsidR="00555235" w:rsidRPr="00555235">
        <w:rPr>
          <w:rFonts w:ascii="Times New Roman" w:hAnsi="Times New Roman" w:cs="Times New Roman"/>
          <w:lang w:val="uk-UA"/>
        </w:rPr>
        <w:t>ї</w:t>
      </w:r>
      <w:r w:rsidRPr="00555235">
        <w:rPr>
          <w:rFonts w:ascii="Times New Roman" w:hAnsi="Times New Roman" w:cs="Times New Roman"/>
          <w:lang w:val="uk-UA"/>
        </w:rPr>
        <w:t xml:space="preserve"> ниркової недостатності, </w:t>
      </w:r>
      <w:r w:rsidR="00555235" w:rsidRPr="00555235">
        <w:rPr>
          <w:rFonts w:ascii="Times New Roman" w:hAnsi="Times New Roman" w:cs="Times New Roman"/>
          <w:lang w:val="uk-UA"/>
        </w:rPr>
        <w:t xml:space="preserve">для пацієнтів, </w:t>
      </w:r>
      <w:r w:rsidR="0071381B" w:rsidRPr="00555235">
        <w:rPr>
          <w:rFonts w:ascii="Times New Roman" w:hAnsi="Times New Roman" w:cs="Times New Roman"/>
          <w:lang w:val="uk-UA"/>
        </w:rPr>
        <w:t xml:space="preserve">які перебувають на діалізі, </w:t>
      </w:r>
      <w:r w:rsidRPr="00555235">
        <w:rPr>
          <w:rFonts w:ascii="Times New Roman" w:hAnsi="Times New Roman" w:cs="Times New Roman"/>
          <w:lang w:val="uk-UA"/>
        </w:rPr>
        <w:t>т</w:t>
      </w:r>
      <w:r w:rsidR="00863F2B" w:rsidRPr="00555235">
        <w:rPr>
          <w:rFonts w:ascii="Times New Roman" w:hAnsi="Times New Roman" w:cs="Times New Roman"/>
          <w:lang w:val="uk-UA"/>
        </w:rPr>
        <w:t xml:space="preserve">ривалість </w:t>
      </w:r>
      <w:r w:rsidRPr="00555235">
        <w:rPr>
          <w:rFonts w:ascii="Times New Roman" w:hAnsi="Times New Roman" w:cs="Times New Roman"/>
          <w:lang w:val="uk-UA"/>
        </w:rPr>
        <w:t>лікування має важливе значення, тобто лікування до або після трансплантації, якщо вон</w:t>
      </w:r>
      <w:r w:rsidR="00254EAB" w:rsidRPr="00555235">
        <w:rPr>
          <w:rFonts w:ascii="Times New Roman" w:hAnsi="Times New Roman" w:cs="Times New Roman"/>
          <w:lang w:val="uk-UA"/>
        </w:rPr>
        <w:t>и</w:t>
      </w:r>
      <w:r w:rsidRPr="00555235">
        <w:rPr>
          <w:rFonts w:ascii="Times New Roman" w:hAnsi="Times New Roman" w:cs="Times New Roman"/>
          <w:lang w:val="uk-UA"/>
        </w:rPr>
        <w:t xml:space="preserve"> є кандидатами на</w:t>
      </w:r>
      <w:r w:rsidR="00555235" w:rsidRPr="00555235">
        <w:rPr>
          <w:rFonts w:ascii="Times New Roman" w:hAnsi="Times New Roman" w:cs="Times New Roman"/>
          <w:lang w:val="uk-UA"/>
        </w:rPr>
        <w:t xml:space="preserve"> трансплантацію</w:t>
      </w:r>
      <w:r w:rsidR="0071381B" w:rsidRPr="00555235">
        <w:rPr>
          <w:rFonts w:ascii="Times New Roman" w:hAnsi="Times New Roman" w:cs="Times New Roman"/>
          <w:lang w:val="uk-UA"/>
        </w:rPr>
        <w:t>;</w:t>
      </w:r>
      <w:r w:rsidRPr="00555235">
        <w:rPr>
          <w:rFonts w:ascii="Times New Roman" w:hAnsi="Times New Roman" w:cs="Times New Roman"/>
          <w:lang w:val="uk-UA"/>
        </w:rPr>
        <w:t xml:space="preserve"> </w:t>
      </w:r>
      <w:r w:rsidR="0071381B" w:rsidRPr="00555235">
        <w:rPr>
          <w:rFonts w:ascii="Times New Roman" w:hAnsi="Times New Roman" w:cs="Times New Roman"/>
          <w:lang w:val="uk-UA"/>
        </w:rPr>
        <w:t xml:space="preserve">у випадку, якщо трансплантація нирки неможлива, мають враховуватися </w:t>
      </w:r>
      <w:r w:rsidRPr="00555235">
        <w:rPr>
          <w:rFonts w:ascii="Times New Roman" w:hAnsi="Times New Roman" w:cs="Times New Roman"/>
          <w:lang w:val="uk-UA"/>
        </w:rPr>
        <w:t>ризики та переваги</w:t>
      </w:r>
      <w:r w:rsidR="00555235" w:rsidRPr="00555235">
        <w:rPr>
          <w:rFonts w:ascii="Times New Roman" w:hAnsi="Times New Roman" w:cs="Times New Roman"/>
          <w:lang w:val="uk-UA"/>
        </w:rPr>
        <w:t xml:space="preserve"> лікування</w:t>
      </w:r>
      <w:r w:rsidR="0071381B">
        <w:rPr>
          <w:rFonts w:ascii="Times New Roman" w:hAnsi="Times New Roman" w:cs="Times New Roman"/>
          <w:lang w:val="uk-UA"/>
        </w:rPr>
        <w:t>.</w:t>
      </w:r>
    </w:p>
    <w:p w14:paraId="1B6BA5EE" w14:textId="77777777" w:rsidR="00BA5C0A" w:rsidRPr="00BA5C0A" w:rsidRDefault="00BA5C0A" w:rsidP="00BA5C0A">
      <w:pPr>
        <w:jc w:val="both"/>
        <w:rPr>
          <w:rFonts w:ascii="Times New Roman" w:hAnsi="Times New Roman" w:cs="Times New Roman"/>
          <w:lang w:val="uk-UA"/>
        </w:rPr>
      </w:pPr>
    </w:p>
    <w:p w14:paraId="0BC9583B" w14:textId="68FEE353"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Кілька клінічних випробувань підтвердили ефективність та безпечність схем, що не містять софосбувіру, у пацієнтів з тяжким порушенням функції нирок. У дослідженні </w:t>
      </w:r>
      <w:r w:rsidRPr="00BA5C0A">
        <w:rPr>
          <w:rFonts w:ascii="Times New Roman" w:hAnsi="Times New Roman" w:cs="Times New Roman"/>
          <w:lang w:val="en-US"/>
        </w:rPr>
        <w:t>RUBY</w:t>
      </w:r>
      <w:r w:rsidR="00FC6D8A">
        <w:rPr>
          <w:rFonts w:ascii="Times New Roman" w:hAnsi="Times New Roman" w:cs="Times New Roman"/>
          <w:lang w:val="uk-UA"/>
        </w:rPr>
        <w:t>–</w:t>
      </w:r>
      <w:r w:rsidRPr="00BA5C0A">
        <w:rPr>
          <w:rFonts w:ascii="Times New Roman" w:hAnsi="Times New Roman" w:cs="Times New Roman"/>
          <w:lang w:val="uk-UA"/>
        </w:rPr>
        <w:t xml:space="preserve">1 пацієнти, інфіковані генотипом 1 без цирозу, з 4 або 5 стадією ХХН, протягом 12 тижнів проходили лікування </w:t>
      </w:r>
      <w:r w:rsidR="006326A5">
        <w:rPr>
          <w:rFonts w:ascii="Times New Roman" w:hAnsi="Times New Roman" w:cs="Times New Roman"/>
          <w:lang w:val="uk-UA"/>
        </w:rPr>
        <w:t>комбінацією</w:t>
      </w:r>
      <w:r w:rsidRPr="00BA5C0A">
        <w:rPr>
          <w:rFonts w:ascii="Times New Roman" w:hAnsi="Times New Roman" w:cs="Times New Roman"/>
          <w:lang w:val="uk-UA"/>
        </w:rPr>
        <w:t xml:space="preserve"> </w:t>
      </w:r>
      <w:r w:rsidR="006326A5" w:rsidRPr="006326A5">
        <w:rPr>
          <w:rFonts w:ascii="Times New Roman" w:hAnsi="Times New Roman" w:cs="Times New Roman"/>
          <w:lang w:val="uk-UA"/>
        </w:rPr>
        <w:t>омбітасвіру, паритапревіру, ритонавіру та дасабувіру</w:t>
      </w:r>
      <w:r w:rsidRPr="00BA5C0A">
        <w:rPr>
          <w:rFonts w:ascii="Times New Roman" w:hAnsi="Times New Roman" w:cs="Times New Roman"/>
          <w:lang w:val="uk-UA"/>
        </w:rPr>
        <w:t>. Сім пацієнтів, інфікованих генотипом 1b, лікувалися без рибавірину, і всі вони досягли СВВ.</w:t>
      </w:r>
      <w:r w:rsidRPr="00BA5C0A">
        <w:rPr>
          <w:rFonts w:ascii="Times New Roman" w:hAnsi="Times New Roman" w:cs="Times New Roman"/>
          <w:vertAlign w:val="superscript"/>
          <w:lang w:val="uk-UA"/>
        </w:rPr>
        <w:t>183</w:t>
      </w:r>
    </w:p>
    <w:p w14:paraId="464A8ED3" w14:textId="77777777" w:rsidR="00BA5C0A" w:rsidRPr="00BA5C0A" w:rsidRDefault="00BA5C0A" w:rsidP="00BA5C0A">
      <w:pPr>
        <w:jc w:val="both"/>
        <w:rPr>
          <w:rFonts w:ascii="Times New Roman" w:hAnsi="Times New Roman" w:cs="Times New Roman"/>
          <w:lang w:val="uk-UA"/>
        </w:rPr>
      </w:pPr>
    </w:p>
    <w:p w14:paraId="355601C1" w14:textId="32707999"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У дослідженні C</w:t>
      </w:r>
      <w:r w:rsidR="00FC6D8A">
        <w:rPr>
          <w:rFonts w:ascii="Times New Roman" w:hAnsi="Times New Roman" w:cs="Times New Roman"/>
          <w:lang w:val="uk-UA"/>
        </w:rPr>
        <w:t>–</w:t>
      </w:r>
      <w:r w:rsidRPr="00BA5C0A">
        <w:rPr>
          <w:rFonts w:ascii="Times New Roman" w:hAnsi="Times New Roman" w:cs="Times New Roman"/>
          <w:lang w:val="uk-UA"/>
        </w:rPr>
        <w:t xml:space="preserve">SURFER 122 пацієнта, інфікованих </w:t>
      </w:r>
      <w:r w:rsidR="003C163F">
        <w:rPr>
          <w:rFonts w:ascii="Times New Roman" w:hAnsi="Times New Roman" w:cs="Times New Roman"/>
          <w:lang w:val="uk-UA"/>
        </w:rPr>
        <w:t xml:space="preserve">1 генотипом </w:t>
      </w:r>
      <w:r w:rsidRPr="00BA5C0A">
        <w:rPr>
          <w:rFonts w:ascii="Times New Roman" w:hAnsi="Times New Roman" w:cs="Times New Roman"/>
          <w:lang w:val="uk-UA"/>
        </w:rPr>
        <w:t>ВГС (у тому числі 6% з цирозом печінки) з 4 або 5 стадіями ХХН, у тому числі 75%</w:t>
      </w:r>
      <w:r w:rsidR="003C163F">
        <w:rPr>
          <w:rFonts w:ascii="Times New Roman" w:hAnsi="Times New Roman" w:cs="Times New Roman"/>
          <w:lang w:val="uk-UA"/>
        </w:rPr>
        <w:t xml:space="preserve"> тих, які перебувають</w:t>
      </w:r>
      <w:r w:rsidRPr="00BA5C0A">
        <w:rPr>
          <w:rFonts w:ascii="Times New Roman" w:hAnsi="Times New Roman" w:cs="Times New Roman"/>
          <w:lang w:val="uk-UA"/>
        </w:rPr>
        <w:t xml:space="preserve"> на гемодіалізі, лікувалися гразопревіром та ельбасвіром протягом 12 тижнів без рибавірину. Частота СВВ12 становила 94% (115/122), причому була тільки одна вірусологічна невдача. Найпоширен</w:t>
      </w:r>
      <w:r w:rsidR="00DA25AC">
        <w:rPr>
          <w:rFonts w:ascii="Times New Roman" w:hAnsi="Times New Roman" w:cs="Times New Roman"/>
          <w:lang w:val="uk-UA"/>
        </w:rPr>
        <w:t>іши</w:t>
      </w:r>
      <w:r w:rsidRPr="00BA5C0A">
        <w:rPr>
          <w:rFonts w:ascii="Times New Roman" w:hAnsi="Times New Roman" w:cs="Times New Roman"/>
          <w:lang w:val="uk-UA"/>
        </w:rPr>
        <w:t xml:space="preserve">ми побічними </w:t>
      </w:r>
      <w:r w:rsidR="00DA25AC">
        <w:rPr>
          <w:rFonts w:ascii="Times New Roman" w:hAnsi="Times New Roman" w:cs="Times New Roman"/>
          <w:lang w:val="uk-UA"/>
        </w:rPr>
        <w:t>реакціями</w:t>
      </w:r>
      <w:r w:rsidRPr="00BA5C0A">
        <w:rPr>
          <w:rFonts w:ascii="Times New Roman" w:hAnsi="Times New Roman" w:cs="Times New Roman"/>
          <w:lang w:val="uk-UA"/>
        </w:rPr>
        <w:t xml:space="preserve"> були головний біль, нудота та підвищена стомлюваність.</w:t>
      </w:r>
      <w:r w:rsidR="003C163F">
        <w:rPr>
          <w:rFonts w:ascii="Times New Roman" w:hAnsi="Times New Roman" w:cs="Times New Roman"/>
          <w:lang w:val="uk-UA"/>
        </w:rPr>
        <w:t xml:space="preserve"> Зазначені симптоми були однакові у групі, як</w:t>
      </w:r>
      <w:r w:rsidR="00DA25AC">
        <w:rPr>
          <w:rFonts w:ascii="Times New Roman" w:hAnsi="Times New Roman" w:cs="Times New Roman"/>
          <w:lang w:val="uk-UA"/>
        </w:rPr>
        <w:t>а</w:t>
      </w:r>
      <w:r w:rsidR="003C163F">
        <w:rPr>
          <w:rFonts w:ascii="Times New Roman" w:hAnsi="Times New Roman" w:cs="Times New Roman"/>
          <w:lang w:val="uk-UA"/>
        </w:rPr>
        <w:t xml:space="preserve"> отримувал</w:t>
      </w:r>
      <w:r w:rsidR="00DA25AC">
        <w:rPr>
          <w:rFonts w:ascii="Times New Roman" w:hAnsi="Times New Roman" w:cs="Times New Roman"/>
          <w:lang w:val="uk-UA"/>
        </w:rPr>
        <w:t>а</w:t>
      </w:r>
      <w:r w:rsidR="003C163F">
        <w:rPr>
          <w:rFonts w:ascii="Times New Roman" w:hAnsi="Times New Roman" w:cs="Times New Roman"/>
          <w:lang w:val="uk-UA"/>
        </w:rPr>
        <w:t xml:space="preserve"> лікування, та у групі, яка отримувала плацебо.</w:t>
      </w:r>
      <w:r w:rsidRPr="00BA5C0A">
        <w:rPr>
          <w:rFonts w:ascii="Times New Roman" w:hAnsi="Times New Roman" w:cs="Times New Roman"/>
          <w:lang w:val="uk-UA"/>
        </w:rPr>
        <w:t xml:space="preserve"> Частота побічних реакцій зі сторони ниркової системи бул</w:t>
      </w:r>
      <w:r w:rsidR="00DA25AC">
        <w:rPr>
          <w:rFonts w:ascii="Times New Roman" w:hAnsi="Times New Roman" w:cs="Times New Roman"/>
          <w:lang w:val="uk-UA"/>
        </w:rPr>
        <w:t xml:space="preserve">а аналогічна у різних </w:t>
      </w:r>
      <w:r w:rsidRPr="00BA5C0A">
        <w:rPr>
          <w:rFonts w:ascii="Times New Roman" w:hAnsi="Times New Roman" w:cs="Times New Roman"/>
          <w:lang w:val="uk-UA"/>
        </w:rPr>
        <w:t>група</w:t>
      </w:r>
      <w:r w:rsidR="00DA25AC">
        <w:rPr>
          <w:rFonts w:ascii="Times New Roman" w:hAnsi="Times New Roman" w:cs="Times New Roman"/>
          <w:lang w:val="uk-UA"/>
        </w:rPr>
        <w:t xml:space="preserve">х. </w:t>
      </w:r>
      <w:r w:rsidRPr="00BA5C0A">
        <w:rPr>
          <w:rFonts w:ascii="Times New Roman" w:hAnsi="Times New Roman" w:cs="Times New Roman"/>
          <w:vertAlign w:val="superscript"/>
          <w:lang w:val="uk-UA"/>
        </w:rPr>
        <w:t>184.</w:t>
      </w:r>
      <w:r w:rsidRPr="00BA5C0A">
        <w:rPr>
          <w:rFonts w:ascii="Times New Roman" w:hAnsi="Times New Roman" w:cs="Times New Roman"/>
          <w:lang w:val="uk-UA"/>
        </w:rPr>
        <w:t xml:space="preserve"> Були повідомлення про дані безпечності та ефективності лікування групи</w:t>
      </w:r>
      <w:r w:rsidR="00DA25AC">
        <w:rPr>
          <w:rFonts w:ascii="Times New Roman" w:hAnsi="Times New Roman" w:cs="Times New Roman"/>
          <w:lang w:val="uk-UA"/>
        </w:rPr>
        <w:t xml:space="preserve">, лікування якої було відтерміноване, </w:t>
      </w:r>
      <w:r w:rsidRPr="00BA5C0A">
        <w:rPr>
          <w:rFonts w:ascii="Times New Roman" w:hAnsi="Times New Roman" w:cs="Times New Roman"/>
          <w:lang w:val="uk-UA"/>
        </w:rPr>
        <w:t>з показником СВВ 98% (97/99)</w:t>
      </w:r>
      <w:r w:rsidRPr="00BA5C0A">
        <w:rPr>
          <w:rFonts w:ascii="Times New Roman" w:hAnsi="Times New Roman" w:cs="Times New Roman"/>
          <w:vertAlign w:val="superscript"/>
          <w:lang w:val="uk-UA"/>
        </w:rPr>
        <w:t>185</w:t>
      </w:r>
      <w:r w:rsidRPr="00BA5C0A">
        <w:rPr>
          <w:rFonts w:ascii="Times New Roman" w:hAnsi="Times New Roman" w:cs="Times New Roman"/>
          <w:lang w:val="uk-UA"/>
        </w:rPr>
        <w:t>. Реальне дослідження з використанням тієї ж схеми серед американських пацієнтів з різними стадіями ХХН показало, що СВВ було досягнуто у 97% (758/781) пацієнтів зі стадією 3 та у 96% (714/747) пацієнтів зі стадією 4 або 5 ХХН.</w:t>
      </w:r>
      <w:r w:rsidRPr="00BA5C0A">
        <w:rPr>
          <w:rFonts w:ascii="Times New Roman" w:hAnsi="Times New Roman" w:cs="Times New Roman"/>
          <w:vertAlign w:val="superscript"/>
          <w:lang w:val="uk-UA"/>
        </w:rPr>
        <w:t>186</w:t>
      </w:r>
    </w:p>
    <w:p w14:paraId="3F8E1F6E" w14:textId="77777777" w:rsidR="00BA5C0A" w:rsidRPr="00BA5C0A" w:rsidRDefault="00BA5C0A" w:rsidP="00BA5C0A">
      <w:pPr>
        <w:jc w:val="both"/>
        <w:rPr>
          <w:rFonts w:ascii="Times New Roman" w:hAnsi="Times New Roman" w:cs="Times New Roman"/>
          <w:lang w:val="uk-UA"/>
        </w:rPr>
      </w:pPr>
    </w:p>
    <w:p w14:paraId="4A58A264" w14:textId="314F12E0" w:rsidR="00BA5C0A" w:rsidRPr="00BA5C0A" w:rsidRDefault="00BA5C0A" w:rsidP="00BA5C0A">
      <w:pPr>
        <w:jc w:val="both"/>
        <w:rPr>
          <w:rFonts w:ascii="Times New Roman" w:hAnsi="Times New Roman" w:cs="Times New Roman"/>
          <w:vertAlign w:val="superscript"/>
          <w:lang w:val="uk-UA"/>
        </w:rPr>
      </w:pPr>
      <w:r w:rsidRPr="00BA5C0A">
        <w:rPr>
          <w:rFonts w:ascii="Times New Roman" w:hAnsi="Times New Roman" w:cs="Times New Roman"/>
          <w:lang w:val="uk-UA"/>
        </w:rPr>
        <w:t xml:space="preserve">Фаза III дослідження </w:t>
      </w:r>
      <w:r w:rsidRPr="00BA5C0A">
        <w:rPr>
          <w:rFonts w:ascii="Times New Roman" w:hAnsi="Times New Roman" w:cs="Times New Roman"/>
          <w:lang w:val="en-US"/>
        </w:rPr>
        <w:t>EXPEDITION</w:t>
      </w:r>
      <w:r w:rsidR="00FC6D8A">
        <w:rPr>
          <w:rFonts w:ascii="Times New Roman" w:hAnsi="Times New Roman" w:cs="Times New Roman"/>
          <w:lang w:val="uk-UA"/>
        </w:rPr>
        <w:t>–</w:t>
      </w:r>
      <w:r w:rsidRPr="00BA5C0A">
        <w:rPr>
          <w:rFonts w:ascii="Times New Roman" w:hAnsi="Times New Roman" w:cs="Times New Roman"/>
          <w:lang w:val="uk-UA"/>
        </w:rPr>
        <w:t xml:space="preserve">4, охоплювала пацієнтів з 4 або 5 стадіями ХХН, які отримували комбінацію фіксованих доз глекапревіру та пібрентасвіру протягом 12 тижнів. З 104 пацієнтів 23 були інфіковані генотипом 1а, 29 </w:t>
      </w:r>
      <w:r w:rsidR="00FC6D8A" w:rsidRPr="00FC6D8A">
        <w:rPr>
          <w:rFonts w:ascii="Times New Roman" w:hAnsi="Times New Roman" w:cs="Times New Roman"/>
          <w:lang w:val="uk-UA"/>
        </w:rPr>
        <w:t>–</w:t>
      </w:r>
      <w:r w:rsidRPr="00BA5C0A">
        <w:rPr>
          <w:rFonts w:ascii="Times New Roman" w:hAnsi="Times New Roman" w:cs="Times New Roman"/>
          <w:lang w:val="uk-UA"/>
        </w:rPr>
        <w:t xml:space="preserve"> генотипом 1b, </w:t>
      </w:r>
      <w:r w:rsidRPr="00681632">
        <w:rPr>
          <w:rFonts w:ascii="Times New Roman" w:hAnsi="Times New Roman" w:cs="Times New Roman"/>
          <w:lang w:val="uk-UA"/>
        </w:rPr>
        <w:t xml:space="preserve">2 </w:t>
      </w:r>
      <w:r w:rsidR="00FC6D8A" w:rsidRPr="00FC6D8A">
        <w:rPr>
          <w:rFonts w:ascii="Times New Roman" w:hAnsi="Times New Roman" w:cs="Times New Roman"/>
          <w:lang w:val="uk-UA"/>
        </w:rPr>
        <w:t>–</w:t>
      </w:r>
      <w:r w:rsidRPr="00681632">
        <w:rPr>
          <w:rFonts w:ascii="Times New Roman" w:hAnsi="Times New Roman" w:cs="Times New Roman"/>
          <w:lang w:val="uk-UA"/>
        </w:rPr>
        <w:t xml:space="preserve"> іншим підтипом 1</w:t>
      </w:r>
      <w:r w:rsidR="00FC6D8A">
        <w:rPr>
          <w:rFonts w:ascii="Times New Roman" w:hAnsi="Times New Roman" w:cs="Times New Roman"/>
          <w:lang w:val="uk-UA"/>
        </w:rPr>
        <w:t>–</w:t>
      </w:r>
      <w:r w:rsidRPr="00681632">
        <w:rPr>
          <w:rFonts w:ascii="Times New Roman" w:hAnsi="Times New Roman" w:cs="Times New Roman"/>
          <w:lang w:val="uk-UA"/>
        </w:rPr>
        <w:t>го генотипу,</w:t>
      </w:r>
      <w:r w:rsidRPr="00BA5C0A">
        <w:rPr>
          <w:rFonts w:ascii="Times New Roman" w:hAnsi="Times New Roman" w:cs="Times New Roman"/>
          <w:lang w:val="uk-UA"/>
        </w:rPr>
        <w:t xml:space="preserve"> 17 </w:t>
      </w:r>
      <w:r w:rsidR="00FC6D8A" w:rsidRPr="00FC6D8A">
        <w:rPr>
          <w:rFonts w:ascii="Times New Roman" w:hAnsi="Times New Roman" w:cs="Times New Roman"/>
          <w:lang w:val="uk-UA"/>
        </w:rPr>
        <w:t>–</w:t>
      </w:r>
      <w:r w:rsidRPr="00BA5C0A">
        <w:rPr>
          <w:rFonts w:ascii="Times New Roman" w:hAnsi="Times New Roman" w:cs="Times New Roman"/>
          <w:lang w:val="uk-UA"/>
        </w:rPr>
        <w:t xml:space="preserve"> генотипом 2, 11 </w:t>
      </w:r>
      <w:r w:rsidR="00FC6D8A" w:rsidRPr="00FC6D8A">
        <w:rPr>
          <w:rFonts w:ascii="Times New Roman" w:hAnsi="Times New Roman" w:cs="Times New Roman"/>
          <w:lang w:val="uk-UA"/>
        </w:rPr>
        <w:t>–</w:t>
      </w:r>
      <w:r w:rsidRPr="00BA5C0A">
        <w:rPr>
          <w:rFonts w:ascii="Times New Roman" w:hAnsi="Times New Roman" w:cs="Times New Roman"/>
          <w:lang w:val="uk-UA"/>
        </w:rPr>
        <w:t xml:space="preserve"> генотипом 3, 20 </w:t>
      </w:r>
      <w:r w:rsidR="00FC6D8A" w:rsidRPr="00FC6D8A">
        <w:rPr>
          <w:rFonts w:ascii="Times New Roman" w:hAnsi="Times New Roman" w:cs="Times New Roman"/>
          <w:lang w:val="uk-UA"/>
        </w:rPr>
        <w:t>–</w:t>
      </w:r>
      <w:r w:rsidRPr="00BA5C0A">
        <w:rPr>
          <w:rFonts w:ascii="Times New Roman" w:hAnsi="Times New Roman" w:cs="Times New Roman"/>
          <w:lang w:val="uk-UA"/>
        </w:rPr>
        <w:t xml:space="preserve"> генотипом 4, 1 </w:t>
      </w:r>
      <w:r w:rsidR="00FC6D8A" w:rsidRPr="00FC6D8A">
        <w:rPr>
          <w:rFonts w:ascii="Times New Roman" w:hAnsi="Times New Roman" w:cs="Times New Roman"/>
          <w:lang w:val="uk-UA"/>
        </w:rPr>
        <w:t>–</w:t>
      </w:r>
      <w:r w:rsidRPr="00BA5C0A">
        <w:rPr>
          <w:rFonts w:ascii="Times New Roman" w:hAnsi="Times New Roman" w:cs="Times New Roman"/>
          <w:lang w:val="uk-UA"/>
        </w:rPr>
        <w:t xml:space="preserve"> генотипом 5 та 1 </w:t>
      </w:r>
      <w:r w:rsidR="00FC6D8A" w:rsidRPr="00FC6D8A">
        <w:rPr>
          <w:rFonts w:ascii="Times New Roman" w:hAnsi="Times New Roman" w:cs="Times New Roman"/>
          <w:lang w:val="uk-UA"/>
        </w:rPr>
        <w:t xml:space="preserve">– </w:t>
      </w:r>
      <w:r w:rsidRPr="00BA5C0A">
        <w:rPr>
          <w:rFonts w:ascii="Times New Roman" w:hAnsi="Times New Roman" w:cs="Times New Roman"/>
          <w:lang w:val="uk-UA"/>
        </w:rPr>
        <w:t>генотипом</w:t>
      </w:r>
      <w:r w:rsidR="00FC6D8A" w:rsidRPr="00FC6D8A">
        <w:rPr>
          <w:rFonts w:ascii="Times New Roman" w:hAnsi="Times New Roman" w:cs="Times New Roman"/>
          <w:lang w:val="uk-UA"/>
        </w:rPr>
        <w:t xml:space="preserve"> </w:t>
      </w:r>
      <w:r w:rsidR="00FC6D8A" w:rsidRPr="00BA5C0A">
        <w:rPr>
          <w:rFonts w:ascii="Times New Roman" w:hAnsi="Times New Roman" w:cs="Times New Roman"/>
          <w:lang w:val="uk-UA"/>
        </w:rPr>
        <w:t>6</w:t>
      </w:r>
      <w:r w:rsidRPr="00BA5C0A">
        <w:rPr>
          <w:rFonts w:ascii="Times New Roman" w:hAnsi="Times New Roman" w:cs="Times New Roman"/>
          <w:lang w:val="uk-UA"/>
        </w:rPr>
        <w:t>. Двадцять пацієнт</w:t>
      </w:r>
      <w:r w:rsidR="00A2572D">
        <w:rPr>
          <w:rFonts w:ascii="Times New Roman" w:hAnsi="Times New Roman" w:cs="Times New Roman"/>
          <w:lang w:val="uk-UA"/>
        </w:rPr>
        <w:t>ів</w:t>
      </w:r>
      <w:r w:rsidRPr="00BA5C0A">
        <w:rPr>
          <w:rFonts w:ascii="Times New Roman" w:hAnsi="Times New Roman" w:cs="Times New Roman"/>
          <w:lang w:val="uk-UA"/>
        </w:rPr>
        <w:t xml:space="preserve"> (19%) мали компенсований цироз і 42% </w:t>
      </w:r>
      <w:r w:rsidR="00FC6D8A" w:rsidRPr="00FC6D8A">
        <w:rPr>
          <w:rFonts w:ascii="Times New Roman" w:hAnsi="Times New Roman" w:cs="Times New Roman"/>
          <w:lang w:val="uk-UA"/>
        </w:rPr>
        <w:t xml:space="preserve">– </w:t>
      </w:r>
      <w:r w:rsidR="003C163F">
        <w:rPr>
          <w:rFonts w:ascii="Times New Roman" w:hAnsi="Times New Roman" w:cs="Times New Roman"/>
          <w:lang w:val="uk-UA"/>
        </w:rPr>
        <w:t xml:space="preserve">попередній </w:t>
      </w:r>
      <w:r w:rsidRPr="00BA5C0A">
        <w:rPr>
          <w:rFonts w:ascii="Times New Roman" w:hAnsi="Times New Roman" w:cs="Times New Roman"/>
          <w:lang w:val="uk-UA"/>
        </w:rPr>
        <w:t>досвід лікування. Частота СВВ12 становила 98% (102/104), причому обидва пацієнти, які не досягли СВВ, мали причини невдачі не пов’язані з вірусологічною вдповіддю.</w:t>
      </w:r>
      <w:r w:rsidRPr="00BA5C0A">
        <w:rPr>
          <w:rFonts w:ascii="Times New Roman" w:hAnsi="Times New Roman" w:cs="Times New Roman"/>
          <w:vertAlign w:val="superscript"/>
          <w:lang w:val="uk-UA"/>
        </w:rPr>
        <w:t>187</w:t>
      </w:r>
      <w:r w:rsidRPr="00BA5C0A">
        <w:rPr>
          <w:rFonts w:ascii="Times New Roman" w:hAnsi="Times New Roman" w:cs="Times New Roman"/>
          <w:lang w:val="uk-UA"/>
        </w:rPr>
        <w:t xml:space="preserve"> Інтегрований аналіз досліджень II і III фази, в яких глікапревір та пібраставір вводили протягом 12 тижнів у 2238 хворих, інфікованих генотипами 1</w:t>
      </w:r>
      <w:r w:rsidR="00FC6D8A" w:rsidRPr="00FC6D8A">
        <w:rPr>
          <w:rFonts w:ascii="Times New Roman" w:hAnsi="Times New Roman" w:cs="Times New Roman"/>
          <w:lang w:val="uk-UA"/>
        </w:rPr>
        <w:t>–</w:t>
      </w:r>
      <w:r w:rsidRPr="00BA5C0A">
        <w:rPr>
          <w:rFonts w:ascii="Times New Roman" w:hAnsi="Times New Roman" w:cs="Times New Roman"/>
          <w:lang w:val="uk-UA"/>
        </w:rPr>
        <w:t>6, показа</w:t>
      </w:r>
      <w:r w:rsidR="00FC6D8A">
        <w:rPr>
          <w:rFonts w:ascii="Times New Roman" w:hAnsi="Times New Roman" w:cs="Times New Roman"/>
          <w:lang w:val="uk-UA"/>
        </w:rPr>
        <w:t>в</w:t>
      </w:r>
      <w:r w:rsidRPr="00BA5C0A">
        <w:rPr>
          <w:rFonts w:ascii="Times New Roman" w:hAnsi="Times New Roman" w:cs="Times New Roman"/>
          <w:lang w:val="uk-UA"/>
        </w:rPr>
        <w:t xml:space="preserve"> загальну частоту СВВ 98% (2 188/2238), без різниці між пацієнтами з ХХН стадією 1</w:t>
      </w:r>
      <w:r w:rsidR="00FC6D8A">
        <w:rPr>
          <w:rFonts w:ascii="Times New Roman" w:hAnsi="Times New Roman" w:cs="Times New Roman"/>
          <w:lang w:val="uk-UA"/>
        </w:rPr>
        <w:t>–</w:t>
      </w:r>
      <w:r w:rsidRPr="00BA5C0A">
        <w:rPr>
          <w:rFonts w:ascii="Times New Roman" w:hAnsi="Times New Roman" w:cs="Times New Roman"/>
          <w:lang w:val="uk-UA"/>
        </w:rPr>
        <w:t>3 (98%; 2087/2, 135) або 4</w:t>
      </w:r>
      <w:r w:rsidR="00FC6D8A">
        <w:rPr>
          <w:rFonts w:ascii="Times New Roman" w:hAnsi="Times New Roman" w:cs="Times New Roman"/>
          <w:lang w:val="uk-UA"/>
        </w:rPr>
        <w:t>–</w:t>
      </w:r>
      <w:r w:rsidRPr="00BA5C0A">
        <w:rPr>
          <w:rFonts w:ascii="Times New Roman" w:hAnsi="Times New Roman" w:cs="Times New Roman"/>
          <w:lang w:val="uk-UA"/>
        </w:rPr>
        <w:t>5 (98%; 101/103).</w:t>
      </w:r>
      <w:r w:rsidRPr="00BA5C0A">
        <w:rPr>
          <w:rFonts w:ascii="Times New Roman" w:hAnsi="Times New Roman" w:cs="Times New Roman"/>
          <w:vertAlign w:val="superscript"/>
          <w:lang w:val="uk-UA"/>
        </w:rPr>
        <w:t>188</w:t>
      </w:r>
    </w:p>
    <w:p w14:paraId="455AB197" w14:textId="77777777" w:rsidR="00BA5C0A" w:rsidRPr="00BA5C0A" w:rsidRDefault="00BA5C0A" w:rsidP="00BA5C0A">
      <w:pPr>
        <w:jc w:val="both"/>
        <w:rPr>
          <w:rFonts w:ascii="Times New Roman" w:hAnsi="Times New Roman" w:cs="Times New Roman"/>
          <w:lang w:val="uk-UA"/>
        </w:rPr>
      </w:pPr>
    </w:p>
    <w:p w14:paraId="00AF384C" w14:textId="616AAE7B" w:rsidR="00BA5C0A" w:rsidRPr="00BA5C0A" w:rsidRDefault="00FD00E6" w:rsidP="00BA5C0A">
      <w:pPr>
        <w:jc w:val="both"/>
        <w:rPr>
          <w:rFonts w:ascii="Times New Roman" w:hAnsi="Times New Roman" w:cs="Times New Roman"/>
          <w:lang w:val="uk-UA"/>
        </w:rPr>
      </w:pPr>
      <w:r>
        <w:rPr>
          <w:rFonts w:ascii="Times New Roman" w:hAnsi="Times New Roman" w:cs="Times New Roman"/>
          <w:lang w:val="uk-UA"/>
        </w:rPr>
        <w:t>У</w:t>
      </w:r>
      <w:r w:rsidR="00BA5C0A" w:rsidRPr="00BA5C0A">
        <w:rPr>
          <w:rFonts w:ascii="Times New Roman" w:hAnsi="Times New Roman" w:cs="Times New Roman"/>
          <w:lang w:val="uk-UA"/>
        </w:rPr>
        <w:t>раження печінки</w:t>
      </w:r>
      <w:r w:rsidR="00FC6D8A">
        <w:rPr>
          <w:rFonts w:ascii="Times New Roman" w:hAnsi="Times New Roman" w:cs="Times New Roman"/>
          <w:lang w:val="uk-UA"/>
        </w:rPr>
        <w:t xml:space="preserve">, </w:t>
      </w:r>
      <w:r w:rsidR="00BA5C0A" w:rsidRPr="00BA5C0A">
        <w:rPr>
          <w:rFonts w:ascii="Times New Roman" w:hAnsi="Times New Roman" w:cs="Times New Roman"/>
          <w:lang w:val="uk-UA"/>
        </w:rPr>
        <w:t>пов’язане з ВГС</w:t>
      </w:r>
      <w:r w:rsidR="00FC6D8A">
        <w:rPr>
          <w:rFonts w:ascii="Times New Roman" w:hAnsi="Times New Roman" w:cs="Times New Roman"/>
          <w:lang w:val="uk-UA"/>
        </w:rPr>
        <w:t>-</w:t>
      </w:r>
      <w:r w:rsidR="00BA5C0A" w:rsidRPr="00BA5C0A">
        <w:rPr>
          <w:rFonts w:ascii="Times New Roman" w:hAnsi="Times New Roman" w:cs="Times New Roman"/>
          <w:lang w:val="uk-UA"/>
        </w:rPr>
        <w:t>інфекцією</w:t>
      </w:r>
      <w:r w:rsidR="00FC6D8A">
        <w:rPr>
          <w:rFonts w:ascii="Times New Roman" w:hAnsi="Times New Roman" w:cs="Times New Roman"/>
          <w:lang w:val="uk-UA"/>
        </w:rPr>
        <w:t>,</w:t>
      </w:r>
      <w:r w:rsidR="00BA5C0A" w:rsidRPr="00BA5C0A">
        <w:rPr>
          <w:rFonts w:ascii="Times New Roman" w:hAnsi="Times New Roman" w:cs="Times New Roman"/>
          <w:lang w:val="uk-UA"/>
        </w:rPr>
        <w:t xml:space="preserve"> може </w:t>
      </w:r>
      <w:r w:rsidR="00FC6D8A">
        <w:rPr>
          <w:rFonts w:ascii="Times New Roman" w:hAnsi="Times New Roman" w:cs="Times New Roman"/>
          <w:lang w:val="uk-UA"/>
        </w:rPr>
        <w:t>розвиватися</w:t>
      </w:r>
      <w:r w:rsidR="00BA5C0A" w:rsidRPr="00BA5C0A">
        <w:rPr>
          <w:rFonts w:ascii="Times New Roman" w:hAnsi="Times New Roman" w:cs="Times New Roman"/>
          <w:lang w:val="uk-UA"/>
        </w:rPr>
        <w:t xml:space="preserve"> </w:t>
      </w:r>
      <w:r w:rsidR="00FC6D8A">
        <w:rPr>
          <w:rFonts w:ascii="Times New Roman" w:hAnsi="Times New Roman" w:cs="Times New Roman"/>
          <w:lang w:val="uk-UA"/>
        </w:rPr>
        <w:t xml:space="preserve">швидше </w:t>
      </w:r>
      <w:r w:rsidR="00BA5C0A" w:rsidRPr="00BA5C0A">
        <w:rPr>
          <w:rFonts w:ascii="Times New Roman" w:hAnsi="Times New Roman" w:cs="Times New Roman"/>
          <w:lang w:val="uk-UA"/>
        </w:rPr>
        <w:t xml:space="preserve">при імуносупресії. З цієї причини </w:t>
      </w:r>
      <w:r w:rsidR="00FC6D8A">
        <w:rPr>
          <w:rFonts w:ascii="Times New Roman" w:hAnsi="Times New Roman" w:cs="Times New Roman"/>
          <w:lang w:val="uk-UA"/>
        </w:rPr>
        <w:t>проти</w:t>
      </w:r>
      <w:r w:rsidR="00BA5C0A" w:rsidRPr="00BA5C0A">
        <w:rPr>
          <w:rFonts w:ascii="Times New Roman" w:hAnsi="Times New Roman" w:cs="Times New Roman"/>
          <w:lang w:val="uk-UA"/>
        </w:rPr>
        <w:t xml:space="preserve">вірусна терапія повинна бути розглянута для всіх хворих на гемодіалізі, які є кандидатами на трансплантацію нирок. Дослідження, що показують високу ефективність та </w:t>
      </w:r>
      <w:r w:rsidR="00BA5C0A" w:rsidRPr="00BA5C0A">
        <w:rPr>
          <w:rFonts w:ascii="Times New Roman" w:hAnsi="Times New Roman" w:cs="Times New Roman"/>
          <w:lang w:val="uk-UA"/>
        </w:rPr>
        <w:lastRenderedPageBreak/>
        <w:t xml:space="preserve">безпеку антиретровірусних безінтерферонових схем </w:t>
      </w:r>
      <w:r w:rsidR="003C163F">
        <w:rPr>
          <w:rFonts w:ascii="Times New Roman" w:hAnsi="Times New Roman" w:cs="Times New Roman"/>
          <w:lang w:val="uk-UA"/>
        </w:rPr>
        <w:t>у</w:t>
      </w:r>
      <w:r w:rsidR="00BA5C0A" w:rsidRPr="00BA5C0A">
        <w:rPr>
          <w:rFonts w:ascii="Times New Roman" w:hAnsi="Times New Roman" w:cs="Times New Roman"/>
          <w:lang w:val="uk-UA"/>
        </w:rPr>
        <w:t xml:space="preserve"> реципієнт</w:t>
      </w:r>
      <w:r w:rsidR="003C163F">
        <w:rPr>
          <w:rFonts w:ascii="Times New Roman" w:hAnsi="Times New Roman" w:cs="Times New Roman"/>
          <w:lang w:val="uk-UA"/>
        </w:rPr>
        <w:t>ів</w:t>
      </w:r>
      <w:r w:rsidR="00BA5C0A" w:rsidRPr="00BA5C0A">
        <w:rPr>
          <w:rFonts w:ascii="Times New Roman" w:hAnsi="Times New Roman" w:cs="Times New Roman"/>
          <w:lang w:val="uk-UA"/>
        </w:rPr>
        <w:t xml:space="preserve"> трансплантатів нирок, свідчать про те, що ці пацієнти можуть отримувати подальше лікуванням ВГС після трансплантації нирок з високою ймовірністю виліковування.</w:t>
      </w:r>
      <w:r w:rsidR="00BA5C0A" w:rsidRPr="00BA5C0A">
        <w:rPr>
          <w:rFonts w:ascii="Times New Roman" w:hAnsi="Times New Roman" w:cs="Times New Roman"/>
          <w:vertAlign w:val="superscript"/>
          <w:lang w:val="uk-UA"/>
        </w:rPr>
        <w:t>189</w:t>
      </w:r>
      <w:r w:rsidR="00FC6D8A">
        <w:rPr>
          <w:rFonts w:ascii="Times New Roman" w:hAnsi="Times New Roman" w:cs="Times New Roman"/>
          <w:vertAlign w:val="superscript"/>
          <w:lang w:val="uk-UA"/>
        </w:rPr>
        <w:t>–</w:t>
      </w:r>
      <w:r w:rsidR="00BA5C0A" w:rsidRPr="00BA5C0A">
        <w:rPr>
          <w:rFonts w:ascii="Times New Roman" w:hAnsi="Times New Roman" w:cs="Times New Roman"/>
          <w:vertAlign w:val="superscript"/>
          <w:lang w:val="uk-UA"/>
        </w:rPr>
        <w:t>193</w:t>
      </w:r>
      <w:r w:rsidR="00BA5C0A" w:rsidRPr="00BA5C0A">
        <w:rPr>
          <w:rFonts w:ascii="Times New Roman" w:hAnsi="Times New Roman" w:cs="Times New Roman"/>
          <w:lang w:val="uk-UA"/>
        </w:rPr>
        <w:t xml:space="preserve"> Рішення щодо термінів лікування ВГС </w:t>
      </w:r>
      <w:r w:rsidR="00FC6D8A">
        <w:rPr>
          <w:rFonts w:ascii="Times New Roman" w:hAnsi="Times New Roman" w:cs="Times New Roman"/>
          <w:lang w:val="uk-UA"/>
        </w:rPr>
        <w:t>після</w:t>
      </w:r>
      <w:r w:rsidR="00BA5C0A" w:rsidRPr="00BA5C0A">
        <w:rPr>
          <w:rFonts w:ascii="Times New Roman" w:hAnsi="Times New Roman" w:cs="Times New Roman"/>
          <w:lang w:val="uk-UA"/>
        </w:rPr>
        <w:t xml:space="preserve"> трансплантації нирок слід </w:t>
      </w:r>
      <w:r w:rsidR="00FC6D8A">
        <w:rPr>
          <w:rFonts w:ascii="Times New Roman" w:hAnsi="Times New Roman" w:cs="Times New Roman"/>
          <w:lang w:val="uk-UA"/>
        </w:rPr>
        <w:t>приймати, зважаючи</w:t>
      </w:r>
      <w:r w:rsidR="00BA5C0A" w:rsidRPr="00BA5C0A">
        <w:rPr>
          <w:rFonts w:ascii="Times New Roman" w:hAnsi="Times New Roman" w:cs="Times New Roman"/>
          <w:lang w:val="uk-UA"/>
        </w:rPr>
        <w:t xml:space="preserve"> на тип донора (живого або померлого), час очікування на донора, специфічні політик</w:t>
      </w:r>
      <w:r w:rsidR="00FC6D8A">
        <w:rPr>
          <w:rFonts w:ascii="Times New Roman" w:hAnsi="Times New Roman" w:cs="Times New Roman"/>
          <w:lang w:val="uk-UA"/>
        </w:rPr>
        <w:t>и</w:t>
      </w:r>
      <w:r w:rsidR="00BA5C0A" w:rsidRPr="00BA5C0A">
        <w:rPr>
          <w:rFonts w:ascii="Times New Roman" w:hAnsi="Times New Roman" w:cs="Times New Roman"/>
          <w:lang w:val="uk-UA"/>
        </w:rPr>
        <w:t xml:space="preserve"> використання нирок </w:t>
      </w:r>
      <w:r w:rsidR="00FC6D8A">
        <w:rPr>
          <w:rFonts w:ascii="Times New Roman" w:hAnsi="Times New Roman" w:cs="Times New Roman"/>
          <w:lang w:val="uk-UA"/>
        </w:rPr>
        <w:t>від</w:t>
      </w:r>
      <w:r w:rsidR="00BA5C0A" w:rsidRPr="00BA5C0A">
        <w:rPr>
          <w:rFonts w:ascii="Times New Roman" w:hAnsi="Times New Roman" w:cs="Times New Roman"/>
          <w:lang w:val="uk-UA"/>
        </w:rPr>
        <w:t xml:space="preserve"> ВГС</w:t>
      </w:r>
      <w:r w:rsidR="00FC6D8A">
        <w:rPr>
          <w:rFonts w:ascii="Times New Roman" w:hAnsi="Times New Roman" w:cs="Times New Roman"/>
          <w:lang w:val="uk-UA"/>
        </w:rPr>
        <w:t>–</w:t>
      </w:r>
      <w:r w:rsidR="00BA5C0A" w:rsidRPr="00BA5C0A">
        <w:rPr>
          <w:rFonts w:ascii="Times New Roman" w:hAnsi="Times New Roman" w:cs="Times New Roman"/>
          <w:lang w:val="uk-UA"/>
        </w:rPr>
        <w:t>інфікованих померлих донорів, генотипу ВГС та ступ</w:t>
      </w:r>
      <w:r w:rsidR="00FC6D8A">
        <w:rPr>
          <w:rFonts w:ascii="Times New Roman" w:hAnsi="Times New Roman" w:cs="Times New Roman"/>
          <w:lang w:val="uk-UA"/>
        </w:rPr>
        <w:t>еню</w:t>
      </w:r>
      <w:r w:rsidR="00BA5C0A" w:rsidRPr="00BA5C0A">
        <w:rPr>
          <w:rFonts w:ascii="Times New Roman" w:hAnsi="Times New Roman" w:cs="Times New Roman"/>
          <w:lang w:val="uk-UA"/>
        </w:rPr>
        <w:t xml:space="preserve"> тяжкості фіброзу печінки. Якщо трансплантація нирки від РНК</w:t>
      </w:r>
      <w:r w:rsidR="00FC6D8A">
        <w:rPr>
          <w:rFonts w:ascii="Times New Roman" w:hAnsi="Times New Roman" w:cs="Times New Roman"/>
          <w:lang w:val="uk-UA"/>
        </w:rPr>
        <w:t>–</w:t>
      </w:r>
      <w:r w:rsidR="00BA5C0A" w:rsidRPr="00BA5C0A">
        <w:rPr>
          <w:rFonts w:ascii="Times New Roman" w:hAnsi="Times New Roman" w:cs="Times New Roman"/>
          <w:lang w:val="uk-UA"/>
        </w:rPr>
        <w:t>позитивного донора підвищує ймовірність трансплантації, то пацієнт може лікуватис</w:t>
      </w:r>
      <w:r w:rsidR="00FC6D8A">
        <w:rPr>
          <w:rFonts w:ascii="Times New Roman" w:hAnsi="Times New Roman" w:cs="Times New Roman"/>
          <w:lang w:val="uk-UA"/>
        </w:rPr>
        <w:t>я</w:t>
      </w:r>
      <w:r w:rsidR="00BA5C0A" w:rsidRPr="00BA5C0A">
        <w:rPr>
          <w:rFonts w:ascii="Times New Roman" w:hAnsi="Times New Roman" w:cs="Times New Roman"/>
          <w:lang w:val="uk-UA"/>
        </w:rPr>
        <w:t xml:space="preserve"> від ВГС після трансплантації.</w:t>
      </w:r>
      <w:r w:rsidR="00BA5C0A" w:rsidRPr="00BA5C0A">
        <w:rPr>
          <w:rFonts w:ascii="Times New Roman" w:hAnsi="Times New Roman" w:cs="Times New Roman"/>
          <w:vertAlign w:val="superscript"/>
          <w:lang w:val="uk-UA"/>
        </w:rPr>
        <w:t>194</w:t>
      </w:r>
    </w:p>
    <w:p w14:paraId="5D0F6AD0" w14:textId="77777777" w:rsidR="00BA5C0A" w:rsidRPr="00BA5C0A" w:rsidRDefault="00BA5C0A" w:rsidP="00BA5C0A">
      <w:pPr>
        <w:jc w:val="both"/>
        <w:rPr>
          <w:rFonts w:ascii="Times New Roman" w:hAnsi="Times New Roman" w:cs="Times New Roman"/>
          <w:lang w:val="uk-U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A5C0A" w:rsidRPr="0080595E" w14:paraId="257C748E" w14:textId="77777777" w:rsidTr="00544369">
        <w:trPr>
          <w:trHeight w:val="544"/>
        </w:trPr>
        <w:tc>
          <w:tcPr>
            <w:tcW w:w="9607" w:type="dxa"/>
            <w:shd w:val="clear" w:color="auto" w:fill="BDD6EE" w:themeFill="accent1" w:themeFillTint="66"/>
          </w:tcPr>
          <w:p w14:paraId="3381980A" w14:textId="2B14F3DF" w:rsidR="00BA5C0A" w:rsidRDefault="00BA5C0A" w:rsidP="00BA5C0A">
            <w:pPr>
              <w:jc w:val="both"/>
              <w:rPr>
                <w:rFonts w:ascii="Times New Roman" w:hAnsi="Times New Roman" w:cs="Times New Roman"/>
                <w:b/>
                <w:i/>
                <w:color w:val="4472C4" w:themeColor="accent5"/>
                <w:lang w:val="uk-UA"/>
              </w:rPr>
            </w:pPr>
            <w:r w:rsidRPr="00BA5C0A">
              <w:rPr>
                <w:rFonts w:ascii="Times New Roman" w:hAnsi="Times New Roman" w:cs="Times New Roman"/>
                <w:b/>
                <w:i/>
                <w:color w:val="4472C4" w:themeColor="accent5"/>
                <w:lang w:val="uk-UA"/>
              </w:rPr>
              <w:t>Рекомендації</w:t>
            </w:r>
          </w:p>
          <w:p w14:paraId="5DDC77D8" w14:textId="77777777" w:rsidR="00FD00E6" w:rsidRPr="00BA5C0A" w:rsidRDefault="00FD00E6" w:rsidP="00BA5C0A">
            <w:pPr>
              <w:jc w:val="both"/>
              <w:rPr>
                <w:rFonts w:ascii="Times New Roman" w:hAnsi="Times New Roman" w:cs="Times New Roman"/>
                <w:b/>
                <w:i/>
                <w:color w:val="4472C4" w:themeColor="accent5"/>
                <w:lang w:val="uk-UA"/>
              </w:rPr>
            </w:pPr>
          </w:p>
          <w:p w14:paraId="0DB27AD9" w14:textId="132CB8C5" w:rsidR="00BA5C0A" w:rsidRPr="00BA5C0A" w:rsidRDefault="00BA5C0A" w:rsidP="00015E3B">
            <w:pPr>
              <w:numPr>
                <w:ilvl w:val="0"/>
                <w:numId w:val="42"/>
              </w:numPr>
              <w:contextualSpacing/>
              <w:jc w:val="both"/>
              <w:rPr>
                <w:rFonts w:ascii="Times New Roman" w:hAnsi="Times New Roman" w:cs="Times New Roman"/>
                <w:lang w:val="uk-UA"/>
              </w:rPr>
            </w:pPr>
            <w:r w:rsidRPr="00BA5C0A">
              <w:rPr>
                <w:rFonts w:ascii="Times New Roman" w:hAnsi="Times New Roman" w:cs="Times New Roman"/>
                <w:lang w:val="uk-UA"/>
              </w:rPr>
              <w:t>Пацієнти із ВГС</w:t>
            </w:r>
            <w:r w:rsidR="00FC6D8A">
              <w:rPr>
                <w:rFonts w:ascii="Times New Roman" w:hAnsi="Times New Roman" w:cs="Times New Roman"/>
                <w:lang w:val="uk-UA"/>
              </w:rPr>
              <w:t>–</w:t>
            </w:r>
            <w:r w:rsidRPr="00BA5C0A">
              <w:rPr>
                <w:rFonts w:ascii="Times New Roman" w:hAnsi="Times New Roman" w:cs="Times New Roman"/>
                <w:lang w:val="uk-UA"/>
              </w:rPr>
              <w:t>інфекцією</w:t>
            </w:r>
            <w:r w:rsidR="003C163F">
              <w:rPr>
                <w:rFonts w:ascii="Times New Roman" w:hAnsi="Times New Roman" w:cs="Times New Roman"/>
                <w:lang w:val="uk-UA"/>
              </w:rPr>
              <w:t>,</w:t>
            </w:r>
            <w:r w:rsidRPr="00BA5C0A">
              <w:rPr>
                <w:rFonts w:ascii="Times New Roman" w:hAnsi="Times New Roman" w:cs="Times New Roman"/>
                <w:lang w:val="uk-UA"/>
              </w:rPr>
              <w:t xml:space="preserve"> легким та </w:t>
            </w:r>
            <w:r w:rsidR="00CF0D47">
              <w:rPr>
                <w:rFonts w:ascii="Times New Roman" w:hAnsi="Times New Roman" w:cs="Times New Roman"/>
                <w:lang w:val="uk-UA"/>
              </w:rPr>
              <w:t>помірним</w:t>
            </w:r>
            <w:r w:rsidRPr="00BA5C0A">
              <w:rPr>
                <w:rFonts w:ascii="Times New Roman" w:hAnsi="Times New Roman" w:cs="Times New Roman"/>
                <w:lang w:val="uk-UA"/>
              </w:rPr>
              <w:t xml:space="preserve"> пошкодженням нирок (</w:t>
            </w:r>
            <w:r w:rsidR="00681632">
              <w:rPr>
                <w:rFonts w:ascii="Times New Roman" w:hAnsi="Times New Roman" w:cs="Times New Roman"/>
                <w:lang w:val="uk-UA"/>
              </w:rPr>
              <w:t>ШКФ</w:t>
            </w:r>
            <w:r w:rsidRPr="00BA5C0A">
              <w:rPr>
                <w:rFonts w:ascii="Times New Roman" w:hAnsi="Times New Roman" w:cs="Times New Roman"/>
                <w:lang w:val="uk-UA"/>
              </w:rPr>
              <w:t xml:space="preserve"> ≥30 мл / хв / 1,73 м2) повинні лікуватися відповідно до загальних рекомендацій. Не треба корегувати дози ПППД, але слід уважно стежити за цими пацієнтами (А1).</w:t>
            </w:r>
          </w:p>
          <w:p w14:paraId="131F87B0" w14:textId="7B1C70BE" w:rsidR="00BA5C0A" w:rsidRPr="00BA5C0A" w:rsidRDefault="00BA5C0A" w:rsidP="00015E3B">
            <w:pPr>
              <w:numPr>
                <w:ilvl w:val="0"/>
                <w:numId w:val="42"/>
              </w:numPr>
              <w:contextualSpacing/>
              <w:jc w:val="both"/>
              <w:rPr>
                <w:rFonts w:ascii="Times New Roman" w:hAnsi="Times New Roman" w:cs="Times New Roman"/>
                <w:lang w:val="uk-UA"/>
              </w:rPr>
            </w:pPr>
            <w:r w:rsidRPr="00BA5C0A">
              <w:rPr>
                <w:rFonts w:ascii="Times New Roman" w:hAnsi="Times New Roman" w:cs="Times New Roman"/>
                <w:lang w:val="uk-UA"/>
              </w:rPr>
              <w:t>Пацієнти з важкими порушеннями функції нирок (</w:t>
            </w:r>
            <w:r w:rsidR="00681632">
              <w:rPr>
                <w:rFonts w:ascii="Times New Roman" w:hAnsi="Times New Roman" w:cs="Times New Roman"/>
                <w:lang w:val="uk-UA"/>
              </w:rPr>
              <w:t>ШКФ</w:t>
            </w:r>
            <w:r w:rsidRPr="00BA5C0A">
              <w:rPr>
                <w:rFonts w:ascii="Times New Roman" w:hAnsi="Times New Roman" w:cs="Times New Roman"/>
                <w:lang w:val="uk-UA"/>
              </w:rPr>
              <w:t xml:space="preserve"> &lt;30 мл / хв / 1,73 м2) та пацієнти з термінальною стадією ниркової недостатності на гемодіаліз</w:t>
            </w:r>
            <w:r w:rsidR="00FD00E6">
              <w:rPr>
                <w:rFonts w:ascii="Times New Roman" w:hAnsi="Times New Roman" w:cs="Times New Roman"/>
                <w:lang w:val="uk-UA"/>
              </w:rPr>
              <w:t>і</w:t>
            </w:r>
            <w:r w:rsidRPr="00BA5C0A">
              <w:rPr>
                <w:rFonts w:ascii="Times New Roman" w:hAnsi="Times New Roman" w:cs="Times New Roman"/>
                <w:lang w:val="uk-UA"/>
              </w:rPr>
              <w:t xml:space="preserve"> повинні проходити лікування в </w:t>
            </w:r>
            <w:r w:rsidR="00FD00E6">
              <w:rPr>
                <w:rFonts w:ascii="Times New Roman" w:hAnsi="Times New Roman" w:cs="Times New Roman"/>
                <w:lang w:val="uk-UA"/>
              </w:rPr>
              <w:t xml:space="preserve">спеціалізованих </w:t>
            </w:r>
            <w:r w:rsidRPr="00BA5C0A">
              <w:rPr>
                <w:rFonts w:ascii="Times New Roman" w:hAnsi="Times New Roman" w:cs="Times New Roman"/>
                <w:lang w:val="uk-UA"/>
              </w:rPr>
              <w:t>центрах, при чіткому контролі мультидисциплінарної команди (В1).</w:t>
            </w:r>
          </w:p>
          <w:p w14:paraId="3BA52EE6" w14:textId="316119AB" w:rsidR="00BA5C0A" w:rsidRPr="00BA5C0A" w:rsidRDefault="00BA5C0A" w:rsidP="00015E3B">
            <w:pPr>
              <w:numPr>
                <w:ilvl w:val="0"/>
                <w:numId w:val="42"/>
              </w:numPr>
              <w:contextualSpacing/>
              <w:jc w:val="both"/>
              <w:rPr>
                <w:rFonts w:ascii="Times New Roman" w:hAnsi="Times New Roman" w:cs="Times New Roman"/>
                <w:lang w:val="uk-UA"/>
              </w:rPr>
            </w:pPr>
            <w:r w:rsidRPr="00BA5C0A">
              <w:rPr>
                <w:rFonts w:ascii="Times New Roman" w:hAnsi="Times New Roman" w:cs="Times New Roman"/>
                <w:lang w:val="uk-UA"/>
              </w:rPr>
              <w:t xml:space="preserve">Софосбувір слід застосовувати з обережністю у пацієнтів з </w:t>
            </w:r>
            <w:r w:rsidR="00681632">
              <w:rPr>
                <w:rFonts w:ascii="Times New Roman" w:hAnsi="Times New Roman" w:cs="Times New Roman"/>
                <w:lang w:val="uk-UA"/>
              </w:rPr>
              <w:t>ШКФ</w:t>
            </w:r>
            <w:r w:rsidRPr="00BA5C0A">
              <w:rPr>
                <w:rFonts w:ascii="Times New Roman" w:hAnsi="Times New Roman" w:cs="Times New Roman"/>
                <w:lang w:val="uk-UA"/>
              </w:rPr>
              <w:t xml:space="preserve"> &lt;30 мл / хв / 1,73 м2 або з хворобою нирок на термінальній стадії</w:t>
            </w:r>
            <w:r w:rsidR="003C163F">
              <w:rPr>
                <w:rFonts w:ascii="Times New Roman" w:hAnsi="Times New Roman" w:cs="Times New Roman"/>
                <w:lang w:val="uk-UA"/>
              </w:rPr>
              <w:t xml:space="preserve">. Використання софосбувіру можливе </w:t>
            </w:r>
            <w:r w:rsidRPr="00BA5C0A">
              <w:rPr>
                <w:rFonts w:ascii="Times New Roman" w:hAnsi="Times New Roman" w:cs="Times New Roman"/>
                <w:lang w:val="uk-UA"/>
              </w:rPr>
              <w:t xml:space="preserve">лише </w:t>
            </w:r>
            <w:r w:rsidR="003C163F">
              <w:rPr>
                <w:rFonts w:ascii="Times New Roman" w:hAnsi="Times New Roman" w:cs="Times New Roman"/>
                <w:lang w:val="uk-UA"/>
              </w:rPr>
              <w:t xml:space="preserve">тоді, коли </w:t>
            </w:r>
            <w:r w:rsidRPr="00BA5C0A">
              <w:rPr>
                <w:rFonts w:ascii="Times New Roman" w:hAnsi="Times New Roman" w:cs="Times New Roman"/>
                <w:lang w:val="uk-UA"/>
              </w:rPr>
              <w:t xml:space="preserve">альтернативне лікування недоступне, оскільки в даний час для цих пацієнтів немає рекомендацій щодо </w:t>
            </w:r>
            <w:r w:rsidR="003C163F">
              <w:rPr>
                <w:rFonts w:ascii="Times New Roman" w:hAnsi="Times New Roman" w:cs="Times New Roman"/>
                <w:lang w:val="uk-UA"/>
              </w:rPr>
              <w:t>оптимальної дози препарату</w:t>
            </w:r>
            <w:r w:rsidRPr="00BA5C0A">
              <w:rPr>
                <w:rFonts w:ascii="Times New Roman" w:hAnsi="Times New Roman" w:cs="Times New Roman"/>
                <w:lang w:val="uk-UA"/>
              </w:rPr>
              <w:t xml:space="preserve"> (В1) .</w:t>
            </w:r>
          </w:p>
          <w:p w14:paraId="4B04FDBA" w14:textId="488A23D9" w:rsidR="00BA5C0A" w:rsidRPr="00BA5C0A" w:rsidRDefault="00BA5C0A" w:rsidP="00015E3B">
            <w:pPr>
              <w:numPr>
                <w:ilvl w:val="0"/>
                <w:numId w:val="42"/>
              </w:numPr>
              <w:contextualSpacing/>
              <w:jc w:val="both"/>
              <w:rPr>
                <w:rFonts w:ascii="Times New Roman" w:hAnsi="Times New Roman" w:cs="Times New Roman"/>
                <w:lang w:val="uk-UA"/>
              </w:rPr>
            </w:pPr>
            <w:r w:rsidRPr="00BA5C0A">
              <w:rPr>
                <w:rFonts w:ascii="Times New Roman" w:hAnsi="Times New Roman" w:cs="Times New Roman"/>
                <w:lang w:val="uk-UA"/>
              </w:rPr>
              <w:t>Пацієнтам, інфікованим усіма генотипами з важкими порушеннями функції нирок (</w:t>
            </w:r>
            <w:r w:rsidR="00681632">
              <w:rPr>
                <w:rFonts w:ascii="Times New Roman" w:hAnsi="Times New Roman" w:cs="Times New Roman"/>
                <w:lang w:val="uk-UA"/>
              </w:rPr>
              <w:t>ШКФ</w:t>
            </w:r>
            <w:r w:rsidRPr="00BA5C0A">
              <w:rPr>
                <w:rFonts w:ascii="Times New Roman" w:hAnsi="Times New Roman" w:cs="Times New Roman"/>
                <w:lang w:val="uk-UA"/>
              </w:rPr>
              <w:t xml:space="preserve"> &lt;30 мл / хв / 1,73 м2) або з термінальною стадією ниркової недостатності на гемодіалізі, без показань до трансплантації нирок, слід лікуватися комбінацією фіксованих доз </w:t>
            </w:r>
            <w:r w:rsidR="003C163F">
              <w:rPr>
                <w:rFonts w:ascii="Times New Roman" w:hAnsi="Times New Roman" w:cs="Times New Roman"/>
                <w:lang w:val="uk-UA"/>
              </w:rPr>
              <w:t>глекапревіру</w:t>
            </w:r>
            <w:r w:rsidRPr="00BA5C0A">
              <w:rPr>
                <w:rFonts w:ascii="Times New Roman" w:hAnsi="Times New Roman" w:cs="Times New Roman"/>
                <w:lang w:val="uk-UA"/>
              </w:rPr>
              <w:t xml:space="preserve"> і </w:t>
            </w:r>
            <w:r w:rsidR="003C163F">
              <w:rPr>
                <w:rFonts w:ascii="Times New Roman" w:hAnsi="Times New Roman" w:cs="Times New Roman"/>
                <w:lang w:val="uk-UA"/>
              </w:rPr>
              <w:t>пібрентасвіру</w:t>
            </w:r>
            <w:r w:rsidRPr="00BA5C0A">
              <w:rPr>
                <w:rFonts w:ascii="Times New Roman" w:hAnsi="Times New Roman" w:cs="Times New Roman"/>
                <w:lang w:val="uk-UA"/>
              </w:rPr>
              <w:t xml:space="preserve"> протягом 8 або 12 тижнів відповідно до загальних рекомендацій (A1).</w:t>
            </w:r>
          </w:p>
          <w:p w14:paraId="1986B00D" w14:textId="17123F4A" w:rsidR="00BA5C0A" w:rsidRPr="00BA5C0A" w:rsidRDefault="00BA5C0A" w:rsidP="00015E3B">
            <w:pPr>
              <w:numPr>
                <w:ilvl w:val="0"/>
                <w:numId w:val="42"/>
              </w:numPr>
              <w:contextualSpacing/>
              <w:jc w:val="both"/>
              <w:rPr>
                <w:rFonts w:ascii="Times New Roman" w:hAnsi="Times New Roman" w:cs="Times New Roman"/>
                <w:lang w:val="uk-UA"/>
              </w:rPr>
            </w:pPr>
            <w:r w:rsidRPr="00BA5C0A">
              <w:rPr>
                <w:rFonts w:ascii="Times New Roman" w:hAnsi="Times New Roman" w:cs="Times New Roman"/>
                <w:lang w:val="uk-UA"/>
              </w:rPr>
              <w:t>Пацієнти, інфіковані генотип</w:t>
            </w:r>
            <w:r w:rsidR="003C163F">
              <w:rPr>
                <w:rFonts w:ascii="Times New Roman" w:hAnsi="Times New Roman" w:cs="Times New Roman"/>
                <w:lang w:val="uk-UA"/>
              </w:rPr>
              <w:t>ом</w:t>
            </w:r>
            <w:r w:rsidRPr="00BA5C0A">
              <w:rPr>
                <w:rFonts w:ascii="Times New Roman" w:hAnsi="Times New Roman" w:cs="Times New Roman"/>
                <w:lang w:val="uk-UA"/>
              </w:rPr>
              <w:t xml:space="preserve"> 1а</w:t>
            </w:r>
            <w:r w:rsidR="003C163F">
              <w:rPr>
                <w:rFonts w:ascii="Times New Roman" w:hAnsi="Times New Roman" w:cs="Times New Roman"/>
                <w:lang w:val="uk-UA"/>
              </w:rPr>
              <w:t>,</w:t>
            </w:r>
            <w:r w:rsidRPr="00BA5C0A">
              <w:rPr>
                <w:rFonts w:ascii="Times New Roman" w:hAnsi="Times New Roman" w:cs="Times New Roman"/>
                <w:lang w:val="uk-UA"/>
              </w:rPr>
              <w:t xml:space="preserve"> та </w:t>
            </w:r>
            <w:r w:rsidR="00652F9A" w:rsidRPr="00652F9A">
              <w:rPr>
                <w:rFonts w:ascii="Times New Roman" w:hAnsi="Times New Roman" w:cs="Times New Roman"/>
                <w:lang w:val="uk-UA"/>
              </w:rPr>
              <w:t>“</w:t>
            </w:r>
            <w:r w:rsidR="00FC6D8A">
              <w:rPr>
                <w:rFonts w:ascii="Times New Roman" w:hAnsi="Times New Roman" w:cs="Times New Roman"/>
                <w:lang w:val="uk-UA"/>
              </w:rPr>
              <w:t>наївні</w:t>
            </w:r>
            <w:r w:rsidR="00652F9A" w:rsidRPr="00652F9A">
              <w:rPr>
                <w:rFonts w:ascii="Times New Roman" w:hAnsi="Times New Roman" w:cs="Times New Roman"/>
                <w:lang w:val="uk-UA"/>
              </w:rPr>
              <w:t>”</w:t>
            </w:r>
            <w:r w:rsidR="00FC6D8A">
              <w:rPr>
                <w:rFonts w:ascii="Times New Roman" w:hAnsi="Times New Roman" w:cs="Times New Roman"/>
                <w:lang w:val="uk-UA"/>
              </w:rPr>
              <w:t xml:space="preserve"> пацієнти</w:t>
            </w:r>
            <w:r w:rsidRPr="00BA5C0A">
              <w:rPr>
                <w:rFonts w:ascii="Times New Roman" w:hAnsi="Times New Roman" w:cs="Times New Roman"/>
                <w:lang w:val="uk-UA"/>
              </w:rPr>
              <w:t>, інфікован</w:t>
            </w:r>
            <w:r w:rsidR="003C163F">
              <w:rPr>
                <w:rFonts w:ascii="Times New Roman" w:hAnsi="Times New Roman" w:cs="Times New Roman"/>
                <w:lang w:val="uk-UA"/>
              </w:rPr>
              <w:t>і</w:t>
            </w:r>
            <w:r w:rsidRPr="00BA5C0A">
              <w:rPr>
                <w:rFonts w:ascii="Times New Roman" w:hAnsi="Times New Roman" w:cs="Times New Roman"/>
                <w:lang w:val="uk-UA"/>
              </w:rPr>
              <w:t xml:space="preserve"> </w:t>
            </w:r>
            <w:r w:rsidR="003C163F">
              <w:rPr>
                <w:rFonts w:ascii="Times New Roman" w:hAnsi="Times New Roman" w:cs="Times New Roman"/>
                <w:lang w:val="uk-UA"/>
              </w:rPr>
              <w:t>4</w:t>
            </w:r>
            <w:r w:rsidR="003C163F" w:rsidRPr="00BA5C0A">
              <w:rPr>
                <w:rFonts w:ascii="Times New Roman" w:hAnsi="Times New Roman" w:cs="Times New Roman"/>
                <w:lang w:val="uk-UA"/>
              </w:rPr>
              <w:t xml:space="preserve"> </w:t>
            </w:r>
            <w:r w:rsidRPr="00BA5C0A">
              <w:rPr>
                <w:rFonts w:ascii="Times New Roman" w:hAnsi="Times New Roman" w:cs="Times New Roman"/>
                <w:lang w:val="uk-UA"/>
              </w:rPr>
              <w:t>генотип</w:t>
            </w:r>
            <w:r w:rsidR="003C163F">
              <w:rPr>
                <w:rFonts w:ascii="Times New Roman" w:hAnsi="Times New Roman" w:cs="Times New Roman"/>
                <w:lang w:val="uk-UA"/>
              </w:rPr>
              <w:t>ом</w:t>
            </w:r>
            <w:r w:rsidR="002365A3">
              <w:rPr>
                <w:rFonts w:ascii="Times New Roman" w:hAnsi="Times New Roman" w:cs="Times New Roman"/>
                <w:lang w:val="uk-UA"/>
              </w:rPr>
              <w:t xml:space="preserve">, </w:t>
            </w:r>
            <w:r w:rsidRPr="00BA5C0A">
              <w:rPr>
                <w:rFonts w:ascii="Times New Roman" w:hAnsi="Times New Roman" w:cs="Times New Roman"/>
                <w:lang w:val="uk-UA"/>
              </w:rPr>
              <w:t>з важкими порушеннями функції нирок (</w:t>
            </w:r>
            <w:r w:rsidR="00E9283D">
              <w:rPr>
                <w:rFonts w:ascii="Times New Roman" w:hAnsi="Times New Roman" w:cs="Times New Roman"/>
                <w:lang w:val="uk-UA"/>
              </w:rPr>
              <w:t>ШКФ</w:t>
            </w:r>
            <w:r w:rsidRPr="00BA5C0A">
              <w:rPr>
                <w:rFonts w:ascii="Times New Roman" w:hAnsi="Times New Roman" w:cs="Times New Roman"/>
                <w:lang w:val="uk-UA"/>
              </w:rPr>
              <w:t xml:space="preserve"> &lt;30 мл / хв / 1,73 м2) або з термінальною стадією ниркової недостатності на гемодіалізі без показань до трансплантації нирок та з рівнем РНК ВГС ≤ 800 000 МО / мл (5.9 Log10 IU / мл) можуть отримувати комбінацію гразопревіру та ельбасвіру протягом 12 тижнів (А1).</w:t>
            </w:r>
          </w:p>
          <w:p w14:paraId="5F1C9047" w14:textId="42DD960A" w:rsidR="00BA5C0A" w:rsidRPr="00BA5C0A" w:rsidRDefault="00BA5C0A" w:rsidP="00015E3B">
            <w:pPr>
              <w:numPr>
                <w:ilvl w:val="0"/>
                <w:numId w:val="42"/>
              </w:numPr>
              <w:contextualSpacing/>
              <w:jc w:val="both"/>
              <w:rPr>
                <w:rFonts w:ascii="Times New Roman" w:hAnsi="Times New Roman" w:cs="Times New Roman"/>
                <w:lang w:val="uk-UA"/>
              </w:rPr>
            </w:pPr>
            <w:r w:rsidRPr="00BA5C0A">
              <w:rPr>
                <w:rFonts w:ascii="Times New Roman" w:hAnsi="Times New Roman" w:cs="Times New Roman"/>
                <w:lang w:val="uk-UA"/>
              </w:rPr>
              <w:t>Пацієнт</w:t>
            </w:r>
            <w:r w:rsidR="00FD00E6">
              <w:rPr>
                <w:rFonts w:ascii="Times New Roman" w:hAnsi="Times New Roman" w:cs="Times New Roman"/>
                <w:lang w:val="uk-UA"/>
              </w:rPr>
              <w:t>ів</w:t>
            </w:r>
            <w:r w:rsidRPr="00BA5C0A">
              <w:rPr>
                <w:rFonts w:ascii="Times New Roman" w:hAnsi="Times New Roman" w:cs="Times New Roman"/>
                <w:lang w:val="uk-UA"/>
              </w:rPr>
              <w:t>, інфікован</w:t>
            </w:r>
            <w:r w:rsidR="00FD00E6">
              <w:rPr>
                <w:rFonts w:ascii="Times New Roman" w:hAnsi="Times New Roman" w:cs="Times New Roman"/>
                <w:lang w:val="uk-UA"/>
              </w:rPr>
              <w:t>их</w:t>
            </w:r>
            <w:r w:rsidRPr="00BA5C0A">
              <w:rPr>
                <w:rFonts w:ascii="Times New Roman" w:hAnsi="Times New Roman" w:cs="Times New Roman"/>
                <w:lang w:val="uk-UA"/>
              </w:rPr>
              <w:t xml:space="preserve"> генотип</w:t>
            </w:r>
            <w:r w:rsidR="0068663D">
              <w:rPr>
                <w:rFonts w:ascii="Times New Roman" w:hAnsi="Times New Roman" w:cs="Times New Roman"/>
                <w:lang w:val="uk-UA"/>
              </w:rPr>
              <w:t>ом</w:t>
            </w:r>
            <w:r w:rsidRPr="00BA5C0A">
              <w:rPr>
                <w:rFonts w:ascii="Times New Roman" w:hAnsi="Times New Roman" w:cs="Times New Roman"/>
                <w:lang w:val="uk-UA"/>
              </w:rPr>
              <w:t xml:space="preserve"> 1b з важкими порушеннями функції нирок (</w:t>
            </w:r>
            <w:r w:rsidR="00681632">
              <w:rPr>
                <w:rFonts w:ascii="Times New Roman" w:hAnsi="Times New Roman" w:cs="Times New Roman"/>
                <w:lang w:val="uk-UA"/>
              </w:rPr>
              <w:t>ШКФ</w:t>
            </w:r>
            <w:r w:rsidRPr="00BA5C0A">
              <w:rPr>
                <w:rFonts w:ascii="Times New Roman" w:hAnsi="Times New Roman" w:cs="Times New Roman"/>
                <w:lang w:val="uk-UA"/>
              </w:rPr>
              <w:t xml:space="preserve"> &lt;30 мл / хв / 1,73 м2) або з термінальною стадією захворювання нирок на гемодіалізі без показань до трансплантації нирок, можна лікувати </w:t>
            </w:r>
            <w:r w:rsidR="00DA25AC" w:rsidRPr="00BA5C0A">
              <w:rPr>
                <w:rFonts w:ascii="Times New Roman" w:hAnsi="Times New Roman" w:cs="Times New Roman"/>
                <w:lang w:val="uk-UA"/>
              </w:rPr>
              <w:t xml:space="preserve">протягом 12 тижнів </w:t>
            </w:r>
            <w:r w:rsidRPr="00BA5C0A">
              <w:rPr>
                <w:rFonts w:ascii="Times New Roman" w:hAnsi="Times New Roman" w:cs="Times New Roman"/>
                <w:lang w:val="uk-UA"/>
              </w:rPr>
              <w:t xml:space="preserve">комбінацією гразопревіру та ельбасвіру або </w:t>
            </w:r>
            <w:r w:rsidR="006326A5" w:rsidRPr="006326A5">
              <w:rPr>
                <w:rFonts w:ascii="Times New Roman" w:hAnsi="Times New Roman" w:cs="Times New Roman"/>
                <w:lang w:val="uk-UA"/>
              </w:rPr>
              <w:t>омбітасвіру, паритапревіру, ритонавіру та дасабувіру</w:t>
            </w:r>
            <w:r w:rsidRPr="00BA5C0A">
              <w:rPr>
                <w:rFonts w:ascii="Times New Roman" w:hAnsi="Times New Roman" w:cs="Times New Roman"/>
                <w:lang w:val="uk-UA"/>
              </w:rPr>
              <w:t xml:space="preserve"> (А1).</w:t>
            </w:r>
          </w:p>
          <w:p w14:paraId="65D7DE6A" w14:textId="38C57DEE" w:rsidR="00BA5C0A" w:rsidRPr="00BA5C0A" w:rsidRDefault="00BA5C0A" w:rsidP="00015E3B">
            <w:pPr>
              <w:numPr>
                <w:ilvl w:val="0"/>
                <w:numId w:val="42"/>
              </w:numPr>
              <w:contextualSpacing/>
              <w:jc w:val="both"/>
              <w:rPr>
                <w:rFonts w:ascii="Times New Roman" w:hAnsi="Times New Roman" w:cs="Times New Roman"/>
                <w:lang w:val="uk-UA"/>
              </w:rPr>
            </w:pPr>
            <w:r w:rsidRPr="00BA5C0A">
              <w:rPr>
                <w:rFonts w:ascii="Times New Roman" w:hAnsi="Times New Roman" w:cs="Times New Roman"/>
                <w:lang w:val="uk-UA"/>
              </w:rPr>
              <w:t>Ризик</w:t>
            </w:r>
            <w:r w:rsidR="00FC6D8A">
              <w:rPr>
                <w:rFonts w:ascii="Times New Roman" w:hAnsi="Times New Roman" w:cs="Times New Roman"/>
                <w:lang w:val="uk-UA"/>
              </w:rPr>
              <w:t>и</w:t>
            </w:r>
            <w:r w:rsidRPr="00BA5C0A">
              <w:rPr>
                <w:rFonts w:ascii="Times New Roman" w:hAnsi="Times New Roman" w:cs="Times New Roman"/>
                <w:lang w:val="uk-UA"/>
              </w:rPr>
              <w:t xml:space="preserve"> або переваги лікування пацієнтів з</w:t>
            </w:r>
            <w:r w:rsidR="0068663D">
              <w:rPr>
                <w:rFonts w:ascii="Times New Roman" w:hAnsi="Times New Roman" w:cs="Times New Roman"/>
                <w:lang w:val="uk-UA"/>
              </w:rPr>
              <w:t xml:space="preserve"> </w:t>
            </w:r>
            <w:r w:rsidRPr="00BA5C0A">
              <w:rPr>
                <w:rFonts w:ascii="Times New Roman" w:hAnsi="Times New Roman" w:cs="Times New Roman"/>
                <w:lang w:val="uk-UA"/>
              </w:rPr>
              <w:t>термінальною стадією ниркової недостатності та показаннями до трансплантації нирок до або після трансплантації нирок потребують індивідуальної оцінки (В1).</w:t>
            </w:r>
          </w:p>
        </w:tc>
      </w:tr>
    </w:tbl>
    <w:p w14:paraId="32904294" w14:textId="77777777" w:rsidR="00BA5C0A" w:rsidRPr="00BA5C0A" w:rsidRDefault="00BA5C0A" w:rsidP="00BA5C0A">
      <w:pPr>
        <w:jc w:val="both"/>
        <w:rPr>
          <w:rFonts w:ascii="Times New Roman" w:hAnsi="Times New Roman" w:cs="Times New Roman"/>
          <w:lang w:val="uk-UA"/>
        </w:rPr>
      </w:pPr>
    </w:p>
    <w:p w14:paraId="6356FD2F" w14:textId="54ACB151" w:rsidR="00BA5C0A" w:rsidRPr="00FD00E6" w:rsidRDefault="00BA5C0A" w:rsidP="00BA5C0A">
      <w:pPr>
        <w:tabs>
          <w:tab w:val="left" w:pos="903"/>
        </w:tabs>
        <w:jc w:val="both"/>
        <w:rPr>
          <w:rFonts w:ascii="Times New Roman" w:hAnsi="Times New Roman" w:cs="Times New Roman"/>
          <w:b/>
          <w:sz w:val="32"/>
          <w:szCs w:val="32"/>
          <w:lang w:val="uk-UA"/>
        </w:rPr>
      </w:pPr>
      <w:r w:rsidRPr="00FD00E6">
        <w:rPr>
          <w:rFonts w:ascii="Times New Roman" w:hAnsi="Times New Roman" w:cs="Times New Roman"/>
          <w:b/>
          <w:color w:val="4472C4" w:themeColor="accent5"/>
          <w:sz w:val="32"/>
          <w:szCs w:val="32"/>
          <w:lang w:val="uk-UA"/>
        </w:rPr>
        <w:t>Реципієнти транспланта</w:t>
      </w:r>
      <w:r w:rsidR="00A62DA7">
        <w:rPr>
          <w:rFonts w:ascii="Times New Roman" w:hAnsi="Times New Roman" w:cs="Times New Roman"/>
          <w:b/>
          <w:color w:val="4472C4" w:themeColor="accent5"/>
          <w:sz w:val="32"/>
          <w:szCs w:val="32"/>
          <w:lang w:val="uk-UA"/>
        </w:rPr>
        <w:t xml:space="preserve">нтів </w:t>
      </w:r>
      <w:r w:rsidRPr="00FD00E6">
        <w:rPr>
          <w:rFonts w:ascii="Times New Roman" w:hAnsi="Times New Roman" w:cs="Times New Roman"/>
          <w:b/>
          <w:color w:val="4472C4" w:themeColor="accent5"/>
          <w:sz w:val="32"/>
          <w:szCs w:val="32"/>
          <w:lang w:val="uk-UA"/>
        </w:rPr>
        <w:t xml:space="preserve">інших паренхіматозних органів  </w:t>
      </w:r>
    </w:p>
    <w:p w14:paraId="08DABACE" w14:textId="6F43AC6C" w:rsidR="004A4D37" w:rsidRPr="00BA5C0A" w:rsidRDefault="004A4D37" w:rsidP="00BA5C0A">
      <w:pPr>
        <w:tabs>
          <w:tab w:val="left" w:pos="903"/>
        </w:tabs>
        <w:jc w:val="both"/>
        <w:rPr>
          <w:rFonts w:ascii="Times New Roman" w:hAnsi="Times New Roman" w:cs="Times New Roman"/>
          <w:lang w:val="uk-UA"/>
        </w:rPr>
      </w:pPr>
    </w:p>
    <w:p w14:paraId="60BED706" w14:textId="0BF71BC7" w:rsidR="00BA5C0A" w:rsidRPr="00BA5C0A" w:rsidRDefault="00BA5C0A" w:rsidP="00BA5C0A">
      <w:pPr>
        <w:tabs>
          <w:tab w:val="left" w:pos="903"/>
        </w:tabs>
        <w:jc w:val="both"/>
        <w:rPr>
          <w:rFonts w:ascii="Times New Roman" w:hAnsi="Times New Roman" w:cs="Times New Roman"/>
          <w:lang w:val="uk-UA"/>
        </w:rPr>
      </w:pPr>
      <w:r w:rsidRPr="00BA5C0A">
        <w:rPr>
          <w:rFonts w:ascii="Times New Roman" w:hAnsi="Times New Roman" w:cs="Times New Roman"/>
          <w:lang w:val="uk-UA"/>
        </w:rPr>
        <w:t>ВГС</w:t>
      </w:r>
      <w:r w:rsidR="00FC6D8A">
        <w:rPr>
          <w:rFonts w:ascii="Times New Roman" w:hAnsi="Times New Roman" w:cs="Times New Roman"/>
          <w:lang w:val="uk-UA"/>
        </w:rPr>
        <w:t>–</w:t>
      </w:r>
      <w:r w:rsidRPr="00BA5C0A">
        <w:rPr>
          <w:rFonts w:ascii="Times New Roman" w:hAnsi="Times New Roman" w:cs="Times New Roman"/>
          <w:lang w:val="uk-UA"/>
        </w:rPr>
        <w:t xml:space="preserve">інфекція </w:t>
      </w:r>
      <w:r w:rsidR="00A62DA7">
        <w:rPr>
          <w:rFonts w:ascii="Times New Roman" w:hAnsi="Times New Roman" w:cs="Times New Roman"/>
          <w:lang w:val="uk-UA"/>
        </w:rPr>
        <w:t>у</w:t>
      </w:r>
      <w:r w:rsidRPr="00BA5C0A">
        <w:rPr>
          <w:rFonts w:ascii="Times New Roman" w:hAnsi="Times New Roman" w:cs="Times New Roman"/>
          <w:lang w:val="uk-UA"/>
        </w:rPr>
        <w:t xml:space="preserve"> реципієнт</w:t>
      </w:r>
      <w:r w:rsidR="00A62DA7">
        <w:rPr>
          <w:rFonts w:ascii="Times New Roman" w:hAnsi="Times New Roman" w:cs="Times New Roman"/>
          <w:lang w:val="uk-UA"/>
        </w:rPr>
        <w:t>ів</w:t>
      </w:r>
      <w:r w:rsidRPr="00BA5C0A">
        <w:rPr>
          <w:rFonts w:ascii="Times New Roman" w:hAnsi="Times New Roman" w:cs="Times New Roman"/>
          <w:lang w:val="uk-UA"/>
        </w:rPr>
        <w:t xml:space="preserve"> трансплант</w:t>
      </w:r>
      <w:r w:rsidR="00A62DA7">
        <w:rPr>
          <w:rFonts w:ascii="Times New Roman" w:hAnsi="Times New Roman" w:cs="Times New Roman"/>
          <w:lang w:val="uk-UA"/>
        </w:rPr>
        <w:t>антів</w:t>
      </w:r>
      <w:r w:rsidRPr="00BA5C0A">
        <w:rPr>
          <w:rFonts w:ascii="Times New Roman" w:hAnsi="Times New Roman" w:cs="Times New Roman"/>
          <w:lang w:val="uk-UA"/>
        </w:rPr>
        <w:t xml:space="preserve"> нирок може бути пов'язана з підвищеною швидкістю прогресування фіброзу печінки. </w:t>
      </w:r>
      <w:r w:rsidR="004A4D37">
        <w:rPr>
          <w:rFonts w:ascii="Times New Roman" w:hAnsi="Times New Roman" w:cs="Times New Roman"/>
          <w:lang w:val="uk-UA"/>
        </w:rPr>
        <w:t xml:space="preserve">У ВГС-інфікованих пацієнтів з трансплантацією нирок спостерігаються нижчі рівні прийняття трансплантанта, особливо у хворих із цирозом печінки. </w:t>
      </w:r>
      <w:r w:rsidRPr="00BA5C0A">
        <w:rPr>
          <w:rFonts w:ascii="Times New Roman" w:hAnsi="Times New Roman" w:cs="Times New Roman"/>
          <w:lang w:val="uk-UA"/>
        </w:rPr>
        <w:t>Зниження виживання трансплантата частково відображається на збільшенні смертності пацієнта. Крім того, специфічні причини, пов'язані з ВГС, такі як гломерулонефрит і підвищений ризик розвитку діабету, вплива</w:t>
      </w:r>
      <w:r w:rsidR="004A4D37">
        <w:rPr>
          <w:rFonts w:ascii="Times New Roman" w:hAnsi="Times New Roman" w:cs="Times New Roman"/>
          <w:lang w:val="uk-UA"/>
        </w:rPr>
        <w:t>ю</w:t>
      </w:r>
      <w:r w:rsidRPr="00BA5C0A">
        <w:rPr>
          <w:rFonts w:ascii="Times New Roman" w:hAnsi="Times New Roman" w:cs="Times New Roman"/>
          <w:lang w:val="uk-UA"/>
        </w:rPr>
        <w:t>ть на результат трансплантації. ВГС</w:t>
      </w:r>
      <w:r w:rsidR="004A4D37">
        <w:rPr>
          <w:rFonts w:ascii="Times New Roman" w:hAnsi="Times New Roman" w:cs="Times New Roman"/>
          <w:lang w:val="uk-UA"/>
        </w:rPr>
        <w:t>-</w:t>
      </w:r>
      <w:r w:rsidRPr="00BA5C0A">
        <w:rPr>
          <w:rFonts w:ascii="Times New Roman" w:hAnsi="Times New Roman" w:cs="Times New Roman"/>
          <w:lang w:val="uk-UA"/>
        </w:rPr>
        <w:t xml:space="preserve">позитивність пов'язана </w:t>
      </w:r>
      <w:r w:rsidR="004A4D37">
        <w:rPr>
          <w:rFonts w:ascii="Times New Roman" w:hAnsi="Times New Roman" w:cs="Times New Roman"/>
          <w:lang w:val="uk-UA"/>
        </w:rPr>
        <w:t>зі</w:t>
      </w:r>
      <w:r w:rsidRPr="00BA5C0A">
        <w:rPr>
          <w:rFonts w:ascii="Times New Roman" w:hAnsi="Times New Roman" w:cs="Times New Roman"/>
          <w:lang w:val="uk-UA"/>
        </w:rPr>
        <w:t xml:space="preserve"> збільшенням загальної та пов'язаної з печінкою смертності, хоча серцево</w:t>
      </w:r>
      <w:r w:rsidR="00FC6D8A">
        <w:rPr>
          <w:rFonts w:ascii="Times New Roman" w:hAnsi="Times New Roman" w:cs="Times New Roman"/>
          <w:lang w:val="uk-UA"/>
        </w:rPr>
        <w:t>–</w:t>
      </w:r>
      <w:r w:rsidRPr="00BA5C0A">
        <w:rPr>
          <w:rFonts w:ascii="Times New Roman" w:hAnsi="Times New Roman" w:cs="Times New Roman"/>
          <w:lang w:val="uk-UA"/>
        </w:rPr>
        <w:t xml:space="preserve">судинні захворювання </w:t>
      </w:r>
      <w:r w:rsidRPr="00BA5C0A">
        <w:rPr>
          <w:rFonts w:ascii="Times New Roman" w:hAnsi="Times New Roman" w:cs="Times New Roman"/>
          <w:lang w:val="uk-UA"/>
        </w:rPr>
        <w:lastRenderedPageBreak/>
        <w:t>залишаються основною причиною смерті пацієнтів.</w:t>
      </w:r>
      <w:r w:rsidRPr="00BA5C0A">
        <w:rPr>
          <w:rFonts w:ascii="Times New Roman" w:hAnsi="Times New Roman" w:cs="Times New Roman"/>
          <w:vertAlign w:val="superscript"/>
          <w:lang w:val="uk-UA"/>
        </w:rPr>
        <w:t>195</w:t>
      </w:r>
      <w:r w:rsidRPr="00BA5C0A">
        <w:rPr>
          <w:rFonts w:ascii="Times New Roman" w:hAnsi="Times New Roman" w:cs="Times New Roman"/>
          <w:lang w:val="uk-UA"/>
        </w:rPr>
        <w:t xml:space="preserve"> Оскільки цироз печінки є важливим предиктором поганого виживання після трансплантації нирок, доцільн</w:t>
      </w:r>
      <w:r w:rsidR="004A4D37">
        <w:rPr>
          <w:rFonts w:ascii="Times New Roman" w:hAnsi="Times New Roman" w:cs="Times New Roman"/>
          <w:lang w:val="uk-UA"/>
        </w:rPr>
        <w:t>о</w:t>
      </w:r>
      <w:r w:rsidRPr="00BA5C0A">
        <w:rPr>
          <w:rFonts w:ascii="Times New Roman" w:hAnsi="Times New Roman" w:cs="Times New Roman"/>
          <w:lang w:val="uk-UA"/>
        </w:rPr>
        <w:t xml:space="preserve"> оцінити стадію фіброз</w:t>
      </w:r>
      <w:r w:rsidR="00265976">
        <w:rPr>
          <w:rFonts w:ascii="Times New Roman" w:hAnsi="Times New Roman" w:cs="Times New Roman"/>
          <w:lang w:val="uk-UA"/>
        </w:rPr>
        <w:t>у</w:t>
      </w:r>
      <w:r w:rsidRPr="00BA5C0A">
        <w:rPr>
          <w:rFonts w:ascii="Times New Roman" w:hAnsi="Times New Roman" w:cs="Times New Roman"/>
          <w:lang w:val="uk-UA"/>
        </w:rPr>
        <w:t xml:space="preserve"> печінки у всіх ВГС</w:t>
      </w:r>
      <w:r w:rsidR="004A4D37">
        <w:rPr>
          <w:rFonts w:ascii="Times New Roman" w:hAnsi="Times New Roman" w:cs="Times New Roman"/>
          <w:lang w:val="uk-UA"/>
        </w:rPr>
        <w:t>-</w:t>
      </w:r>
      <w:r w:rsidRPr="00BA5C0A">
        <w:rPr>
          <w:rFonts w:ascii="Times New Roman" w:hAnsi="Times New Roman" w:cs="Times New Roman"/>
          <w:lang w:val="uk-UA"/>
        </w:rPr>
        <w:t>позитивних кандидатів на трансплантацію нирок.</w:t>
      </w:r>
      <w:r w:rsidRPr="00BA5C0A">
        <w:rPr>
          <w:rFonts w:ascii="Times New Roman" w:hAnsi="Times New Roman" w:cs="Times New Roman"/>
          <w:vertAlign w:val="superscript"/>
          <w:lang w:val="uk-UA"/>
        </w:rPr>
        <w:t xml:space="preserve">115 </w:t>
      </w:r>
      <w:r w:rsidRPr="00BA5C0A">
        <w:rPr>
          <w:rFonts w:ascii="Times New Roman" w:hAnsi="Times New Roman" w:cs="Times New Roman"/>
          <w:lang w:val="uk-UA"/>
        </w:rPr>
        <w:t>Для пацієнтів з цироз</w:t>
      </w:r>
      <w:r w:rsidR="004A4D37">
        <w:rPr>
          <w:rFonts w:ascii="Times New Roman" w:hAnsi="Times New Roman" w:cs="Times New Roman"/>
          <w:lang w:val="uk-UA"/>
        </w:rPr>
        <w:t>ом</w:t>
      </w:r>
      <w:r w:rsidRPr="00BA5C0A">
        <w:rPr>
          <w:rFonts w:ascii="Times New Roman" w:hAnsi="Times New Roman" w:cs="Times New Roman"/>
          <w:lang w:val="uk-UA"/>
        </w:rPr>
        <w:t xml:space="preserve"> та портальною гіпертензією, які не піддаються (або яким не підход</w:t>
      </w:r>
      <w:r w:rsidR="004A4D37">
        <w:rPr>
          <w:rFonts w:ascii="Times New Roman" w:hAnsi="Times New Roman" w:cs="Times New Roman"/>
          <w:lang w:val="uk-UA"/>
        </w:rPr>
        <w:t>и</w:t>
      </w:r>
      <w:r w:rsidRPr="00BA5C0A">
        <w:rPr>
          <w:rFonts w:ascii="Times New Roman" w:hAnsi="Times New Roman" w:cs="Times New Roman"/>
          <w:lang w:val="uk-UA"/>
        </w:rPr>
        <w:t>ть) лікуванню ВГС, слід розглядати комбіновану трансплантацію печінки та нирок.</w:t>
      </w:r>
      <w:r w:rsidRPr="00BA5C0A">
        <w:rPr>
          <w:rFonts w:ascii="Times New Roman" w:hAnsi="Times New Roman" w:cs="Times New Roman"/>
          <w:vertAlign w:val="superscript"/>
          <w:lang w:val="uk-UA"/>
        </w:rPr>
        <w:t>196</w:t>
      </w:r>
    </w:p>
    <w:p w14:paraId="144BDFAB" w14:textId="77777777" w:rsidR="00BA5C0A" w:rsidRPr="00BA5C0A" w:rsidRDefault="00BA5C0A" w:rsidP="00BA5C0A">
      <w:pPr>
        <w:tabs>
          <w:tab w:val="left" w:pos="903"/>
        </w:tabs>
        <w:jc w:val="both"/>
        <w:rPr>
          <w:rFonts w:ascii="Times New Roman" w:hAnsi="Times New Roman" w:cs="Times New Roman"/>
          <w:lang w:val="uk-UA"/>
        </w:rPr>
      </w:pPr>
    </w:p>
    <w:p w14:paraId="3DD05878" w14:textId="6F38F0FE" w:rsidR="00BA5C0A" w:rsidRPr="00BA5C0A" w:rsidRDefault="00BA5C0A" w:rsidP="00BA5C0A">
      <w:pPr>
        <w:tabs>
          <w:tab w:val="left" w:pos="903"/>
        </w:tabs>
        <w:jc w:val="both"/>
        <w:rPr>
          <w:rFonts w:ascii="Times New Roman" w:hAnsi="Times New Roman" w:cs="Times New Roman"/>
          <w:lang w:val="uk-UA"/>
        </w:rPr>
      </w:pPr>
      <w:r w:rsidRPr="001C7945">
        <w:rPr>
          <w:rFonts w:ascii="Times New Roman" w:hAnsi="Times New Roman" w:cs="Times New Roman"/>
          <w:lang w:val="uk-UA"/>
        </w:rPr>
        <w:t xml:space="preserve">У рандомізованому </w:t>
      </w:r>
      <w:r w:rsidRPr="0071381B">
        <w:rPr>
          <w:rFonts w:ascii="Times New Roman" w:hAnsi="Times New Roman" w:cs="Times New Roman"/>
          <w:lang w:val="uk-UA"/>
        </w:rPr>
        <w:t>к</w:t>
      </w:r>
      <w:r w:rsidR="0071381B">
        <w:rPr>
          <w:rFonts w:ascii="Times New Roman" w:hAnsi="Times New Roman" w:cs="Times New Roman"/>
          <w:lang w:val="uk-UA"/>
        </w:rPr>
        <w:t>лінічному дослідженні при лікуванні пацієнтів з</w:t>
      </w:r>
      <w:r w:rsidR="0071381B" w:rsidRPr="00BA5C0A">
        <w:rPr>
          <w:rFonts w:ascii="Times New Roman" w:hAnsi="Times New Roman" w:cs="Times New Roman"/>
          <w:lang w:val="uk-UA"/>
        </w:rPr>
        <w:t xml:space="preserve"> 1 або 4 генотипом ВГС</w:t>
      </w:r>
      <w:r w:rsidR="0071381B">
        <w:rPr>
          <w:rFonts w:ascii="Times New Roman" w:hAnsi="Times New Roman" w:cs="Times New Roman"/>
          <w:lang w:val="uk-UA"/>
        </w:rPr>
        <w:t xml:space="preserve"> </w:t>
      </w:r>
      <w:r w:rsidR="0071381B" w:rsidRPr="00BA5C0A">
        <w:rPr>
          <w:rFonts w:ascii="Times New Roman" w:hAnsi="Times New Roman" w:cs="Times New Roman"/>
          <w:lang w:val="uk-UA"/>
        </w:rPr>
        <w:t xml:space="preserve">протягом 12 або 24 тижнів </w:t>
      </w:r>
      <w:r w:rsidR="001C7945">
        <w:rPr>
          <w:rFonts w:ascii="Times New Roman" w:hAnsi="Times New Roman" w:cs="Times New Roman"/>
          <w:lang w:val="uk-UA"/>
        </w:rPr>
        <w:t>комбінацією</w:t>
      </w:r>
      <w:r w:rsidR="0071381B" w:rsidRPr="0071381B">
        <w:rPr>
          <w:rFonts w:ascii="Times New Roman" w:hAnsi="Times New Roman" w:cs="Times New Roman"/>
          <w:lang w:val="uk-UA"/>
        </w:rPr>
        <w:t xml:space="preserve"> софосбувіру і ледіпасвіру</w:t>
      </w:r>
      <w:r w:rsidR="0071381B" w:rsidRPr="00BA5C0A">
        <w:rPr>
          <w:rFonts w:ascii="Times New Roman" w:hAnsi="Times New Roman" w:cs="Times New Roman"/>
          <w:lang w:val="uk-UA"/>
        </w:rPr>
        <w:t xml:space="preserve"> без рибавірину</w:t>
      </w:r>
      <w:r w:rsidR="0071381B" w:rsidRPr="0071381B">
        <w:rPr>
          <w:rFonts w:ascii="Times New Roman" w:hAnsi="Times New Roman" w:cs="Times New Roman"/>
          <w:lang w:val="uk-UA"/>
        </w:rPr>
        <w:t xml:space="preserve"> </w:t>
      </w:r>
      <w:r w:rsidR="0071381B">
        <w:rPr>
          <w:rFonts w:ascii="Times New Roman" w:hAnsi="Times New Roman" w:cs="Times New Roman"/>
          <w:lang w:val="uk-UA"/>
        </w:rPr>
        <w:t>СВВ було</w:t>
      </w:r>
      <w:r w:rsidRPr="00BA5C0A">
        <w:rPr>
          <w:rFonts w:ascii="Times New Roman" w:hAnsi="Times New Roman" w:cs="Times New Roman"/>
          <w:lang w:val="uk-UA"/>
        </w:rPr>
        <w:t xml:space="preserve"> 100% (</w:t>
      </w:r>
      <w:r w:rsidR="0071381B">
        <w:rPr>
          <w:rFonts w:ascii="Times New Roman" w:hAnsi="Times New Roman" w:cs="Times New Roman"/>
          <w:lang w:val="uk-UA"/>
        </w:rPr>
        <w:t>57/57) і 100% (57 /57)</w:t>
      </w:r>
      <w:r w:rsidR="001C7945">
        <w:rPr>
          <w:rFonts w:ascii="Times New Roman" w:hAnsi="Times New Roman" w:cs="Times New Roman"/>
          <w:lang w:val="it-IT"/>
        </w:rPr>
        <w:t xml:space="preserve"> </w:t>
      </w:r>
      <w:r w:rsidR="001C7945">
        <w:rPr>
          <w:rFonts w:ascii="Times New Roman" w:hAnsi="Times New Roman" w:cs="Times New Roman"/>
          <w:lang w:val="uk-UA"/>
        </w:rPr>
        <w:t>відповідно</w:t>
      </w:r>
      <w:r w:rsidRPr="00BA5C0A">
        <w:rPr>
          <w:rFonts w:ascii="Times New Roman" w:hAnsi="Times New Roman" w:cs="Times New Roman"/>
          <w:lang w:val="uk-UA"/>
        </w:rPr>
        <w:t xml:space="preserve">. </w:t>
      </w:r>
      <w:r w:rsidR="00A62DA7">
        <w:rPr>
          <w:rFonts w:ascii="Times New Roman" w:hAnsi="Times New Roman" w:cs="Times New Roman"/>
          <w:lang w:val="uk-UA"/>
        </w:rPr>
        <w:t xml:space="preserve">Пацієнти </w:t>
      </w:r>
      <w:r w:rsidRPr="00BA5C0A">
        <w:rPr>
          <w:rFonts w:ascii="Times New Roman" w:hAnsi="Times New Roman" w:cs="Times New Roman"/>
          <w:lang w:val="uk-UA"/>
        </w:rPr>
        <w:t xml:space="preserve">добре переносили </w:t>
      </w:r>
      <w:r w:rsidR="00A62DA7">
        <w:rPr>
          <w:rFonts w:ascii="Times New Roman" w:hAnsi="Times New Roman" w:cs="Times New Roman"/>
          <w:lang w:val="uk-UA"/>
        </w:rPr>
        <w:t xml:space="preserve">лікування </w:t>
      </w:r>
      <w:r w:rsidRPr="00BA5C0A">
        <w:rPr>
          <w:rFonts w:ascii="Times New Roman" w:hAnsi="Times New Roman" w:cs="Times New Roman"/>
          <w:lang w:val="uk-UA"/>
        </w:rPr>
        <w:t xml:space="preserve">і не було </w:t>
      </w:r>
      <w:r w:rsidR="001C7945">
        <w:rPr>
          <w:rFonts w:ascii="Times New Roman" w:hAnsi="Times New Roman" w:cs="Times New Roman"/>
          <w:lang w:val="uk-UA"/>
        </w:rPr>
        <w:t>зафіксовано</w:t>
      </w:r>
      <w:r w:rsidRPr="00BA5C0A">
        <w:rPr>
          <w:rFonts w:ascii="Times New Roman" w:hAnsi="Times New Roman" w:cs="Times New Roman"/>
          <w:lang w:val="uk-UA"/>
        </w:rPr>
        <w:t xml:space="preserve"> значних змін </w:t>
      </w:r>
      <w:r w:rsidR="00681632">
        <w:rPr>
          <w:rFonts w:ascii="Times New Roman" w:hAnsi="Times New Roman" w:cs="Times New Roman"/>
          <w:lang w:val="uk-UA"/>
        </w:rPr>
        <w:t>ШКФ</w:t>
      </w:r>
      <w:r w:rsidRPr="00BA5C0A">
        <w:rPr>
          <w:rFonts w:ascii="Times New Roman" w:hAnsi="Times New Roman" w:cs="Times New Roman"/>
          <w:lang w:val="uk-UA"/>
        </w:rPr>
        <w:t xml:space="preserve"> під час і після лікування. </w:t>
      </w:r>
      <w:r w:rsidR="00CC7F23">
        <w:rPr>
          <w:rFonts w:ascii="Times New Roman" w:hAnsi="Times New Roman" w:cs="Times New Roman"/>
          <w:lang w:val="uk-UA"/>
        </w:rPr>
        <w:t>В інших клінічних дослідженнях</w:t>
      </w:r>
      <w:r w:rsidRPr="00BA5C0A">
        <w:rPr>
          <w:rFonts w:ascii="Times New Roman" w:hAnsi="Times New Roman" w:cs="Times New Roman"/>
          <w:lang w:val="uk-UA"/>
        </w:rPr>
        <w:t xml:space="preserve"> </w:t>
      </w:r>
      <w:r w:rsidR="00CC7F23">
        <w:rPr>
          <w:rFonts w:ascii="Times New Roman" w:hAnsi="Times New Roman" w:cs="Times New Roman"/>
          <w:lang w:val="uk-UA"/>
        </w:rPr>
        <w:t>повідомлялося</w:t>
      </w:r>
      <w:r w:rsidRPr="00BA5C0A">
        <w:rPr>
          <w:rFonts w:ascii="Times New Roman" w:hAnsi="Times New Roman" w:cs="Times New Roman"/>
          <w:lang w:val="uk-UA"/>
        </w:rPr>
        <w:t xml:space="preserve"> про високі показники СВВ та хорошу безпеку у пацієнтів, які отримували різні схеми лікування після трансплантації. </w:t>
      </w:r>
      <w:r w:rsidRPr="00BA5C0A">
        <w:rPr>
          <w:rFonts w:ascii="Times New Roman" w:hAnsi="Times New Roman" w:cs="Times New Roman"/>
          <w:vertAlign w:val="superscript"/>
          <w:lang w:val="uk-UA"/>
        </w:rPr>
        <w:t>189</w:t>
      </w:r>
      <w:r w:rsidR="00FC6D8A">
        <w:rPr>
          <w:rFonts w:ascii="Times New Roman" w:hAnsi="Times New Roman" w:cs="Times New Roman"/>
          <w:vertAlign w:val="superscript"/>
          <w:lang w:val="uk-UA"/>
        </w:rPr>
        <w:t>–</w:t>
      </w:r>
      <w:r w:rsidRPr="00BA5C0A">
        <w:rPr>
          <w:rFonts w:ascii="Times New Roman" w:hAnsi="Times New Roman" w:cs="Times New Roman"/>
          <w:vertAlign w:val="superscript"/>
          <w:lang w:val="uk-UA"/>
        </w:rPr>
        <w:t>191, 193, 197</w:t>
      </w:r>
      <w:r w:rsidR="00FC6D8A">
        <w:rPr>
          <w:rFonts w:ascii="Times New Roman" w:hAnsi="Times New Roman" w:cs="Times New Roman"/>
          <w:vertAlign w:val="superscript"/>
          <w:lang w:val="uk-UA"/>
        </w:rPr>
        <w:t>–</w:t>
      </w:r>
      <w:r w:rsidRPr="00BA5C0A">
        <w:rPr>
          <w:rFonts w:ascii="Times New Roman" w:hAnsi="Times New Roman" w:cs="Times New Roman"/>
          <w:vertAlign w:val="superscript"/>
          <w:lang w:val="uk-UA"/>
        </w:rPr>
        <w:t>200</w:t>
      </w:r>
    </w:p>
    <w:p w14:paraId="7CDEDA04" w14:textId="77777777" w:rsidR="00BA5C0A" w:rsidRPr="00BA5C0A" w:rsidRDefault="00BA5C0A" w:rsidP="00BA5C0A">
      <w:pPr>
        <w:tabs>
          <w:tab w:val="left" w:pos="903"/>
        </w:tabs>
        <w:jc w:val="both"/>
        <w:rPr>
          <w:rFonts w:ascii="Times New Roman" w:hAnsi="Times New Roman" w:cs="Times New Roman"/>
          <w:lang w:val="uk-UA"/>
        </w:rPr>
      </w:pPr>
    </w:p>
    <w:p w14:paraId="0C5ED746" w14:textId="03C2580A" w:rsidR="00BA5C0A" w:rsidRPr="00BA5C0A" w:rsidRDefault="00BA5C0A" w:rsidP="00BA5C0A">
      <w:pPr>
        <w:tabs>
          <w:tab w:val="left" w:pos="903"/>
        </w:tabs>
        <w:jc w:val="both"/>
        <w:rPr>
          <w:rFonts w:ascii="Times New Roman" w:hAnsi="Times New Roman" w:cs="Times New Roman"/>
          <w:lang w:val="uk-UA"/>
        </w:rPr>
      </w:pPr>
      <w:r w:rsidRPr="00BA5C0A">
        <w:rPr>
          <w:rFonts w:ascii="Times New Roman" w:hAnsi="Times New Roman" w:cs="Times New Roman"/>
          <w:lang w:val="uk-UA"/>
        </w:rPr>
        <w:t xml:space="preserve">Дані щодо інфекції ВГС після трансплантації серця є </w:t>
      </w:r>
      <w:r w:rsidR="00CC7F23">
        <w:rPr>
          <w:rFonts w:ascii="Times New Roman" w:hAnsi="Times New Roman" w:cs="Times New Roman"/>
          <w:lang w:val="uk-UA"/>
        </w:rPr>
        <w:t xml:space="preserve">обмеженими </w:t>
      </w:r>
      <w:r w:rsidRPr="00BA5C0A">
        <w:rPr>
          <w:rFonts w:ascii="Times New Roman" w:hAnsi="Times New Roman" w:cs="Times New Roman"/>
          <w:lang w:val="uk-UA"/>
        </w:rPr>
        <w:t>та суперечливими, при цьому дослідження показують незмінені або зменшені показники виживання у пацієнтів, інфікованих ВГС. Незважаючи на те, що досвід застосування ПППД для цих пацієнтів обмежений, комбінації софосбувіру з ледипасвіром або даклатасвіром були безпечними та ефективними у 12 пацієнтів з хронічною інфекцією ВГС. Також існує обмежений досвід лікування пацієнтів, які отримали трансплантати легень, проте схеми, розроблені на основі софосбувіру, здаються безпечними та ефективними згідно звітів.</w:t>
      </w:r>
      <w:r w:rsidRPr="00BA5C0A">
        <w:rPr>
          <w:rFonts w:ascii="Times New Roman" w:hAnsi="Times New Roman" w:cs="Times New Roman"/>
          <w:vertAlign w:val="superscript"/>
          <w:lang w:val="uk-UA"/>
        </w:rPr>
        <w:t>202</w:t>
      </w:r>
      <w:r w:rsidRPr="00BA5C0A">
        <w:rPr>
          <w:rFonts w:ascii="Times New Roman" w:hAnsi="Times New Roman" w:cs="Times New Roman"/>
          <w:lang w:val="uk-UA"/>
        </w:rPr>
        <w:t xml:space="preserve"> Немає даних про </w:t>
      </w:r>
      <w:r w:rsidR="00E55BF4" w:rsidRPr="00BA5C0A">
        <w:rPr>
          <w:rFonts w:ascii="Times New Roman" w:hAnsi="Times New Roman" w:cs="Times New Roman"/>
          <w:lang w:val="uk-UA"/>
        </w:rPr>
        <w:t xml:space="preserve">вплив </w:t>
      </w:r>
      <w:r w:rsidRPr="00BA5C0A">
        <w:rPr>
          <w:rFonts w:ascii="Times New Roman" w:hAnsi="Times New Roman" w:cs="Times New Roman"/>
          <w:lang w:val="uk-UA"/>
        </w:rPr>
        <w:t>ВГС</w:t>
      </w:r>
      <w:r w:rsidR="00E55BF4">
        <w:rPr>
          <w:rFonts w:ascii="Times New Roman" w:hAnsi="Times New Roman" w:cs="Times New Roman"/>
          <w:lang w:val="uk-UA"/>
        </w:rPr>
        <w:t>-</w:t>
      </w:r>
      <w:r w:rsidR="00E55BF4" w:rsidRPr="00BA5C0A">
        <w:rPr>
          <w:rFonts w:ascii="Times New Roman" w:hAnsi="Times New Roman" w:cs="Times New Roman"/>
          <w:lang w:val="uk-UA"/>
        </w:rPr>
        <w:t xml:space="preserve">інфекції </w:t>
      </w:r>
      <w:r w:rsidR="00E55BF4">
        <w:rPr>
          <w:rFonts w:ascii="Times New Roman" w:hAnsi="Times New Roman" w:cs="Times New Roman"/>
          <w:lang w:val="uk-UA"/>
        </w:rPr>
        <w:t>та її</w:t>
      </w:r>
      <w:r w:rsidRPr="00BA5C0A">
        <w:rPr>
          <w:rFonts w:ascii="Times New Roman" w:hAnsi="Times New Roman" w:cs="Times New Roman"/>
          <w:lang w:val="uk-UA"/>
        </w:rPr>
        <w:t xml:space="preserve"> лікування після трансплантації підшлункової залози або тонкого </w:t>
      </w:r>
      <w:r w:rsidR="00E55BF4">
        <w:rPr>
          <w:rFonts w:ascii="Times New Roman" w:hAnsi="Times New Roman" w:cs="Times New Roman"/>
          <w:lang w:val="uk-UA"/>
        </w:rPr>
        <w:t>кишечника</w:t>
      </w:r>
      <w:r w:rsidRPr="00BA5C0A">
        <w:rPr>
          <w:rFonts w:ascii="Times New Roman" w:hAnsi="Times New Roman" w:cs="Times New Roman"/>
          <w:lang w:val="uk-UA"/>
        </w:rPr>
        <w:t>.</w:t>
      </w:r>
    </w:p>
    <w:p w14:paraId="2D7549CF" w14:textId="77777777" w:rsidR="00BA5C0A" w:rsidRPr="00BA5C0A" w:rsidRDefault="00BA5C0A" w:rsidP="00BA5C0A">
      <w:pPr>
        <w:tabs>
          <w:tab w:val="left" w:pos="903"/>
        </w:tabs>
        <w:jc w:val="both"/>
        <w:rPr>
          <w:rFonts w:ascii="Times New Roman" w:hAnsi="Times New Roman" w:cs="Times New Roman"/>
          <w:lang w:val="uk-UA"/>
        </w:rPr>
      </w:pPr>
    </w:p>
    <w:p w14:paraId="079D5894" w14:textId="1A8361A7" w:rsidR="00BA5C0A" w:rsidRDefault="00BA5C0A" w:rsidP="00BA5C0A">
      <w:pPr>
        <w:tabs>
          <w:tab w:val="left" w:pos="903"/>
        </w:tabs>
        <w:jc w:val="both"/>
        <w:rPr>
          <w:rFonts w:ascii="Times New Roman" w:hAnsi="Times New Roman" w:cs="Times New Roman"/>
          <w:lang w:val="uk-UA"/>
        </w:rPr>
      </w:pPr>
      <w:r w:rsidRPr="00BA5C0A">
        <w:rPr>
          <w:rFonts w:ascii="Times New Roman" w:hAnsi="Times New Roman" w:cs="Times New Roman"/>
          <w:lang w:val="uk-UA"/>
        </w:rPr>
        <w:t xml:space="preserve">Досвід, накопичений при лікуванні пацієнтів після трансплантації печінки, свідчить про те, що реципієнти органів можуть </w:t>
      </w:r>
      <w:r w:rsidR="0035178D">
        <w:rPr>
          <w:rFonts w:ascii="Times New Roman" w:hAnsi="Times New Roman" w:cs="Times New Roman"/>
          <w:lang w:val="uk-UA"/>
        </w:rPr>
        <w:t xml:space="preserve">безпечно </w:t>
      </w:r>
      <w:r w:rsidRPr="00BA5C0A">
        <w:rPr>
          <w:rFonts w:ascii="Times New Roman" w:hAnsi="Times New Roman" w:cs="Times New Roman"/>
          <w:lang w:val="uk-UA"/>
        </w:rPr>
        <w:t>лікуватися та очікувати високих показників СВВ</w:t>
      </w:r>
      <w:r w:rsidR="0035178D">
        <w:rPr>
          <w:rFonts w:ascii="Times New Roman" w:hAnsi="Times New Roman" w:cs="Times New Roman"/>
          <w:lang w:val="uk-UA"/>
        </w:rPr>
        <w:t>.</w:t>
      </w:r>
      <w:r w:rsidRPr="00BA5C0A">
        <w:rPr>
          <w:rFonts w:ascii="Times New Roman" w:hAnsi="Times New Roman" w:cs="Times New Roman"/>
          <w:lang w:val="uk-UA"/>
        </w:rPr>
        <w:t xml:space="preserve"> Необхідно використовувати комбінації софосбувіру з інгібітором NS5A, такими як ледіпасвір або велпатасвір, тому що вони не потребують регулювання дози імуносупресантів. Пацієнтів з </w:t>
      </w:r>
      <w:r w:rsidR="00681632">
        <w:rPr>
          <w:rFonts w:ascii="Times New Roman" w:hAnsi="Times New Roman" w:cs="Times New Roman"/>
          <w:lang w:val="uk-UA"/>
        </w:rPr>
        <w:t>ШКФ</w:t>
      </w:r>
      <w:r w:rsidRPr="00BA5C0A">
        <w:rPr>
          <w:rFonts w:ascii="Times New Roman" w:hAnsi="Times New Roman" w:cs="Times New Roman"/>
          <w:lang w:val="uk-UA"/>
        </w:rPr>
        <w:t xml:space="preserve"> &lt;30 мл / хв / 1,73 м2 можна лікувати фіксованою дозою комбінації глекапревіру та пібрентасвіру протягом 12 тижнів, проте </w:t>
      </w:r>
      <w:r w:rsidR="008D650D" w:rsidRPr="008D650D">
        <w:rPr>
          <w:rFonts w:ascii="Times New Roman" w:hAnsi="Times New Roman" w:cs="Times New Roman"/>
          <w:lang w:val="uk-UA"/>
        </w:rPr>
        <w:t>доза</w:t>
      </w:r>
      <w:r w:rsidRPr="008D650D">
        <w:rPr>
          <w:rFonts w:ascii="Times New Roman" w:hAnsi="Times New Roman" w:cs="Times New Roman"/>
          <w:lang w:val="uk-UA"/>
        </w:rPr>
        <w:t xml:space="preserve"> імуносупресантів</w:t>
      </w:r>
      <w:r w:rsidRPr="00BA5C0A">
        <w:rPr>
          <w:rFonts w:ascii="Times New Roman" w:hAnsi="Times New Roman" w:cs="Times New Roman"/>
          <w:lang w:val="uk-UA"/>
        </w:rPr>
        <w:t xml:space="preserve"> потребує коригування за необхідності протягом та після закінчення лікування.</w:t>
      </w:r>
    </w:p>
    <w:p w14:paraId="3A5BD918" w14:textId="77777777" w:rsidR="00BA5C0A" w:rsidRPr="00BA5C0A" w:rsidRDefault="00BA5C0A" w:rsidP="00BA5C0A">
      <w:pPr>
        <w:tabs>
          <w:tab w:val="left" w:pos="903"/>
        </w:tabs>
        <w:jc w:val="both"/>
        <w:rPr>
          <w:rFonts w:ascii="Times New Roman" w:hAnsi="Times New Roman" w:cs="Times New Roman"/>
          <w:lang w:val="uk-UA"/>
        </w:rPr>
      </w:pPr>
    </w:p>
    <w:tbl>
      <w:tblPr>
        <w:tblW w:w="983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BA5C0A" w:rsidRPr="00BA5C0A" w14:paraId="79049F03" w14:textId="77777777" w:rsidTr="00265976">
        <w:trPr>
          <w:trHeight w:val="544"/>
        </w:trPr>
        <w:tc>
          <w:tcPr>
            <w:tcW w:w="9836" w:type="dxa"/>
            <w:shd w:val="clear" w:color="auto" w:fill="BDD6EE" w:themeFill="accent1" w:themeFillTint="66"/>
          </w:tcPr>
          <w:p w14:paraId="70A43174" w14:textId="77777777" w:rsidR="00BA5C0A" w:rsidRPr="00BA5C0A" w:rsidRDefault="00BA5C0A" w:rsidP="00BA5C0A">
            <w:pPr>
              <w:jc w:val="both"/>
              <w:rPr>
                <w:rFonts w:ascii="Times New Roman" w:hAnsi="Times New Roman" w:cs="Times New Roman"/>
                <w:b/>
                <w:i/>
                <w:color w:val="4472C4" w:themeColor="accent5"/>
                <w:lang w:val="uk-UA"/>
              </w:rPr>
            </w:pPr>
            <w:r w:rsidRPr="00BA5C0A">
              <w:rPr>
                <w:rFonts w:ascii="Times New Roman" w:hAnsi="Times New Roman" w:cs="Times New Roman"/>
                <w:b/>
                <w:i/>
                <w:color w:val="4472C4" w:themeColor="accent5"/>
                <w:lang w:val="uk-UA"/>
              </w:rPr>
              <w:t>Рекомендації</w:t>
            </w:r>
          </w:p>
          <w:p w14:paraId="660A10C5" w14:textId="77777777" w:rsidR="00BA5C0A" w:rsidRPr="00BA5C0A" w:rsidRDefault="00BA5C0A" w:rsidP="00BA5C0A">
            <w:pPr>
              <w:jc w:val="both"/>
              <w:rPr>
                <w:rFonts w:ascii="Times New Roman" w:hAnsi="Times New Roman" w:cs="Times New Roman"/>
                <w:b/>
                <w:i/>
                <w:color w:val="4472C4" w:themeColor="accent5"/>
                <w:lang w:val="uk-UA"/>
              </w:rPr>
            </w:pPr>
          </w:p>
          <w:p w14:paraId="2B32497B" w14:textId="60889C05" w:rsidR="00BA5C0A" w:rsidRPr="00BA5C0A" w:rsidRDefault="00E55BF4" w:rsidP="00015E3B">
            <w:pPr>
              <w:numPr>
                <w:ilvl w:val="0"/>
                <w:numId w:val="46"/>
              </w:numPr>
              <w:contextualSpacing/>
              <w:jc w:val="both"/>
              <w:rPr>
                <w:rFonts w:ascii="Times New Roman" w:hAnsi="Times New Roman" w:cs="Times New Roman"/>
                <w:lang w:val="uk-UA"/>
              </w:rPr>
            </w:pPr>
            <w:r>
              <w:rPr>
                <w:rFonts w:ascii="Times New Roman" w:hAnsi="Times New Roman" w:cs="Times New Roman"/>
                <w:lang w:val="uk-UA"/>
              </w:rPr>
              <w:t xml:space="preserve">У </w:t>
            </w:r>
            <w:r w:rsidR="00BA5C0A" w:rsidRPr="00BA5C0A">
              <w:rPr>
                <w:rFonts w:ascii="Times New Roman" w:hAnsi="Times New Roman" w:cs="Times New Roman"/>
                <w:lang w:val="uk-UA"/>
              </w:rPr>
              <w:t>реципієнтів паренх</w:t>
            </w:r>
            <w:r w:rsidR="00A62DA7">
              <w:rPr>
                <w:rFonts w:ascii="Times New Roman" w:hAnsi="Times New Roman" w:cs="Times New Roman"/>
                <w:lang w:val="uk-UA"/>
              </w:rPr>
              <w:t>і</w:t>
            </w:r>
            <w:r w:rsidR="00BA5C0A" w:rsidRPr="00BA5C0A">
              <w:rPr>
                <w:rFonts w:ascii="Times New Roman" w:hAnsi="Times New Roman" w:cs="Times New Roman"/>
                <w:lang w:val="uk-UA"/>
              </w:rPr>
              <w:t xml:space="preserve">матозних органів, включаючи нирки, серце, легені, підшлункову залозу або тонкий кишечник, </w:t>
            </w:r>
            <w:r w:rsidRPr="00BA5C0A">
              <w:rPr>
                <w:rFonts w:ascii="Times New Roman" w:hAnsi="Times New Roman" w:cs="Times New Roman"/>
                <w:lang w:val="uk-UA"/>
              </w:rPr>
              <w:t>ВГС</w:t>
            </w:r>
            <w:r w:rsidR="008D650D">
              <w:rPr>
                <w:rFonts w:ascii="Times New Roman" w:hAnsi="Times New Roman" w:cs="Times New Roman"/>
                <w:lang w:val="uk-UA"/>
              </w:rPr>
              <w:t>-</w:t>
            </w:r>
            <w:r w:rsidRPr="00BA5C0A">
              <w:rPr>
                <w:rFonts w:ascii="Times New Roman" w:hAnsi="Times New Roman" w:cs="Times New Roman"/>
                <w:lang w:val="uk-UA"/>
              </w:rPr>
              <w:t xml:space="preserve">інфекцію </w:t>
            </w:r>
            <w:r>
              <w:rPr>
                <w:rFonts w:ascii="Times New Roman" w:hAnsi="Times New Roman" w:cs="Times New Roman"/>
                <w:lang w:val="uk-UA"/>
              </w:rPr>
              <w:t>необхідно</w:t>
            </w:r>
            <w:r w:rsidR="00BA5C0A" w:rsidRPr="00BA5C0A">
              <w:rPr>
                <w:rFonts w:ascii="Times New Roman" w:hAnsi="Times New Roman" w:cs="Times New Roman"/>
                <w:lang w:val="uk-UA"/>
              </w:rPr>
              <w:t xml:space="preserve"> лікувати до або після трансплантації, за умови, що </w:t>
            </w:r>
            <w:r w:rsidR="00A62DA7">
              <w:rPr>
                <w:rFonts w:ascii="Times New Roman" w:hAnsi="Times New Roman" w:cs="Times New Roman"/>
                <w:lang w:val="uk-UA"/>
              </w:rPr>
              <w:t xml:space="preserve">очікувана </w:t>
            </w:r>
            <w:r w:rsidR="00BA5C0A" w:rsidRPr="00BA5C0A">
              <w:rPr>
                <w:rFonts w:ascii="Times New Roman" w:hAnsi="Times New Roman" w:cs="Times New Roman"/>
                <w:lang w:val="uk-UA"/>
              </w:rPr>
              <w:t xml:space="preserve">тривалість життя </w:t>
            </w:r>
            <w:r>
              <w:rPr>
                <w:rFonts w:ascii="Times New Roman" w:hAnsi="Times New Roman" w:cs="Times New Roman"/>
                <w:lang w:val="uk-UA"/>
              </w:rPr>
              <w:t xml:space="preserve">реципієнтів </w:t>
            </w:r>
            <w:r w:rsidR="00BA5C0A" w:rsidRPr="00BA5C0A">
              <w:rPr>
                <w:rFonts w:ascii="Times New Roman" w:hAnsi="Times New Roman" w:cs="Times New Roman"/>
                <w:lang w:val="uk-UA"/>
              </w:rPr>
              <w:t>перевищує один рік (A1).</w:t>
            </w:r>
          </w:p>
          <w:p w14:paraId="4339CD73" w14:textId="011D5C4C" w:rsidR="00BA5C0A" w:rsidRPr="00BA5C0A" w:rsidRDefault="00BA5C0A" w:rsidP="00015E3B">
            <w:pPr>
              <w:numPr>
                <w:ilvl w:val="0"/>
                <w:numId w:val="41"/>
              </w:numPr>
              <w:contextualSpacing/>
              <w:jc w:val="both"/>
              <w:rPr>
                <w:rFonts w:ascii="Times New Roman" w:hAnsi="Times New Roman" w:cs="Times New Roman"/>
                <w:lang w:val="uk-UA"/>
              </w:rPr>
            </w:pPr>
            <w:r w:rsidRPr="00BA5C0A">
              <w:rPr>
                <w:rFonts w:ascii="Times New Roman" w:hAnsi="Times New Roman" w:cs="Times New Roman"/>
                <w:lang w:val="uk-UA"/>
              </w:rPr>
              <w:t xml:space="preserve">До пересадки нирки, серця, легенів, підшлункової залози або тонкого </w:t>
            </w:r>
            <w:r w:rsidR="00E55BF4">
              <w:rPr>
                <w:rFonts w:ascii="Times New Roman" w:hAnsi="Times New Roman" w:cs="Times New Roman"/>
                <w:lang w:val="uk-UA"/>
              </w:rPr>
              <w:t>кишечника</w:t>
            </w:r>
            <w:r w:rsidRPr="00BA5C0A">
              <w:rPr>
                <w:rFonts w:ascii="Times New Roman" w:hAnsi="Times New Roman" w:cs="Times New Roman"/>
                <w:lang w:val="uk-UA"/>
              </w:rPr>
              <w:t xml:space="preserve"> пацієнти в черзі очікування можуть отримувати лікування згідно з вищезгаданими загальними рекомендаціями, відповідно до генотипу, тяжкості захворювання печінки та попередньої </w:t>
            </w:r>
            <w:r w:rsidR="008D650D">
              <w:rPr>
                <w:rFonts w:ascii="Times New Roman" w:hAnsi="Times New Roman" w:cs="Times New Roman"/>
                <w:lang w:val="uk-UA"/>
              </w:rPr>
              <w:t>противірусної терапії</w:t>
            </w:r>
            <w:r w:rsidRPr="00BA5C0A">
              <w:rPr>
                <w:rFonts w:ascii="Times New Roman" w:hAnsi="Times New Roman" w:cs="Times New Roman"/>
                <w:lang w:val="uk-UA"/>
              </w:rPr>
              <w:t xml:space="preserve"> (А1).</w:t>
            </w:r>
          </w:p>
          <w:p w14:paraId="1B8B7F7C" w14:textId="7D686FB9" w:rsidR="00BA5C0A" w:rsidRPr="00BA5C0A" w:rsidRDefault="00BA5C0A" w:rsidP="00015E3B">
            <w:pPr>
              <w:numPr>
                <w:ilvl w:val="0"/>
                <w:numId w:val="41"/>
              </w:numPr>
              <w:contextualSpacing/>
              <w:jc w:val="both"/>
              <w:rPr>
                <w:rFonts w:ascii="Times New Roman" w:hAnsi="Times New Roman" w:cs="Times New Roman"/>
                <w:lang w:val="uk-UA"/>
              </w:rPr>
            </w:pPr>
            <w:r w:rsidRPr="00BA5C0A">
              <w:rPr>
                <w:rFonts w:ascii="Times New Roman" w:hAnsi="Times New Roman" w:cs="Times New Roman"/>
                <w:lang w:val="uk-UA"/>
              </w:rPr>
              <w:t>Після трансплантації реципієнтам паренх</w:t>
            </w:r>
            <w:r w:rsidR="00A62DA7">
              <w:rPr>
                <w:rFonts w:ascii="Times New Roman" w:hAnsi="Times New Roman" w:cs="Times New Roman"/>
                <w:lang w:val="uk-UA"/>
              </w:rPr>
              <w:t>і</w:t>
            </w:r>
            <w:r w:rsidRPr="00BA5C0A">
              <w:rPr>
                <w:rFonts w:ascii="Times New Roman" w:hAnsi="Times New Roman" w:cs="Times New Roman"/>
                <w:lang w:val="uk-UA"/>
              </w:rPr>
              <w:t xml:space="preserve">матозних органів, включаючи нирки, серце, легені, підшлункову залозу або </w:t>
            </w:r>
            <w:r w:rsidR="00E55BF4">
              <w:rPr>
                <w:rFonts w:ascii="Times New Roman" w:hAnsi="Times New Roman" w:cs="Times New Roman"/>
                <w:lang w:val="uk-UA"/>
              </w:rPr>
              <w:t>тонкий кишечник</w:t>
            </w:r>
            <w:r w:rsidRPr="00BA5C0A">
              <w:rPr>
                <w:rFonts w:ascii="Times New Roman" w:hAnsi="Times New Roman" w:cs="Times New Roman"/>
                <w:lang w:val="uk-UA"/>
              </w:rPr>
              <w:t>, слід призначати комбінацію фіксованої дози софосбувіру та ледіпасвіру (генотипи 1, 4, 5 та 6) або комбінацію софосбувіру і велпатасвіру (всі генотипи) згідно з загальними рекомендаціями, без необхідності регулювати дози імуносупресантів (А1).</w:t>
            </w:r>
          </w:p>
          <w:p w14:paraId="51A66F31" w14:textId="11A03C7F" w:rsidR="00BA5C0A" w:rsidRPr="00BA5C0A" w:rsidRDefault="00BA5C0A" w:rsidP="00E55BF4">
            <w:pPr>
              <w:numPr>
                <w:ilvl w:val="0"/>
                <w:numId w:val="41"/>
              </w:numPr>
              <w:contextualSpacing/>
              <w:jc w:val="both"/>
              <w:rPr>
                <w:rFonts w:ascii="Times New Roman" w:hAnsi="Times New Roman" w:cs="Times New Roman"/>
                <w:lang w:val="uk-UA"/>
              </w:rPr>
            </w:pPr>
            <w:r w:rsidRPr="00BA5C0A">
              <w:rPr>
                <w:rFonts w:ascii="Times New Roman" w:hAnsi="Times New Roman" w:cs="Times New Roman"/>
                <w:lang w:val="uk-UA"/>
              </w:rPr>
              <w:t>Після трансплантації реципієнтів паренх</w:t>
            </w:r>
            <w:r w:rsidR="00A62DA7">
              <w:rPr>
                <w:rFonts w:ascii="Times New Roman" w:hAnsi="Times New Roman" w:cs="Times New Roman"/>
                <w:lang w:val="uk-UA"/>
              </w:rPr>
              <w:t>і</w:t>
            </w:r>
            <w:r w:rsidRPr="00BA5C0A">
              <w:rPr>
                <w:rFonts w:ascii="Times New Roman" w:hAnsi="Times New Roman" w:cs="Times New Roman"/>
                <w:lang w:val="uk-UA"/>
              </w:rPr>
              <w:t xml:space="preserve">матозних органів, включаючи нирки, серце, легені, підшлункову залозу або </w:t>
            </w:r>
            <w:r w:rsidR="00E55BF4">
              <w:rPr>
                <w:rFonts w:ascii="Times New Roman" w:hAnsi="Times New Roman" w:cs="Times New Roman"/>
                <w:lang w:val="uk-UA"/>
              </w:rPr>
              <w:t>тонкий кишечник</w:t>
            </w:r>
            <w:r w:rsidRPr="00BA5C0A">
              <w:rPr>
                <w:rFonts w:ascii="Times New Roman" w:hAnsi="Times New Roman" w:cs="Times New Roman"/>
                <w:lang w:val="uk-UA"/>
              </w:rPr>
              <w:t xml:space="preserve">, з </w:t>
            </w:r>
            <w:r w:rsidR="00E9283D">
              <w:rPr>
                <w:rFonts w:ascii="Times New Roman" w:hAnsi="Times New Roman" w:cs="Times New Roman"/>
                <w:lang w:val="uk-UA"/>
              </w:rPr>
              <w:t>ШКФ</w:t>
            </w:r>
            <w:r w:rsidRPr="00BA5C0A">
              <w:rPr>
                <w:rFonts w:ascii="Times New Roman" w:hAnsi="Times New Roman" w:cs="Times New Roman"/>
                <w:lang w:val="uk-UA"/>
              </w:rPr>
              <w:t xml:space="preserve"> &lt;30мл/хв/1.73м2, можна лікувати комбінацією фіксованих доз глекапревіру та пібрентасвіру протягом 12 тижнів. </w:t>
            </w:r>
            <w:r w:rsidR="00A62DA7">
              <w:rPr>
                <w:rFonts w:ascii="Times New Roman" w:hAnsi="Times New Roman" w:cs="Times New Roman"/>
                <w:lang w:val="uk-UA"/>
              </w:rPr>
              <w:t>Дозування</w:t>
            </w:r>
            <w:r w:rsidR="00A62DA7" w:rsidRPr="00BA5C0A">
              <w:rPr>
                <w:rFonts w:ascii="Times New Roman" w:hAnsi="Times New Roman" w:cs="Times New Roman"/>
                <w:lang w:val="uk-UA"/>
              </w:rPr>
              <w:t xml:space="preserve"> </w:t>
            </w:r>
            <w:r w:rsidRPr="00BA5C0A">
              <w:rPr>
                <w:rFonts w:ascii="Times New Roman" w:hAnsi="Times New Roman" w:cs="Times New Roman"/>
                <w:lang w:val="uk-UA"/>
              </w:rPr>
              <w:t xml:space="preserve">імуносупресантів необхідно контролювати та регулювати, коли це необхідно протягом та </w:t>
            </w:r>
            <w:r w:rsidR="00E55BF4">
              <w:rPr>
                <w:rFonts w:ascii="Times New Roman" w:hAnsi="Times New Roman" w:cs="Times New Roman"/>
                <w:lang w:val="uk-UA"/>
              </w:rPr>
              <w:t>після закінчення лікування (В1)</w:t>
            </w:r>
          </w:p>
        </w:tc>
      </w:tr>
    </w:tbl>
    <w:p w14:paraId="7B7B5F4D" w14:textId="5327BD39" w:rsidR="00BA5C0A" w:rsidRPr="00BA5C0A" w:rsidRDefault="00BA5C0A" w:rsidP="00BA5C0A">
      <w:pPr>
        <w:jc w:val="both"/>
        <w:rPr>
          <w:rFonts w:ascii="Times New Roman" w:hAnsi="Times New Roman" w:cs="Times New Roman"/>
          <w:b/>
          <w:color w:val="4472C4" w:themeColor="accent5"/>
          <w:sz w:val="36"/>
          <w:szCs w:val="36"/>
          <w:lang w:val="uk-UA"/>
        </w:rPr>
      </w:pPr>
      <w:r w:rsidRPr="00BA5C0A">
        <w:rPr>
          <w:rFonts w:ascii="Times New Roman" w:hAnsi="Times New Roman" w:cs="Times New Roman"/>
          <w:b/>
          <w:color w:val="4472C4" w:themeColor="accent5"/>
          <w:sz w:val="36"/>
          <w:szCs w:val="36"/>
          <w:lang w:val="uk-UA"/>
        </w:rPr>
        <w:lastRenderedPageBreak/>
        <w:t>Реципієнти органів від ВГС</w:t>
      </w:r>
      <w:r w:rsidR="00FC6D8A">
        <w:rPr>
          <w:rFonts w:ascii="Times New Roman" w:hAnsi="Times New Roman" w:cs="Times New Roman"/>
          <w:b/>
          <w:color w:val="4472C4" w:themeColor="accent5"/>
          <w:sz w:val="36"/>
          <w:szCs w:val="36"/>
          <w:lang w:val="uk-UA"/>
        </w:rPr>
        <w:t>–</w:t>
      </w:r>
      <w:r w:rsidRPr="00BA5C0A">
        <w:rPr>
          <w:rFonts w:ascii="Times New Roman" w:hAnsi="Times New Roman" w:cs="Times New Roman"/>
          <w:b/>
          <w:color w:val="4472C4" w:themeColor="accent5"/>
          <w:sz w:val="36"/>
          <w:szCs w:val="36"/>
          <w:lang w:val="uk-UA"/>
        </w:rPr>
        <w:t xml:space="preserve">позитивних донорів </w:t>
      </w:r>
    </w:p>
    <w:p w14:paraId="4703F9EB" w14:textId="77777777" w:rsidR="00BA5C0A" w:rsidRPr="00BA5C0A" w:rsidRDefault="00BA5C0A" w:rsidP="00BA5C0A">
      <w:pPr>
        <w:jc w:val="both"/>
        <w:rPr>
          <w:rFonts w:ascii="Times New Roman" w:hAnsi="Times New Roman" w:cs="Times New Roman"/>
          <w:lang w:val="uk-UA"/>
        </w:rPr>
      </w:pPr>
    </w:p>
    <w:p w14:paraId="7E978A67" w14:textId="5677A639"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Існує вели</w:t>
      </w:r>
      <w:r w:rsidR="003B61EF">
        <w:rPr>
          <w:rFonts w:ascii="Times New Roman" w:hAnsi="Times New Roman" w:cs="Times New Roman"/>
          <w:lang w:val="uk-UA"/>
        </w:rPr>
        <w:t>ка</w:t>
      </w:r>
      <w:r w:rsidRPr="00BA5C0A">
        <w:rPr>
          <w:rFonts w:ascii="Times New Roman" w:hAnsi="Times New Roman" w:cs="Times New Roman"/>
          <w:lang w:val="uk-UA"/>
        </w:rPr>
        <w:t xml:space="preserve"> диспропорція між кількістю пацієнтів, яким потрібна трансплантація органів, і кількістю потенційних донорів. Отримуючи органи від анти</w:t>
      </w:r>
      <w:r w:rsidR="00FC6D8A">
        <w:rPr>
          <w:rFonts w:ascii="Times New Roman" w:hAnsi="Times New Roman" w:cs="Times New Roman"/>
          <w:lang w:val="uk-UA"/>
        </w:rPr>
        <w:t>–</w:t>
      </w:r>
      <w:r w:rsidRPr="00BA5C0A">
        <w:rPr>
          <w:rFonts w:ascii="Times New Roman" w:hAnsi="Times New Roman" w:cs="Times New Roman"/>
          <w:lang w:val="uk-UA"/>
        </w:rPr>
        <w:t>ВГС позитивних донорів, включаючи РНК</w:t>
      </w:r>
      <w:r w:rsidR="00FC6D8A">
        <w:rPr>
          <w:rFonts w:ascii="Times New Roman" w:hAnsi="Times New Roman" w:cs="Times New Roman"/>
          <w:lang w:val="uk-UA"/>
        </w:rPr>
        <w:t>–</w:t>
      </w:r>
      <w:r w:rsidRPr="00BA5C0A">
        <w:rPr>
          <w:rFonts w:ascii="Times New Roman" w:hAnsi="Times New Roman" w:cs="Times New Roman"/>
          <w:lang w:val="uk-UA"/>
        </w:rPr>
        <w:t>позитивних, збільшуєтья доступ до трансплантації органів. Кількість анти</w:t>
      </w:r>
      <w:r w:rsidR="00FC6D8A">
        <w:rPr>
          <w:rFonts w:ascii="Times New Roman" w:hAnsi="Times New Roman" w:cs="Times New Roman"/>
          <w:lang w:val="uk-UA"/>
        </w:rPr>
        <w:t>–</w:t>
      </w:r>
      <w:r w:rsidRPr="00BA5C0A">
        <w:rPr>
          <w:rFonts w:ascii="Times New Roman" w:hAnsi="Times New Roman" w:cs="Times New Roman"/>
          <w:lang w:val="uk-UA"/>
        </w:rPr>
        <w:t>ВГС позитивних донорів, у яких не виявляється РНК ВГС, значно збільшується з появою високоефективної противірусної терапії на основі ПППД.</w:t>
      </w:r>
    </w:p>
    <w:p w14:paraId="16A5900D" w14:textId="77777777" w:rsidR="00BA5C0A" w:rsidRPr="00BA5C0A" w:rsidRDefault="00BA5C0A" w:rsidP="00BA5C0A">
      <w:pPr>
        <w:jc w:val="both"/>
        <w:rPr>
          <w:rFonts w:ascii="Times New Roman" w:hAnsi="Times New Roman" w:cs="Times New Roman"/>
          <w:lang w:val="uk-UA"/>
        </w:rPr>
      </w:pPr>
    </w:p>
    <w:p w14:paraId="6893F54C" w14:textId="360F6854"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При трансплантації печінки ВГС, як правило, передається, коли донор є віремічним. На відміну від цього, передача інфекції ВГС є не</w:t>
      </w:r>
      <w:r w:rsidR="003B61EF">
        <w:rPr>
          <w:rFonts w:ascii="Times New Roman" w:hAnsi="Times New Roman" w:cs="Times New Roman"/>
          <w:lang w:val="uk-UA"/>
        </w:rPr>
        <w:t>типовою</w:t>
      </w:r>
      <w:r w:rsidRPr="00BA5C0A">
        <w:rPr>
          <w:rFonts w:ascii="Times New Roman" w:hAnsi="Times New Roman" w:cs="Times New Roman"/>
          <w:lang w:val="uk-UA"/>
        </w:rPr>
        <w:t>, якщо донор є анти</w:t>
      </w:r>
      <w:r w:rsidR="00FC6D8A">
        <w:rPr>
          <w:rFonts w:ascii="Times New Roman" w:hAnsi="Times New Roman" w:cs="Times New Roman"/>
          <w:lang w:val="uk-UA"/>
        </w:rPr>
        <w:t>–</w:t>
      </w:r>
      <w:r w:rsidRPr="00BA5C0A">
        <w:rPr>
          <w:rFonts w:ascii="Times New Roman" w:hAnsi="Times New Roman" w:cs="Times New Roman"/>
          <w:lang w:val="uk-UA"/>
        </w:rPr>
        <w:t>ВГС</w:t>
      </w:r>
      <w:r w:rsidR="00FC6D8A">
        <w:rPr>
          <w:rFonts w:ascii="Times New Roman" w:hAnsi="Times New Roman" w:cs="Times New Roman"/>
          <w:lang w:val="uk-UA"/>
        </w:rPr>
        <w:t>–</w:t>
      </w:r>
      <w:r w:rsidRPr="00BA5C0A">
        <w:rPr>
          <w:rFonts w:ascii="Times New Roman" w:hAnsi="Times New Roman" w:cs="Times New Roman"/>
          <w:lang w:val="uk-UA"/>
        </w:rPr>
        <w:t>позитивним, але ВГС</w:t>
      </w:r>
      <w:r w:rsidR="00FC6D8A">
        <w:rPr>
          <w:rFonts w:ascii="Times New Roman" w:hAnsi="Times New Roman" w:cs="Times New Roman"/>
          <w:lang w:val="uk-UA"/>
        </w:rPr>
        <w:t>–</w:t>
      </w:r>
      <w:r w:rsidRPr="00BA5C0A">
        <w:rPr>
          <w:rFonts w:ascii="Times New Roman" w:hAnsi="Times New Roman" w:cs="Times New Roman"/>
          <w:lang w:val="uk-UA"/>
        </w:rPr>
        <w:t>РНК</w:t>
      </w:r>
      <w:r w:rsidR="00FC6D8A">
        <w:rPr>
          <w:rFonts w:ascii="Times New Roman" w:hAnsi="Times New Roman" w:cs="Times New Roman"/>
          <w:lang w:val="uk-UA"/>
        </w:rPr>
        <w:t>–</w:t>
      </w:r>
      <w:r w:rsidRPr="00BA5C0A">
        <w:rPr>
          <w:rFonts w:ascii="Times New Roman" w:hAnsi="Times New Roman" w:cs="Times New Roman"/>
          <w:lang w:val="uk-UA"/>
        </w:rPr>
        <w:t xml:space="preserve">негативним. </w:t>
      </w:r>
      <w:r w:rsidR="008D650D">
        <w:rPr>
          <w:rFonts w:ascii="Times New Roman" w:hAnsi="Times New Roman" w:cs="Times New Roman"/>
          <w:lang w:val="uk-UA"/>
        </w:rPr>
        <w:t xml:space="preserve">Є дані </w:t>
      </w:r>
      <w:r w:rsidRPr="008D650D">
        <w:rPr>
          <w:rFonts w:ascii="Times New Roman" w:hAnsi="Times New Roman" w:cs="Times New Roman"/>
          <w:lang w:val="uk-UA"/>
        </w:rPr>
        <w:t>про рідкі</w:t>
      </w:r>
      <w:r w:rsidR="008D650D">
        <w:rPr>
          <w:rFonts w:ascii="Times New Roman" w:hAnsi="Times New Roman" w:cs="Times New Roman"/>
          <w:lang w:val="uk-UA"/>
        </w:rPr>
        <w:t>сні</w:t>
      </w:r>
      <w:r w:rsidRPr="008D650D">
        <w:rPr>
          <w:rFonts w:ascii="Times New Roman" w:hAnsi="Times New Roman" w:cs="Times New Roman"/>
          <w:lang w:val="uk-UA"/>
        </w:rPr>
        <w:t xml:space="preserve"> випадки передачі </w:t>
      </w:r>
      <w:r w:rsidR="008D650D">
        <w:rPr>
          <w:rFonts w:ascii="Times New Roman" w:hAnsi="Times New Roman" w:cs="Times New Roman"/>
          <w:lang w:val="uk-UA"/>
        </w:rPr>
        <w:t xml:space="preserve">у донорів, можливо, </w:t>
      </w:r>
      <w:r w:rsidR="00BB7476" w:rsidRPr="008D650D">
        <w:rPr>
          <w:rFonts w:ascii="Times New Roman" w:hAnsi="Times New Roman" w:cs="Times New Roman"/>
          <w:lang w:val="uk-UA"/>
        </w:rPr>
        <w:t>як гостра інфекція</w:t>
      </w:r>
      <w:r w:rsidRPr="008D650D">
        <w:rPr>
          <w:rFonts w:ascii="Times New Roman" w:hAnsi="Times New Roman" w:cs="Times New Roman"/>
          <w:lang w:val="uk-UA"/>
        </w:rPr>
        <w:t>.</w:t>
      </w:r>
      <w:r w:rsidRPr="00BA5C0A">
        <w:rPr>
          <w:rFonts w:ascii="Times New Roman" w:hAnsi="Times New Roman" w:cs="Times New Roman"/>
          <w:vertAlign w:val="superscript"/>
          <w:lang w:val="uk-UA"/>
        </w:rPr>
        <w:t>203</w:t>
      </w:r>
      <w:r w:rsidRPr="00BA5C0A">
        <w:rPr>
          <w:rFonts w:ascii="Times New Roman" w:hAnsi="Times New Roman" w:cs="Times New Roman"/>
          <w:lang w:val="uk-UA"/>
        </w:rPr>
        <w:t xml:space="preserve"> Дані епохи </w:t>
      </w:r>
      <w:r w:rsidR="008D650D">
        <w:rPr>
          <w:rFonts w:ascii="Times New Roman" w:hAnsi="Times New Roman" w:cs="Times New Roman"/>
          <w:lang w:val="uk-UA"/>
        </w:rPr>
        <w:t>інтерфероно</w:t>
      </w:r>
      <w:r w:rsidRPr="00BA5C0A">
        <w:rPr>
          <w:rFonts w:ascii="Times New Roman" w:hAnsi="Times New Roman" w:cs="Times New Roman"/>
          <w:lang w:val="uk-UA"/>
        </w:rPr>
        <w:t>терапії показали, що використання інфікованих трансплантатів печінки є безпечним і не пов'язане з більш частими або більш важкими ускладненнями, крім випадків, коли трансплантат належав донору похилого віку.</w:t>
      </w:r>
      <w:r w:rsidRPr="00BA5C0A">
        <w:rPr>
          <w:rFonts w:ascii="Times New Roman" w:hAnsi="Times New Roman" w:cs="Times New Roman"/>
          <w:vertAlign w:val="superscript"/>
          <w:lang w:val="uk-UA"/>
        </w:rPr>
        <w:t>204</w:t>
      </w:r>
      <w:r w:rsidRPr="00BA5C0A">
        <w:rPr>
          <w:rFonts w:ascii="Times New Roman" w:hAnsi="Times New Roman" w:cs="Times New Roman"/>
          <w:lang w:val="uk-UA"/>
        </w:rPr>
        <w:t xml:space="preserve"> Таким чином, оцінка якості трансплантату є вирішальною при пересадці анти</w:t>
      </w:r>
      <w:r w:rsidR="00FC6D8A">
        <w:rPr>
          <w:rFonts w:ascii="Times New Roman" w:hAnsi="Times New Roman" w:cs="Times New Roman"/>
          <w:lang w:val="uk-UA"/>
        </w:rPr>
        <w:t>–</w:t>
      </w:r>
      <w:r w:rsidRPr="00BA5C0A">
        <w:rPr>
          <w:rFonts w:ascii="Times New Roman" w:hAnsi="Times New Roman" w:cs="Times New Roman"/>
          <w:lang w:val="uk-UA"/>
        </w:rPr>
        <w:t>ВГС</w:t>
      </w:r>
      <w:r w:rsidR="00FC6D8A">
        <w:rPr>
          <w:rFonts w:ascii="Times New Roman" w:hAnsi="Times New Roman" w:cs="Times New Roman"/>
          <w:lang w:val="uk-UA"/>
        </w:rPr>
        <w:t>–</w:t>
      </w:r>
      <w:r w:rsidRPr="00BA5C0A">
        <w:rPr>
          <w:rFonts w:ascii="Times New Roman" w:hAnsi="Times New Roman" w:cs="Times New Roman"/>
          <w:lang w:val="uk-UA"/>
        </w:rPr>
        <w:t xml:space="preserve">позитивних трансплантатів </w:t>
      </w:r>
      <w:r w:rsidR="00BB7476">
        <w:rPr>
          <w:rFonts w:ascii="Times New Roman" w:hAnsi="Times New Roman" w:cs="Times New Roman"/>
          <w:lang w:val="uk-UA"/>
        </w:rPr>
        <w:t xml:space="preserve">та здійснюється </w:t>
      </w:r>
      <w:r w:rsidRPr="00BA5C0A">
        <w:rPr>
          <w:rFonts w:ascii="Times New Roman" w:hAnsi="Times New Roman" w:cs="Times New Roman"/>
          <w:lang w:val="uk-UA"/>
        </w:rPr>
        <w:t>шляхом візуального огляду та гістологічн</w:t>
      </w:r>
      <w:r w:rsidR="00BB7476">
        <w:rPr>
          <w:rFonts w:ascii="Times New Roman" w:hAnsi="Times New Roman" w:cs="Times New Roman"/>
          <w:lang w:val="uk-UA"/>
        </w:rPr>
        <w:t xml:space="preserve">ого обстеження. Для цієї мети </w:t>
      </w:r>
      <w:r w:rsidRPr="00BA5C0A">
        <w:rPr>
          <w:rFonts w:ascii="Times New Roman" w:hAnsi="Times New Roman" w:cs="Times New Roman"/>
          <w:lang w:val="uk-UA"/>
        </w:rPr>
        <w:t>доступні нові методи, такі як еластографія або біопсія</w:t>
      </w:r>
      <w:r w:rsidR="00A62DA7">
        <w:rPr>
          <w:rFonts w:ascii="Times New Roman" w:hAnsi="Times New Roman" w:cs="Times New Roman"/>
          <w:lang w:val="uk-UA"/>
        </w:rPr>
        <w:t xml:space="preserve"> печінки</w:t>
      </w:r>
      <w:r w:rsidRPr="00BA5C0A">
        <w:rPr>
          <w:rFonts w:ascii="Times New Roman" w:hAnsi="Times New Roman" w:cs="Times New Roman"/>
          <w:lang w:val="uk-UA"/>
        </w:rPr>
        <w:t xml:space="preserve">. Трансплантати з </w:t>
      </w:r>
      <w:r w:rsidR="003B61EF">
        <w:rPr>
          <w:rFonts w:ascii="Times New Roman" w:hAnsi="Times New Roman" w:cs="Times New Roman"/>
          <w:lang w:val="uk-UA"/>
        </w:rPr>
        <w:t>вираженим</w:t>
      </w:r>
      <w:r w:rsidRPr="00BA5C0A">
        <w:rPr>
          <w:rFonts w:ascii="Times New Roman" w:hAnsi="Times New Roman" w:cs="Times New Roman"/>
          <w:lang w:val="uk-UA"/>
        </w:rPr>
        <w:t xml:space="preserve"> фіброзом (F3) відхиляються, тоді як ті, що не мають фіброзу (F0</w:t>
      </w:r>
      <w:r w:rsidR="00FC6D8A">
        <w:rPr>
          <w:rFonts w:ascii="Times New Roman" w:hAnsi="Times New Roman" w:cs="Times New Roman"/>
          <w:lang w:val="uk-UA"/>
        </w:rPr>
        <w:t>–</w:t>
      </w:r>
      <w:r w:rsidRPr="00BA5C0A">
        <w:rPr>
          <w:rFonts w:ascii="Times New Roman" w:hAnsi="Times New Roman" w:cs="Times New Roman"/>
          <w:lang w:val="uk-UA"/>
        </w:rPr>
        <w:t xml:space="preserve">F1), </w:t>
      </w:r>
      <w:r w:rsidR="00BB7476">
        <w:rPr>
          <w:rFonts w:ascii="Times New Roman" w:hAnsi="Times New Roman" w:cs="Times New Roman"/>
          <w:lang w:val="uk-UA"/>
        </w:rPr>
        <w:t>–</w:t>
      </w:r>
      <w:r w:rsidRPr="00BA5C0A">
        <w:rPr>
          <w:rFonts w:ascii="Times New Roman" w:hAnsi="Times New Roman" w:cs="Times New Roman"/>
          <w:lang w:val="uk-UA"/>
        </w:rPr>
        <w:t>приймаються. До цих пір незрозуміло, чи повинні прийматися трансплантати із помірним фіброзом (F2). Майбутні дані про прогресування фіброз</w:t>
      </w:r>
      <w:r w:rsidR="00A62DA7">
        <w:rPr>
          <w:rFonts w:ascii="Times New Roman" w:hAnsi="Times New Roman" w:cs="Times New Roman"/>
          <w:lang w:val="uk-UA"/>
        </w:rPr>
        <w:t>у</w:t>
      </w:r>
      <w:r w:rsidRPr="00BA5C0A">
        <w:rPr>
          <w:rFonts w:ascii="Times New Roman" w:hAnsi="Times New Roman" w:cs="Times New Roman"/>
          <w:lang w:val="uk-UA"/>
        </w:rPr>
        <w:t xml:space="preserve"> після ранньої післятрансплантаційної терапії </w:t>
      </w:r>
      <w:r w:rsidR="00BB7476">
        <w:rPr>
          <w:rFonts w:ascii="Times New Roman" w:hAnsi="Times New Roman" w:cs="Times New Roman"/>
          <w:lang w:val="uk-UA"/>
        </w:rPr>
        <w:t xml:space="preserve">із використанням ПППД </w:t>
      </w:r>
      <w:r w:rsidRPr="00BA5C0A">
        <w:rPr>
          <w:rFonts w:ascii="Times New Roman" w:hAnsi="Times New Roman" w:cs="Times New Roman"/>
          <w:lang w:val="uk-UA"/>
        </w:rPr>
        <w:t>допоможуть у прийнятті рішень щодо  використання таких трансплантатів.</w:t>
      </w:r>
    </w:p>
    <w:p w14:paraId="0F3655C1" w14:textId="77777777" w:rsidR="00BA5C0A" w:rsidRPr="00BA5C0A" w:rsidRDefault="00BA5C0A" w:rsidP="00BA5C0A">
      <w:pPr>
        <w:jc w:val="both"/>
        <w:rPr>
          <w:rFonts w:ascii="Times New Roman" w:hAnsi="Times New Roman" w:cs="Times New Roman"/>
          <w:lang w:val="uk-UA"/>
        </w:rPr>
      </w:pPr>
    </w:p>
    <w:p w14:paraId="32848B3B" w14:textId="7B399654"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З моменту схвалення комбінованих схем на основі ПППД, суттєво зросло застосування анти</w:t>
      </w:r>
      <w:r w:rsidR="00FC6D8A">
        <w:rPr>
          <w:rFonts w:ascii="Times New Roman" w:hAnsi="Times New Roman" w:cs="Times New Roman"/>
          <w:lang w:val="uk-UA"/>
        </w:rPr>
        <w:t>–</w:t>
      </w:r>
      <w:r w:rsidRPr="00BA5C0A">
        <w:rPr>
          <w:rFonts w:ascii="Times New Roman" w:hAnsi="Times New Roman" w:cs="Times New Roman"/>
          <w:lang w:val="uk-UA"/>
        </w:rPr>
        <w:t>ВГС</w:t>
      </w:r>
      <w:r w:rsidR="00FC6D8A">
        <w:rPr>
          <w:rFonts w:ascii="Times New Roman" w:hAnsi="Times New Roman" w:cs="Times New Roman"/>
          <w:lang w:val="uk-UA"/>
        </w:rPr>
        <w:t>–</w:t>
      </w:r>
      <w:r w:rsidRPr="00BA5C0A">
        <w:rPr>
          <w:rFonts w:ascii="Times New Roman" w:hAnsi="Times New Roman" w:cs="Times New Roman"/>
          <w:lang w:val="uk-UA"/>
        </w:rPr>
        <w:t>позитивних органів, хоча значна кількість трансплантатів все ще не приймається.</w:t>
      </w:r>
      <w:r w:rsidRPr="00BA5C0A">
        <w:rPr>
          <w:rFonts w:ascii="Times New Roman" w:hAnsi="Times New Roman" w:cs="Times New Roman"/>
          <w:vertAlign w:val="superscript"/>
          <w:lang w:val="uk-UA"/>
        </w:rPr>
        <w:t>205</w:t>
      </w:r>
      <w:r w:rsidRPr="00BA5C0A">
        <w:rPr>
          <w:rFonts w:ascii="Times New Roman" w:hAnsi="Times New Roman" w:cs="Times New Roman"/>
          <w:lang w:val="uk-UA"/>
        </w:rPr>
        <w:t xml:space="preserve"> Деякі центри, особливо в районах з високим рівнем </w:t>
      </w:r>
      <w:r w:rsidR="00BB7476">
        <w:rPr>
          <w:rFonts w:ascii="Times New Roman" w:hAnsi="Times New Roman" w:cs="Times New Roman"/>
          <w:lang w:val="uk-UA"/>
        </w:rPr>
        <w:t xml:space="preserve">поширеності </w:t>
      </w:r>
      <w:r w:rsidRPr="00BA5C0A">
        <w:rPr>
          <w:rFonts w:ascii="Times New Roman" w:hAnsi="Times New Roman" w:cs="Times New Roman"/>
          <w:lang w:val="uk-UA"/>
        </w:rPr>
        <w:t xml:space="preserve"> ВГС</w:t>
      </w:r>
      <w:r w:rsidR="00FC6D8A">
        <w:rPr>
          <w:rFonts w:ascii="Times New Roman" w:hAnsi="Times New Roman" w:cs="Times New Roman"/>
          <w:lang w:val="uk-UA"/>
        </w:rPr>
        <w:t>–</w:t>
      </w:r>
      <w:r w:rsidRPr="00BA5C0A">
        <w:rPr>
          <w:rFonts w:ascii="Times New Roman" w:hAnsi="Times New Roman" w:cs="Times New Roman"/>
          <w:lang w:val="uk-UA"/>
        </w:rPr>
        <w:t xml:space="preserve">інфекції в контексті «епідемії опіоїдів» </w:t>
      </w:r>
      <w:r w:rsidRPr="00BA5C0A">
        <w:rPr>
          <w:rFonts w:ascii="Times New Roman" w:hAnsi="Times New Roman" w:cs="Times New Roman"/>
          <w:vertAlign w:val="superscript"/>
          <w:lang w:val="uk-UA"/>
        </w:rPr>
        <w:t>206</w:t>
      </w:r>
      <w:r w:rsidRPr="00BA5C0A">
        <w:rPr>
          <w:rFonts w:ascii="Times New Roman" w:hAnsi="Times New Roman" w:cs="Times New Roman"/>
          <w:lang w:val="uk-UA"/>
        </w:rPr>
        <w:t xml:space="preserve"> та високими показниками смертності у черзі очікування, почали застосовувати РНК</w:t>
      </w:r>
      <w:r w:rsidR="00FC6D8A">
        <w:rPr>
          <w:rFonts w:ascii="Times New Roman" w:hAnsi="Times New Roman" w:cs="Times New Roman"/>
          <w:lang w:val="uk-UA"/>
        </w:rPr>
        <w:t>–</w:t>
      </w:r>
      <w:r w:rsidRPr="00BA5C0A">
        <w:rPr>
          <w:rFonts w:ascii="Times New Roman" w:hAnsi="Times New Roman" w:cs="Times New Roman"/>
          <w:lang w:val="uk-UA"/>
        </w:rPr>
        <w:t>позитивні трансплантати у ВГС</w:t>
      </w:r>
      <w:r w:rsidR="00FC6D8A">
        <w:rPr>
          <w:rFonts w:ascii="Times New Roman" w:hAnsi="Times New Roman" w:cs="Times New Roman"/>
          <w:lang w:val="uk-UA"/>
        </w:rPr>
        <w:t>–</w:t>
      </w:r>
      <w:r w:rsidRPr="00BA5C0A">
        <w:rPr>
          <w:rFonts w:ascii="Times New Roman" w:hAnsi="Times New Roman" w:cs="Times New Roman"/>
          <w:lang w:val="uk-UA"/>
        </w:rPr>
        <w:t xml:space="preserve">негативних </w:t>
      </w:r>
      <w:r w:rsidR="00BB7476">
        <w:rPr>
          <w:rFonts w:ascii="Times New Roman" w:hAnsi="Times New Roman" w:cs="Times New Roman"/>
          <w:lang w:val="uk-UA"/>
        </w:rPr>
        <w:t>реципієнтів</w:t>
      </w:r>
      <w:r w:rsidRPr="00BA5C0A">
        <w:rPr>
          <w:rFonts w:ascii="Times New Roman" w:hAnsi="Times New Roman" w:cs="Times New Roman"/>
          <w:lang w:val="uk-UA"/>
        </w:rPr>
        <w:t xml:space="preserve"> з доволі хорошими попередніми результатами. Але все ще потрібно накопичити більше даних про безпеку такої практики. Тим часом використання ВГС</w:t>
      </w:r>
      <w:r w:rsidR="00FC6D8A">
        <w:rPr>
          <w:rFonts w:ascii="Times New Roman" w:hAnsi="Times New Roman" w:cs="Times New Roman"/>
          <w:lang w:val="uk-UA"/>
        </w:rPr>
        <w:t>–</w:t>
      </w:r>
      <w:r w:rsidRPr="00BA5C0A">
        <w:rPr>
          <w:rFonts w:ascii="Times New Roman" w:hAnsi="Times New Roman" w:cs="Times New Roman"/>
          <w:lang w:val="uk-UA"/>
        </w:rPr>
        <w:t>інфікованих органів є прийнятною практикою у паціє</w:t>
      </w:r>
      <w:r w:rsidR="00FD0D1C">
        <w:rPr>
          <w:rFonts w:ascii="Times New Roman" w:hAnsi="Times New Roman" w:cs="Times New Roman"/>
          <w:lang w:val="uk-UA"/>
        </w:rPr>
        <w:t>нтів із високим ризиком смерті у</w:t>
      </w:r>
      <w:r w:rsidRPr="00BA5C0A">
        <w:rPr>
          <w:rFonts w:ascii="Times New Roman" w:hAnsi="Times New Roman" w:cs="Times New Roman"/>
          <w:lang w:val="uk-UA"/>
        </w:rPr>
        <w:t xml:space="preserve"> черзі очікування на орган. У нещодавньому дослідженні було виявлено збільшення середньої тривалості життя у реципієнтів з оцінками MELD ≥20, причому максимальна користь спостерігається у тих, хто мав показники MELD ≥28</w:t>
      </w:r>
      <w:r w:rsidR="00FD0D1C">
        <w:rPr>
          <w:rFonts w:ascii="Times New Roman" w:hAnsi="Times New Roman" w:cs="Times New Roman"/>
          <w:lang w:val="uk-UA"/>
        </w:rPr>
        <w:t>.</w:t>
      </w:r>
      <w:r w:rsidRPr="00BA5C0A">
        <w:rPr>
          <w:rFonts w:ascii="Times New Roman" w:hAnsi="Times New Roman" w:cs="Times New Roman"/>
          <w:vertAlign w:val="superscript"/>
          <w:lang w:val="uk-UA"/>
        </w:rPr>
        <w:t>59</w:t>
      </w:r>
      <w:r w:rsidRPr="00BA5C0A">
        <w:rPr>
          <w:rFonts w:ascii="Times New Roman" w:hAnsi="Times New Roman" w:cs="Times New Roman"/>
          <w:lang w:val="uk-UA"/>
        </w:rPr>
        <w:t xml:space="preserve"> ВГС</w:t>
      </w:r>
      <w:r w:rsidR="00FC6D8A">
        <w:rPr>
          <w:rFonts w:ascii="Times New Roman" w:hAnsi="Times New Roman" w:cs="Times New Roman"/>
          <w:lang w:val="uk-UA"/>
        </w:rPr>
        <w:t>–</w:t>
      </w:r>
      <w:r w:rsidRPr="00BA5C0A">
        <w:rPr>
          <w:rFonts w:ascii="Times New Roman" w:hAnsi="Times New Roman" w:cs="Times New Roman"/>
          <w:lang w:val="uk-UA"/>
        </w:rPr>
        <w:t>позитивні органи не повинні пропоноватися неінфікованим реципієнтам з оцінкою MELD &lt;20, якщо доступ до анти</w:t>
      </w:r>
      <w:r w:rsidR="00FC6D8A">
        <w:rPr>
          <w:rFonts w:ascii="Times New Roman" w:hAnsi="Times New Roman" w:cs="Times New Roman"/>
          <w:lang w:val="uk-UA"/>
        </w:rPr>
        <w:t>–</w:t>
      </w:r>
      <w:r w:rsidRPr="00BA5C0A">
        <w:rPr>
          <w:rFonts w:ascii="Times New Roman" w:hAnsi="Times New Roman" w:cs="Times New Roman"/>
          <w:lang w:val="uk-UA"/>
        </w:rPr>
        <w:t>ВГС терапії не гарантується.</w:t>
      </w:r>
    </w:p>
    <w:p w14:paraId="21DE202A" w14:textId="77777777" w:rsidR="00BA5C0A" w:rsidRPr="00BA5C0A" w:rsidRDefault="00BA5C0A" w:rsidP="00BA5C0A">
      <w:pPr>
        <w:jc w:val="both"/>
        <w:rPr>
          <w:rFonts w:ascii="Times New Roman" w:hAnsi="Times New Roman" w:cs="Times New Roman"/>
          <w:lang w:val="uk-UA"/>
        </w:rPr>
      </w:pPr>
    </w:p>
    <w:p w14:paraId="6184BAE8" w14:textId="7C3A89CF"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Кілька досліджень показали, що трансплантація нирок від ВГС</w:t>
      </w:r>
      <w:r w:rsidR="00FC6D8A">
        <w:rPr>
          <w:rFonts w:ascii="Times New Roman" w:hAnsi="Times New Roman" w:cs="Times New Roman"/>
          <w:lang w:val="uk-UA"/>
        </w:rPr>
        <w:t>–</w:t>
      </w:r>
      <w:r w:rsidRPr="00BA5C0A">
        <w:rPr>
          <w:rFonts w:ascii="Times New Roman" w:hAnsi="Times New Roman" w:cs="Times New Roman"/>
          <w:lang w:val="uk-UA"/>
        </w:rPr>
        <w:t>позитивних донорів до ВГС</w:t>
      </w:r>
      <w:r w:rsidR="00FC6D8A">
        <w:rPr>
          <w:rFonts w:ascii="Times New Roman" w:hAnsi="Times New Roman" w:cs="Times New Roman"/>
          <w:lang w:val="uk-UA"/>
        </w:rPr>
        <w:t>–</w:t>
      </w:r>
      <w:r w:rsidRPr="00BA5C0A">
        <w:rPr>
          <w:rFonts w:ascii="Times New Roman" w:hAnsi="Times New Roman" w:cs="Times New Roman"/>
          <w:lang w:val="uk-UA"/>
        </w:rPr>
        <w:t>позитивних реципієнтів зменшує час очікування, але пов'язана з підвищеним ризиком смерті, втратою трансплантату та важким захворюванням п</w:t>
      </w:r>
      <w:r w:rsidR="00FD0D1C">
        <w:rPr>
          <w:rFonts w:ascii="Times New Roman" w:hAnsi="Times New Roman" w:cs="Times New Roman"/>
          <w:lang w:val="uk-UA"/>
        </w:rPr>
        <w:t>ечінки</w:t>
      </w:r>
      <w:r w:rsidR="009F1581">
        <w:rPr>
          <w:rFonts w:ascii="Times New Roman" w:hAnsi="Times New Roman" w:cs="Times New Roman"/>
          <w:lang w:val="uk-UA"/>
        </w:rPr>
        <w:t>, порівнюючи</w:t>
      </w:r>
      <w:r w:rsidRPr="00BA5C0A">
        <w:rPr>
          <w:rFonts w:ascii="Times New Roman" w:hAnsi="Times New Roman" w:cs="Times New Roman"/>
          <w:lang w:val="uk-UA"/>
        </w:rPr>
        <w:t xml:space="preserve"> з трансплантацією ВГС</w:t>
      </w:r>
      <w:r w:rsidR="00FC6D8A">
        <w:rPr>
          <w:rFonts w:ascii="Times New Roman" w:hAnsi="Times New Roman" w:cs="Times New Roman"/>
          <w:lang w:val="uk-UA"/>
        </w:rPr>
        <w:t>–</w:t>
      </w:r>
      <w:r w:rsidRPr="00BA5C0A">
        <w:rPr>
          <w:rFonts w:ascii="Times New Roman" w:hAnsi="Times New Roman" w:cs="Times New Roman"/>
          <w:lang w:val="uk-UA"/>
        </w:rPr>
        <w:t>негативних нирок. Проте ВГС</w:t>
      </w:r>
      <w:r w:rsidR="00FC6D8A">
        <w:rPr>
          <w:rFonts w:ascii="Times New Roman" w:hAnsi="Times New Roman" w:cs="Times New Roman"/>
          <w:lang w:val="uk-UA"/>
        </w:rPr>
        <w:t>–</w:t>
      </w:r>
      <w:r w:rsidRPr="00BA5C0A">
        <w:rPr>
          <w:rFonts w:ascii="Times New Roman" w:hAnsi="Times New Roman" w:cs="Times New Roman"/>
          <w:lang w:val="uk-UA"/>
        </w:rPr>
        <w:t>позитивні реципієнти, які отримали ВГС</w:t>
      </w:r>
      <w:r w:rsidR="00FC6D8A">
        <w:rPr>
          <w:rFonts w:ascii="Times New Roman" w:hAnsi="Times New Roman" w:cs="Times New Roman"/>
          <w:lang w:val="uk-UA"/>
        </w:rPr>
        <w:t>–</w:t>
      </w:r>
      <w:r w:rsidRPr="00BA5C0A">
        <w:rPr>
          <w:rFonts w:ascii="Times New Roman" w:hAnsi="Times New Roman" w:cs="Times New Roman"/>
          <w:lang w:val="uk-UA"/>
        </w:rPr>
        <w:t>позитивні трансплантати нирок, мають кращі показники виживання, ніж пацієнти, що залишилися в списку очікування. На відміну від цього, спостерігалося, що трансплантація ВГС</w:t>
      </w:r>
      <w:r w:rsidR="00FC6D8A">
        <w:rPr>
          <w:rFonts w:ascii="Times New Roman" w:hAnsi="Times New Roman" w:cs="Times New Roman"/>
          <w:lang w:val="uk-UA"/>
        </w:rPr>
        <w:t>–</w:t>
      </w:r>
      <w:r w:rsidRPr="00BA5C0A">
        <w:rPr>
          <w:rFonts w:ascii="Times New Roman" w:hAnsi="Times New Roman" w:cs="Times New Roman"/>
          <w:lang w:val="uk-UA"/>
        </w:rPr>
        <w:t>позитивних нирок ВГС</w:t>
      </w:r>
      <w:r w:rsidR="00FC6D8A">
        <w:rPr>
          <w:rFonts w:ascii="Times New Roman" w:hAnsi="Times New Roman" w:cs="Times New Roman"/>
          <w:lang w:val="uk-UA"/>
        </w:rPr>
        <w:t>–</w:t>
      </w:r>
      <w:r w:rsidR="00FD0D1C">
        <w:rPr>
          <w:rFonts w:ascii="Times New Roman" w:hAnsi="Times New Roman" w:cs="Times New Roman"/>
          <w:lang w:val="uk-UA"/>
        </w:rPr>
        <w:t>негативним реципієнтам є недоцільною і</w:t>
      </w:r>
      <w:r w:rsidRPr="00BA5C0A">
        <w:rPr>
          <w:rFonts w:ascii="Times New Roman" w:hAnsi="Times New Roman" w:cs="Times New Roman"/>
          <w:lang w:val="uk-UA"/>
        </w:rPr>
        <w:t xml:space="preserve"> тому була офіційно протипоказана в епоху лікування </w:t>
      </w:r>
      <w:r w:rsidR="00557239">
        <w:rPr>
          <w:rFonts w:ascii="Times New Roman" w:hAnsi="Times New Roman" w:cs="Times New Roman"/>
          <w:lang w:val="uk-UA"/>
        </w:rPr>
        <w:t>IFN</w:t>
      </w:r>
      <w:r w:rsidRPr="00BA5C0A">
        <w:rPr>
          <w:rFonts w:ascii="Times New Roman" w:hAnsi="Times New Roman" w:cs="Times New Roman"/>
          <w:lang w:val="uk-UA"/>
        </w:rPr>
        <w:t>. Ця практика може змінитися за умови наявності нових методів лікування на основі ПППД. Дійсно, у дослідженні, яке включало 10 кандидатів на пересадку нирок, які отримали ВГС</w:t>
      </w:r>
      <w:r w:rsidR="00FC6D8A">
        <w:rPr>
          <w:rFonts w:ascii="Times New Roman" w:hAnsi="Times New Roman" w:cs="Times New Roman"/>
          <w:lang w:val="uk-UA"/>
        </w:rPr>
        <w:t>–</w:t>
      </w:r>
      <w:r w:rsidRPr="00BA5C0A">
        <w:rPr>
          <w:rFonts w:ascii="Times New Roman" w:hAnsi="Times New Roman" w:cs="Times New Roman"/>
          <w:lang w:val="uk-UA"/>
        </w:rPr>
        <w:t xml:space="preserve">інфіковану нирку </w:t>
      </w:r>
      <w:r w:rsidR="00D3142D">
        <w:rPr>
          <w:rFonts w:ascii="Times New Roman" w:hAnsi="Times New Roman" w:cs="Times New Roman"/>
          <w:lang w:val="uk-UA"/>
        </w:rPr>
        <w:t>(</w:t>
      </w:r>
      <w:r w:rsidRPr="00BA5C0A">
        <w:rPr>
          <w:rFonts w:ascii="Times New Roman" w:hAnsi="Times New Roman" w:cs="Times New Roman"/>
          <w:lang w:val="uk-UA"/>
        </w:rPr>
        <w:t>генотип 1</w:t>
      </w:r>
      <w:r w:rsidR="00D3142D">
        <w:rPr>
          <w:rFonts w:ascii="Times New Roman" w:hAnsi="Times New Roman" w:cs="Times New Roman"/>
          <w:lang w:val="uk-UA"/>
        </w:rPr>
        <w:t>)</w:t>
      </w:r>
      <w:r w:rsidRPr="00BA5C0A">
        <w:rPr>
          <w:rFonts w:ascii="Times New Roman" w:hAnsi="Times New Roman" w:cs="Times New Roman"/>
          <w:lang w:val="uk-UA"/>
        </w:rPr>
        <w:t xml:space="preserve">, середній час очікування </w:t>
      </w:r>
      <w:r w:rsidR="00FD0D1C">
        <w:rPr>
          <w:rFonts w:ascii="Times New Roman" w:hAnsi="Times New Roman" w:cs="Times New Roman"/>
          <w:lang w:val="uk-UA"/>
        </w:rPr>
        <w:t>у</w:t>
      </w:r>
      <w:r w:rsidRPr="00BA5C0A">
        <w:rPr>
          <w:rFonts w:ascii="Times New Roman" w:hAnsi="Times New Roman" w:cs="Times New Roman"/>
          <w:lang w:val="uk-UA"/>
        </w:rPr>
        <w:t xml:space="preserve"> черзі перед включення</w:t>
      </w:r>
      <w:r w:rsidR="00D3142D">
        <w:rPr>
          <w:rFonts w:ascii="Times New Roman" w:hAnsi="Times New Roman" w:cs="Times New Roman"/>
          <w:lang w:val="uk-UA"/>
        </w:rPr>
        <w:t>м</w:t>
      </w:r>
      <w:r w:rsidR="00FD0D1C">
        <w:rPr>
          <w:rFonts w:ascii="Times New Roman" w:hAnsi="Times New Roman" w:cs="Times New Roman"/>
          <w:lang w:val="uk-UA"/>
        </w:rPr>
        <w:t xml:space="preserve"> у</w:t>
      </w:r>
      <w:r w:rsidRPr="00BA5C0A">
        <w:rPr>
          <w:rFonts w:ascii="Times New Roman" w:hAnsi="Times New Roman" w:cs="Times New Roman"/>
          <w:lang w:val="uk-UA"/>
        </w:rPr>
        <w:t xml:space="preserve"> дослідження, був дуже коротким (58 днів, діапазон: 53</w:t>
      </w:r>
      <w:r w:rsidR="00FC6D8A">
        <w:rPr>
          <w:rFonts w:ascii="Times New Roman" w:hAnsi="Times New Roman" w:cs="Times New Roman"/>
          <w:lang w:val="uk-UA"/>
        </w:rPr>
        <w:t>–</w:t>
      </w:r>
      <w:r w:rsidRPr="00BA5C0A">
        <w:rPr>
          <w:rFonts w:ascii="Times New Roman" w:hAnsi="Times New Roman" w:cs="Times New Roman"/>
          <w:lang w:val="uk-UA"/>
        </w:rPr>
        <w:t xml:space="preserve">100) та всі досягли СВВ після терапії на основі ПППД з </w:t>
      </w:r>
      <w:r w:rsidR="00FD0D1C" w:rsidRPr="008D650D">
        <w:rPr>
          <w:rFonts w:ascii="Times New Roman" w:hAnsi="Times New Roman" w:cs="Times New Roman"/>
          <w:lang w:val="uk-UA"/>
        </w:rPr>
        <w:t>трансплантатом</w:t>
      </w:r>
      <w:r w:rsidR="008D650D" w:rsidRPr="008D650D">
        <w:rPr>
          <w:rFonts w:ascii="Times New Roman" w:hAnsi="Times New Roman" w:cs="Times New Roman"/>
          <w:lang w:val="uk-UA"/>
        </w:rPr>
        <w:t>, який функціонує</w:t>
      </w:r>
      <w:r w:rsidR="00FD0D1C" w:rsidRPr="008D650D">
        <w:rPr>
          <w:rFonts w:ascii="Times New Roman" w:hAnsi="Times New Roman" w:cs="Times New Roman"/>
          <w:lang w:val="uk-UA"/>
        </w:rPr>
        <w:t>,</w:t>
      </w:r>
      <w:r w:rsidRPr="00BA5C0A">
        <w:rPr>
          <w:rFonts w:ascii="Times New Roman" w:hAnsi="Times New Roman" w:cs="Times New Roman"/>
          <w:lang w:val="uk-UA"/>
        </w:rPr>
        <w:t xml:space="preserve"> через 6 місяців спостереження.</w:t>
      </w:r>
    </w:p>
    <w:p w14:paraId="3C033358" w14:textId="77777777" w:rsidR="00BA5C0A" w:rsidRPr="00BA5C0A" w:rsidRDefault="00BA5C0A" w:rsidP="00BA5C0A">
      <w:pPr>
        <w:jc w:val="both"/>
        <w:rPr>
          <w:rFonts w:ascii="Times New Roman" w:hAnsi="Times New Roman" w:cs="Times New Roman"/>
          <w:lang w:val="uk-UA"/>
        </w:rPr>
      </w:pPr>
    </w:p>
    <w:p w14:paraId="61D5815F" w14:textId="0B4FD1CA"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Письмова згода повинна бути підписана реципієнтом перед пересадкою органу від донор</w:t>
      </w:r>
      <w:r w:rsidR="00D3142D">
        <w:rPr>
          <w:rFonts w:ascii="Times New Roman" w:hAnsi="Times New Roman" w:cs="Times New Roman"/>
          <w:lang w:val="uk-UA"/>
        </w:rPr>
        <w:t>а</w:t>
      </w:r>
      <w:r w:rsidRPr="00BA5C0A">
        <w:rPr>
          <w:rFonts w:ascii="Times New Roman" w:hAnsi="Times New Roman" w:cs="Times New Roman"/>
          <w:lang w:val="uk-UA"/>
        </w:rPr>
        <w:t xml:space="preserve"> з позитивним анти</w:t>
      </w:r>
      <w:r w:rsidR="00FC6D8A">
        <w:rPr>
          <w:rFonts w:ascii="Times New Roman" w:hAnsi="Times New Roman" w:cs="Times New Roman"/>
          <w:lang w:val="uk-UA"/>
        </w:rPr>
        <w:t>–</w:t>
      </w:r>
      <w:r w:rsidRPr="00BA5C0A">
        <w:rPr>
          <w:rFonts w:ascii="Times New Roman" w:hAnsi="Times New Roman" w:cs="Times New Roman"/>
          <w:lang w:val="uk-UA"/>
        </w:rPr>
        <w:t>ВГС, незалежно від того, чи є він РНК позитивни</w:t>
      </w:r>
      <w:r w:rsidR="00D3142D">
        <w:rPr>
          <w:rFonts w:ascii="Times New Roman" w:hAnsi="Times New Roman" w:cs="Times New Roman"/>
          <w:lang w:val="uk-UA"/>
        </w:rPr>
        <w:t>м</w:t>
      </w:r>
      <w:r w:rsidRPr="00BA5C0A">
        <w:rPr>
          <w:rFonts w:ascii="Times New Roman" w:hAnsi="Times New Roman" w:cs="Times New Roman"/>
          <w:lang w:val="uk-UA"/>
        </w:rPr>
        <w:t xml:space="preserve"> чи негативни</w:t>
      </w:r>
      <w:r w:rsidR="00D3142D">
        <w:rPr>
          <w:rFonts w:ascii="Times New Roman" w:hAnsi="Times New Roman" w:cs="Times New Roman"/>
          <w:lang w:val="uk-UA"/>
        </w:rPr>
        <w:t>м</w:t>
      </w:r>
      <w:r w:rsidRPr="00BA5C0A">
        <w:rPr>
          <w:rFonts w:ascii="Times New Roman" w:hAnsi="Times New Roman" w:cs="Times New Roman"/>
          <w:lang w:val="uk-UA"/>
        </w:rPr>
        <w:t>.</w:t>
      </w:r>
    </w:p>
    <w:p w14:paraId="56D10183" w14:textId="77777777" w:rsidR="00BA5C0A" w:rsidRPr="00BA5C0A" w:rsidRDefault="00BA5C0A" w:rsidP="00BA5C0A">
      <w:pPr>
        <w:jc w:val="both"/>
        <w:rPr>
          <w:rFonts w:ascii="Times New Roman" w:hAnsi="Times New Roman" w:cs="Times New Roman"/>
          <w:lang w:val="uk-UA"/>
        </w:rPr>
      </w:pPr>
    </w:p>
    <w:tbl>
      <w:tblPr>
        <w:tblW w:w="983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BA5C0A" w:rsidRPr="00BA5C0A" w14:paraId="5E4E3EA8" w14:textId="77777777" w:rsidTr="00B66778">
        <w:trPr>
          <w:trHeight w:val="544"/>
        </w:trPr>
        <w:tc>
          <w:tcPr>
            <w:tcW w:w="9836" w:type="dxa"/>
            <w:shd w:val="clear" w:color="auto" w:fill="BDD6EE" w:themeFill="accent1" w:themeFillTint="66"/>
          </w:tcPr>
          <w:p w14:paraId="2B33DCED" w14:textId="77777777" w:rsidR="00BA5C0A" w:rsidRPr="00BA5C0A" w:rsidRDefault="00BA5C0A" w:rsidP="00BA5C0A">
            <w:pPr>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lastRenderedPageBreak/>
              <w:t>Рекомендації</w:t>
            </w:r>
          </w:p>
          <w:p w14:paraId="7FAF3DDF" w14:textId="77777777" w:rsidR="00BA5C0A" w:rsidRPr="00BA5C0A" w:rsidRDefault="00BA5C0A" w:rsidP="00BA5C0A">
            <w:pPr>
              <w:jc w:val="both"/>
              <w:rPr>
                <w:rFonts w:ascii="Times New Roman" w:hAnsi="Times New Roman" w:cs="Times New Roman"/>
                <w:b/>
                <w:color w:val="4472C4" w:themeColor="accent5"/>
                <w:lang w:val="uk-UA"/>
              </w:rPr>
            </w:pPr>
          </w:p>
          <w:p w14:paraId="00E582AF" w14:textId="3FC866B3" w:rsidR="00BA5C0A" w:rsidRPr="00BA5C0A" w:rsidRDefault="00BA5C0A" w:rsidP="00015E3B">
            <w:pPr>
              <w:numPr>
                <w:ilvl w:val="0"/>
                <w:numId w:val="47"/>
              </w:numPr>
              <w:contextualSpacing/>
              <w:jc w:val="both"/>
              <w:rPr>
                <w:rFonts w:ascii="Times New Roman" w:hAnsi="Times New Roman" w:cs="Times New Roman"/>
                <w:lang w:val="uk-UA"/>
              </w:rPr>
            </w:pPr>
            <w:r w:rsidRPr="00BA5C0A">
              <w:rPr>
                <w:rFonts w:ascii="Times New Roman" w:hAnsi="Times New Roman" w:cs="Times New Roman"/>
                <w:lang w:val="uk-UA"/>
              </w:rPr>
              <w:t>Органи від анти</w:t>
            </w:r>
            <w:r w:rsidR="00FC6D8A">
              <w:rPr>
                <w:rFonts w:ascii="Times New Roman" w:hAnsi="Times New Roman" w:cs="Times New Roman"/>
                <w:lang w:val="uk-UA"/>
              </w:rPr>
              <w:t>–</w:t>
            </w:r>
            <w:r w:rsidRPr="00BA5C0A">
              <w:rPr>
                <w:rFonts w:ascii="Times New Roman" w:hAnsi="Times New Roman" w:cs="Times New Roman"/>
                <w:lang w:val="uk-UA"/>
              </w:rPr>
              <w:t>ВГС</w:t>
            </w:r>
            <w:r w:rsidR="00FC6D8A">
              <w:rPr>
                <w:rFonts w:ascii="Times New Roman" w:hAnsi="Times New Roman" w:cs="Times New Roman"/>
                <w:lang w:val="uk-UA"/>
              </w:rPr>
              <w:t>–</w:t>
            </w:r>
            <w:r w:rsidRPr="00BA5C0A">
              <w:rPr>
                <w:rFonts w:ascii="Times New Roman" w:hAnsi="Times New Roman" w:cs="Times New Roman"/>
                <w:lang w:val="uk-UA"/>
              </w:rPr>
              <w:t>позитивних та РНК</w:t>
            </w:r>
            <w:r w:rsidR="00FC6D8A">
              <w:rPr>
                <w:rFonts w:ascii="Times New Roman" w:hAnsi="Times New Roman" w:cs="Times New Roman"/>
                <w:lang w:val="uk-UA"/>
              </w:rPr>
              <w:t>–</w:t>
            </w:r>
            <w:r w:rsidRPr="00BA5C0A">
              <w:rPr>
                <w:rFonts w:ascii="Times New Roman" w:hAnsi="Times New Roman" w:cs="Times New Roman"/>
                <w:lang w:val="uk-UA"/>
              </w:rPr>
              <w:t>позитивних донорів можуть бути трансплантовані до РНК</w:t>
            </w:r>
            <w:r w:rsidR="00FC6D8A">
              <w:rPr>
                <w:rFonts w:ascii="Times New Roman" w:hAnsi="Times New Roman" w:cs="Times New Roman"/>
                <w:lang w:val="uk-UA"/>
              </w:rPr>
              <w:t>–</w:t>
            </w:r>
            <w:r w:rsidRPr="00BA5C0A">
              <w:rPr>
                <w:rFonts w:ascii="Times New Roman" w:hAnsi="Times New Roman" w:cs="Times New Roman"/>
                <w:lang w:val="uk-UA"/>
              </w:rPr>
              <w:t>позитивних реципієнтів (B1).</w:t>
            </w:r>
          </w:p>
          <w:p w14:paraId="7FD331FC" w14:textId="710E89C0" w:rsidR="00BA5C0A" w:rsidRPr="00BA5C0A" w:rsidRDefault="00BA5C0A" w:rsidP="00015E3B">
            <w:pPr>
              <w:numPr>
                <w:ilvl w:val="0"/>
                <w:numId w:val="47"/>
              </w:numPr>
              <w:contextualSpacing/>
              <w:jc w:val="both"/>
              <w:rPr>
                <w:rFonts w:ascii="Times New Roman" w:hAnsi="Times New Roman" w:cs="Times New Roman"/>
                <w:lang w:val="uk-UA"/>
              </w:rPr>
            </w:pPr>
            <w:r w:rsidRPr="00BA5C0A">
              <w:rPr>
                <w:rFonts w:ascii="Times New Roman" w:hAnsi="Times New Roman" w:cs="Times New Roman"/>
                <w:lang w:val="uk-UA"/>
              </w:rPr>
              <w:t>Органи від анти</w:t>
            </w:r>
            <w:r w:rsidR="00FC6D8A">
              <w:rPr>
                <w:rFonts w:ascii="Times New Roman" w:hAnsi="Times New Roman" w:cs="Times New Roman"/>
                <w:lang w:val="uk-UA"/>
              </w:rPr>
              <w:t>–</w:t>
            </w:r>
            <w:r w:rsidRPr="00BA5C0A">
              <w:rPr>
                <w:rFonts w:ascii="Times New Roman" w:hAnsi="Times New Roman" w:cs="Times New Roman"/>
                <w:lang w:val="uk-UA"/>
              </w:rPr>
              <w:t>ВГС</w:t>
            </w:r>
            <w:r w:rsidR="00FC6D8A">
              <w:rPr>
                <w:rFonts w:ascii="Times New Roman" w:hAnsi="Times New Roman" w:cs="Times New Roman"/>
                <w:lang w:val="uk-UA"/>
              </w:rPr>
              <w:t>–</w:t>
            </w:r>
            <w:r w:rsidRPr="00BA5C0A">
              <w:rPr>
                <w:rFonts w:ascii="Times New Roman" w:hAnsi="Times New Roman" w:cs="Times New Roman"/>
                <w:lang w:val="uk-UA"/>
              </w:rPr>
              <w:t>позитивних та РНК</w:t>
            </w:r>
            <w:r w:rsidR="00FC6D8A">
              <w:rPr>
                <w:rFonts w:ascii="Times New Roman" w:hAnsi="Times New Roman" w:cs="Times New Roman"/>
                <w:lang w:val="uk-UA"/>
              </w:rPr>
              <w:t>–</w:t>
            </w:r>
            <w:r w:rsidRPr="00BA5C0A">
              <w:rPr>
                <w:rFonts w:ascii="Times New Roman" w:hAnsi="Times New Roman" w:cs="Times New Roman"/>
                <w:lang w:val="uk-UA"/>
              </w:rPr>
              <w:t>позитивних донорів можуть бути трансплантовані РНК</w:t>
            </w:r>
            <w:r w:rsidR="00FC6D8A">
              <w:rPr>
                <w:rFonts w:ascii="Times New Roman" w:hAnsi="Times New Roman" w:cs="Times New Roman"/>
                <w:lang w:val="uk-UA"/>
              </w:rPr>
              <w:t>–</w:t>
            </w:r>
            <w:r w:rsidRPr="00BA5C0A">
              <w:rPr>
                <w:rFonts w:ascii="Times New Roman" w:hAnsi="Times New Roman" w:cs="Times New Roman"/>
                <w:lang w:val="uk-UA"/>
              </w:rPr>
              <w:t>негативним реципієнтам, за умови, що це дозволяється місцевим законодавством, отримана письмова інформована згода, та гарантована швидка післятрансплантаційна терапія ( C2).</w:t>
            </w:r>
          </w:p>
          <w:p w14:paraId="64319C83" w14:textId="0482D777" w:rsidR="00BA5C0A" w:rsidRPr="00BA5C0A" w:rsidRDefault="00BA5C0A" w:rsidP="00015E3B">
            <w:pPr>
              <w:numPr>
                <w:ilvl w:val="0"/>
                <w:numId w:val="47"/>
              </w:numPr>
              <w:contextualSpacing/>
              <w:jc w:val="both"/>
              <w:rPr>
                <w:rFonts w:ascii="Times New Roman" w:hAnsi="Times New Roman" w:cs="Times New Roman"/>
                <w:lang w:val="uk-UA"/>
              </w:rPr>
            </w:pPr>
            <w:r w:rsidRPr="00BA5C0A">
              <w:rPr>
                <w:rFonts w:ascii="Times New Roman" w:hAnsi="Times New Roman" w:cs="Times New Roman"/>
                <w:lang w:val="uk-UA"/>
              </w:rPr>
              <w:t xml:space="preserve">Використання трансплантатів печінки з помірним (F2) або розвиненим (F3) </w:t>
            </w:r>
            <w:r w:rsidR="00FD0D1C">
              <w:rPr>
                <w:rFonts w:ascii="Times New Roman" w:hAnsi="Times New Roman" w:cs="Times New Roman"/>
                <w:lang w:val="uk-UA"/>
              </w:rPr>
              <w:t>фіброзом не рекомендується (В2)</w:t>
            </w:r>
          </w:p>
        </w:tc>
      </w:tr>
    </w:tbl>
    <w:p w14:paraId="7AC6908A" w14:textId="77777777" w:rsidR="00BA5C0A" w:rsidRPr="00BA5C0A" w:rsidRDefault="00BA5C0A" w:rsidP="00BA5C0A">
      <w:pPr>
        <w:jc w:val="both"/>
        <w:rPr>
          <w:rFonts w:ascii="Times New Roman" w:hAnsi="Times New Roman" w:cs="Times New Roman"/>
          <w:b/>
          <w:color w:val="4472C4" w:themeColor="accent5"/>
          <w:sz w:val="36"/>
          <w:szCs w:val="36"/>
          <w:lang w:val="uk-UA"/>
        </w:rPr>
      </w:pPr>
    </w:p>
    <w:p w14:paraId="2EA3F259" w14:textId="2DD2FE8C" w:rsidR="00BA5C0A" w:rsidRPr="00276C84" w:rsidRDefault="00FD0D1C" w:rsidP="00276C84">
      <w:pPr>
        <w:jc w:val="both"/>
        <w:rPr>
          <w:rFonts w:ascii="Times New Roman" w:hAnsi="Times New Roman" w:cs="Times New Roman"/>
          <w:b/>
          <w:color w:val="4472C4" w:themeColor="accent5"/>
          <w:sz w:val="32"/>
          <w:szCs w:val="32"/>
          <w:lang w:val="uk-UA"/>
        </w:rPr>
      </w:pPr>
      <w:r>
        <w:rPr>
          <w:rFonts w:ascii="Times New Roman" w:hAnsi="Times New Roman" w:cs="Times New Roman"/>
          <w:b/>
          <w:color w:val="4472C4" w:themeColor="accent5"/>
          <w:sz w:val="32"/>
          <w:szCs w:val="32"/>
          <w:lang w:val="uk-UA"/>
        </w:rPr>
        <w:t>Люди, які вживають психоактивні речовини (далі – ПАР)</w:t>
      </w:r>
      <w:r w:rsidR="00BA5C0A" w:rsidRPr="00276C84">
        <w:rPr>
          <w:rFonts w:ascii="Times New Roman" w:hAnsi="Times New Roman" w:cs="Times New Roman"/>
          <w:b/>
          <w:color w:val="4472C4" w:themeColor="accent5"/>
          <w:sz w:val="32"/>
          <w:szCs w:val="32"/>
          <w:lang w:val="uk-UA"/>
        </w:rPr>
        <w:t xml:space="preserve">, та пацієнти, які отримують замісну підтримуючу терапію </w:t>
      </w:r>
    </w:p>
    <w:p w14:paraId="62950FAE" w14:textId="77777777" w:rsidR="00BA5C0A" w:rsidRPr="00BA5C0A" w:rsidRDefault="00BA5C0A" w:rsidP="00BA5C0A">
      <w:pPr>
        <w:jc w:val="both"/>
        <w:rPr>
          <w:rFonts w:ascii="Times New Roman" w:hAnsi="Times New Roman" w:cs="Times New Roman"/>
          <w:lang w:val="uk-UA"/>
        </w:rPr>
      </w:pPr>
    </w:p>
    <w:p w14:paraId="0B876DC4" w14:textId="48276BCE"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Люди, </w:t>
      </w:r>
      <w:r w:rsidR="00A62DA7">
        <w:rPr>
          <w:rFonts w:ascii="Times New Roman" w:hAnsi="Times New Roman" w:cs="Times New Roman"/>
          <w:lang w:val="uk-UA"/>
        </w:rPr>
        <w:t xml:space="preserve">в анамнезі яких є </w:t>
      </w:r>
      <w:r w:rsidRPr="00BA5C0A">
        <w:rPr>
          <w:rFonts w:ascii="Times New Roman" w:hAnsi="Times New Roman" w:cs="Times New Roman"/>
          <w:lang w:val="uk-UA"/>
        </w:rPr>
        <w:t>вживання наркотиків</w:t>
      </w:r>
      <w:r w:rsidR="006A2BE2">
        <w:rPr>
          <w:rFonts w:ascii="Times New Roman" w:hAnsi="Times New Roman" w:cs="Times New Roman"/>
          <w:lang w:val="uk-UA"/>
        </w:rPr>
        <w:t xml:space="preserve"> ін’єкційним шляхом (далі – ЛВНІ)</w:t>
      </w:r>
      <w:r w:rsidRPr="00BA5C0A">
        <w:rPr>
          <w:rFonts w:ascii="Times New Roman" w:hAnsi="Times New Roman" w:cs="Times New Roman"/>
          <w:lang w:val="uk-UA"/>
        </w:rPr>
        <w:t>, включають колишніх споживачів наркотиків</w:t>
      </w:r>
      <w:r w:rsidR="00FD0D1C">
        <w:rPr>
          <w:rFonts w:ascii="Times New Roman" w:hAnsi="Times New Roman" w:cs="Times New Roman"/>
          <w:lang w:val="uk-UA"/>
        </w:rPr>
        <w:t xml:space="preserve"> ін’єкційним шляхом</w:t>
      </w:r>
      <w:r w:rsidRPr="00BA5C0A">
        <w:rPr>
          <w:rFonts w:ascii="Times New Roman" w:hAnsi="Times New Roman" w:cs="Times New Roman"/>
          <w:lang w:val="uk-UA"/>
        </w:rPr>
        <w:t>, які припинили вживання</w:t>
      </w:r>
      <w:r w:rsidR="006A2BE2">
        <w:rPr>
          <w:rFonts w:ascii="Times New Roman" w:hAnsi="Times New Roman" w:cs="Times New Roman"/>
          <w:lang w:val="uk-UA"/>
        </w:rPr>
        <w:t>, тих</w:t>
      </w:r>
      <w:r w:rsidR="00FD0D1C">
        <w:rPr>
          <w:rFonts w:ascii="Times New Roman" w:hAnsi="Times New Roman" w:cs="Times New Roman"/>
          <w:lang w:val="uk-UA"/>
        </w:rPr>
        <w:t>, хто недавно приймав а</w:t>
      </w:r>
      <w:r w:rsidR="006A2BE2">
        <w:rPr>
          <w:rFonts w:ascii="Times New Roman" w:hAnsi="Times New Roman" w:cs="Times New Roman"/>
          <w:lang w:val="uk-UA"/>
        </w:rPr>
        <w:t xml:space="preserve">бо продовжують приймати </w:t>
      </w:r>
      <w:r w:rsidR="00FD0D1C">
        <w:rPr>
          <w:rFonts w:ascii="Times New Roman" w:hAnsi="Times New Roman" w:cs="Times New Roman"/>
          <w:lang w:val="uk-UA"/>
        </w:rPr>
        <w:t>ПАР</w:t>
      </w:r>
      <w:r w:rsidRPr="00BA5C0A">
        <w:rPr>
          <w:rFonts w:ascii="Times New Roman" w:hAnsi="Times New Roman" w:cs="Times New Roman"/>
          <w:lang w:val="uk-UA"/>
        </w:rPr>
        <w:t>.</w:t>
      </w:r>
      <w:r w:rsidRPr="00BA5C0A">
        <w:rPr>
          <w:rFonts w:ascii="Times New Roman" w:hAnsi="Times New Roman" w:cs="Times New Roman"/>
          <w:vertAlign w:val="superscript"/>
          <w:lang w:val="uk-UA"/>
        </w:rPr>
        <w:t xml:space="preserve"> 207</w:t>
      </w:r>
      <w:r w:rsidR="00FD0D1C">
        <w:rPr>
          <w:rFonts w:ascii="Times New Roman" w:hAnsi="Times New Roman" w:cs="Times New Roman"/>
          <w:lang w:val="uk-UA"/>
        </w:rPr>
        <w:t xml:space="preserve"> Деякі особи</w:t>
      </w:r>
      <w:r w:rsidRPr="00BA5C0A">
        <w:rPr>
          <w:rFonts w:ascii="Times New Roman" w:hAnsi="Times New Roman" w:cs="Times New Roman"/>
          <w:lang w:val="uk-UA"/>
        </w:rPr>
        <w:t xml:space="preserve">, </w:t>
      </w:r>
      <w:r w:rsidR="006A2BE2">
        <w:rPr>
          <w:rFonts w:ascii="Times New Roman" w:hAnsi="Times New Roman" w:cs="Times New Roman"/>
          <w:lang w:val="uk-UA"/>
        </w:rPr>
        <w:t xml:space="preserve">в анамнезі яких є </w:t>
      </w:r>
      <w:r w:rsidRPr="00BA5C0A">
        <w:rPr>
          <w:rFonts w:ascii="Times New Roman" w:hAnsi="Times New Roman" w:cs="Times New Roman"/>
          <w:lang w:val="uk-UA"/>
        </w:rPr>
        <w:t xml:space="preserve">вживання </w:t>
      </w:r>
      <w:r w:rsidR="00FD0D1C">
        <w:rPr>
          <w:rFonts w:ascii="Times New Roman" w:hAnsi="Times New Roman" w:cs="Times New Roman"/>
          <w:lang w:val="uk-UA"/>
        </w:rPr>
        <w:t>опіоїдів</w:t>
      </w:r>
      <w:r w:rsidRPr="00BA5C0A">
        <w:rPr>
          <w:rFonts w:ascii="Times New Roman" w:hAnsi="Times New Roman" w:cs="Times New Roman"/>
          <w:lang w:val="uk-UA"/>
        </w:rPr>
        <w:t xml:space="preserve">, отримують замісну </w:t>
      </w:r>
      <w:r w:rsidR="00FD0D1C">
        <w:rPr>
          <w:rFonts w:ascii="Times New Roman" w:hAnsi="Times New Roman" w:cs="Times New Roman"/>
          <w:lang w:val="uk-UA"/>
        </w:rPr>
        <w:t xml:space="preserve">підтримуючу </w:t>
      </w:r>
      <w:r w:rsidRPr="00BA5C0A">
        <w:rPr>
          <w:rFonts w:ascii="Times New Roman" w:hAnsi="Times New Roman" w:cs="Times New Roman"/>
          <w:lang w:val="uk-UA"/>
        </w:rPr>
        <w:t>терапію (</w:t>
      </w:r>
      <w:r w:rsidR="006A2BE2">
        <w:rPr>
          <w:rFonts w:ascii="Times New Roman" w:hAnsi="Times New Roman" w:cs="Times New Roman"/>
          <w:lang w:val="uk-UA"/>
        </w:rPr>
        <w:t xml:space="preserve">далі – </w:t>
      </w:r>
      <w:r w:rsidRPr="00BA5C0A">
        <w:rPr>
          <w:rFonts w:ascii="Times New Roman" w:hAnsi="Times New Roman" w:cs="Times New Roman"/>
          <w:lang w:val="uk-UA"/>
        </w:rPr>
        <w:t xml:space="preserve">ЗПТ), наприклад, метадон або бупренорфін. </w:t>
      </w:r>
      <w:r w:rsidR="00FD0D1C">
        <w:rPr>
          <w:rFonts w:ascii="Times New Roman" w:hAnsi="Times New Roman" w:cs="Times New Roman"/>
          <w:lang w:val="uk-UA"/>
        </w:rPr>
        <w:t>В</w:t>
      </w:r>
      <w:r w:rsidRPr="00BA5C0A">
        <w:rPr>
          <w:rFonts w:ascii="Times New Roman" w:hAnsi="Times New Roman" w:cs="Times New Roman"/>
          <w:lang w:val="uk-UA"/>
        </w:rPr>
        <w:t xml:space="preserve"> Європі дві третини</w:t>
      </w:r>
      <w:r w:rsidR="00FD0D1C">
        <w:rPr>
          <w:rFonts w:ascii="Times New Roman" w:hAnsi="Times New Roman" w:cs="Times New Roman"/>
          <w:lang w:val="uk-UA"/>
        </w:rPr>
        <w:t xml:space="preserve"> випадків</w:t>
      </w:r>
      <w:r w:rsidRPr="00BA5C0A">
        <w:rPr>
          <w:rFonts w:ascii="Times New Roman" w:hAnsi="Times New Roman" w:cs="Times New Roman"/>
          <w:lang w:val="uk-UA"/>
        </w:rPr>
        <w:t xml:space="preserve"> ВГС пов'язані </w:t>
      </w:r>
      <w:r w:rsidR="00FD0D1C">
        <w:rPr>
          <w:rFonts w:ascii="Times New Roman" w:hAnsi="Times New Roman" w:cs="Times New Roman"/>
          <w:lang w:val="uk-UA"/>
        </w:rPr>
        <w:t>і</w:t>
      </w:r>
      <w:r w:rsidRPr="00BA5C0A">
        <w:rPr>
          <w:rFonts w:ascii="Times New Roman" w:hAnsi="Times New Roman" w:cs="Times New Roman"/>
          <w:lang w:val="uk-UA"/>
        </w:rPr>
        <w:t xml:space="preserve">з вживанням </w:t>
      </w:r>
      <w:r w:rsidR="00FD0D1C">
        <w:rPr>
          <w:rFonts w:ascii="Times New Roman" w:hAnsi="Times New Roman" w:cs="Times New Roman"/>
          <w:lang w:val="uk-UA"/>
        </w:rPr>
        <w:t>ПАР</w:t>
      </w:r>
      <w:r w:rsidRPr="00BA5C0A">
        <w:rPr>
          <w:rFonts w:ascii="Times New Roman" w:hAnsi="Times New Roman" w:cs="Times New Roman"/>
          <w:lang w:val="uk-UA"/>
        </w:rPr>
        <w:t>.</w:t>
      </w:r>
      <w:r w:rsidRPr="00BA5C0A">
        <w:rPr>
          <w:rFonts w:ascii="Times New Roman" w:hAnsi="Times New Roman" w:cs="Times New Roman"/>
          <w:vertAlign w:val="superscript"/>
          <w:lang w:val="uk-UA"/>
        </w:rPr>
        <w:t>208</w:t>
      </w:r>
      <w:r w:rsidRPr="00BA5C0A">
        <w:rPr>
          <w:rFonts w:ascii="Times New Roman" w:hAnsi="Times New Roman" w:cs="Times New Roman"/>
          <w:lang w:val="uk-UA"/>
        </w:rPr>
        <w:t xml:space="preserve"> Поширеність хронічної ВГС</w:t>
      </w:r>
      <w:r w:rsidR="00FD0D1C">
        <w:rPr>
          <w:rFonts w:ascii="Times New Roman" w:hAnsi="Times New Roman" w:cs="Times New Roman"/>
          <w:lang w:val="uk-UA"/>
        </w:rPr>
        <w:t>-</w:t>
      </w:r>
      <w:r w:rsidR="00FD0D1C" w:rsidRPr="00FD0D1C">
        <w:rPr>
          <w:rFonts w:ascii="Times New Roman" w:hAnsi="Times New Roman" w:cs="Times New Roman"/>
          <w:lang w:val="uk-UA"/>
        </w:rPr>
        <w:t xml:space="preserve"> </w:t>
      </w:r>
      <w:r w:rsidR="00FD0D1C" w:rsidRPr="00BA5C0A">
        <w:rPr>
          <w:rFonts w:ascii="Times New Roman" w:hAnsi="Times New Roman" w:cs="Times New Roman"/>
          <w:lang w:val="uk-UA"/>
        </w:rPr>
        <w:t>інфекції</w:t>
      </w:r>
      <w:r w:rsidRPr="00BA5C0A">
        <w:rPr>
          <w:rFonts w:ascii="Times New Roman" w:hAnsi="Times New Roman" w:cs="Times New Roman"/>
          <w:lang w:val="uk-UA"/>
        </w:rPr>
        <w:t xml:space="preserve"> серед людей, які нещодавно вживали </w:t>
      </w:r>
      <w:r w:rsidR="00FD0D1C">
        <w:rPr>
          <w:rFonts w:ascii="Times New Roman" w:hAnsi="Times New Roman" w:cs="Times New Roman"/>
          <w:lang w:val="uk-UA"/>
        </w:rPr>
        <w:t>ПАР</w:t>
      </w:r>
      <w:r w:rsidRPr="00BA5C0A">
        <w:rPr>
          <w:rFonts w:ascii="Times New Roman" w:hAnsi="Times New Roman" w:cs="Times New Roman"/>
          <w:lang w:val="uk-UA"/>
        </w:rPr>
        <w:t>, становить приблизно 40%.</w:t>
      </w:r>
      <w:r w:rsidRPr="00BA5C0A">
        <w:rPr>
          <w:rFonts w:ascii="Times New Roman" w:hAnsi="Times New Roman" w:cs="Times New Roman"/>
          <w:vertAlign w:val="superscript"/>
          <w:lang w:val="uk-UA"/>
        </w:rPr>
        <w:t>209</w:t>
      </w:r>
    </w:p>
    <w:p w14:paraId="658AACBA" w14:textId="77777777" w:rsidR="00BA5C0A" w:rsidRPr="00BA5C0A" w:rsidRDefault="00BA5C0A" w:rsidP="00BA5C0A">
      <w:pPr>
        <w:jc w:val="both"/>
        <w:rPr>
          <w:rFonts w:ascii="Times New Roman" w:hAnsi="Times New Roman" w:cs="Times New Roman"/>
          <w:lang w:val="uk-UA"/>
        </w:rPr>
      </w:pPr>
    </w:p>
    <w:p w14:paraId="14114213" w14:textId="4DEA9972"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Рекомендації щодо тестування на ВГС у цій популяції, що базуються на високій поширеності інфекції, </w:t>
      </w:r>
      <w:r w:rsidRPr="00BA5C0A">
        <w:rPr>
          <w:rFonts w:ascii="Times New Roman" w:hAnsi="Times New Roman" w:cs="Times New Roman"/>
          <w:vertAlign w:val="superscript"/>
          <w:lang w:val="uk-UA"/>
        </w:rPr>
        <w:t>210 211</w:t>
      </w:r>
      <w:r w:rsidRPr="00BA5C0A">
        <w:rPr>
          <w:rFonts w:ascii="Times New Roman" w:hAnsi="Times New Roman" w:cs="Times New Roman"/>
          <w:lang w:val="uk-UA"/>
        </w:rPr>
        <w:t xml:space="preserve"> демонструють, що усвідомлення ВГС статусу викликає стійкі захисні поведінкові зміни, </w:t>
      </w:r>
      <w:r w:rsidRPr="00BA5C0A">
        <w:rPr>
          <w:rFonts w:ascii="Times New Roman" w:hAnsi="Times New Roman" w:cs="Times New Roman"/>
          <w:vertAlign w:val="superscript"/>
          <w:lang w:val="uk-UA"/>
        </w:rPr>
        <w:t>212 213</w:t>
      </w:r>
      <w:r w:rsidRPr="00BA5C0A">
        <w:rPr>
          <w:rFonts w:ascii="Times New Roman" w:hAnsi="Times New Roman" w:cs="Times New Roman"/>
          <w:lang w:val="uk-UA"/>
        </w:rPr>
        <w:t xml:space="preserve"> </w:t>
      </w:r>
      <w:r w:rsidR="00FD0D1C" w:rsidRPr="008D650D">
        <w:rPr>
          <w:rFonts w:ascii="Times New Roman" w:hAnsi="Times New Roman" w:cs="Times New Roman"/>
          <w:lang w:val="uk-UA"/>
        </w:rPr>
        <w:t xml:space="preserve">що, у свою чергу, шляхом лікування серед споживачів наркотиків </w:t>
      </w:r>
      <w:r w:rsidR="00FD0D1C" w:rsidRPr="008D650D">
        <w:rPr>
          <w:rFonts w:ascii="Times New Roman" w:hAnsi="Times New Roman" w:cs="Times New Roman"/>
          <w:vertAlign w:val="superscript"/>
          <w:lang w:val="uk-UA"/>
        </w:rPr>
        <w:t>214 213, 218</w:t>
      </w:r>
      <w:r w:rsidR="00FD0D1C" w:rsidRPr="008D650D">
        <w:rPr>
          <w:rFonts w:ascii="Times New Roman" w:hAnsi="Times New Roman" w:cs="Times New Roman"/>
          <w:lang w:val="uk-UA"/>
        </w:rPr>
        <w:t xml:space="preserve"> сприяє зменшенню</w:t>
      </w:r>
      <w:r w:rsidRPr="008D650D">
        <w:rPr>
          <w:rFonts w:ascii="Times New Roman" w:hAnsi="Times New Roman" w:cs="Times New Roman"/>
          <w:lang w:val="uk-UA"/>
        </w:rPr>
        <w:t xml:space="preserve"> передачі </w:t>
      </w:r>
      <w:r w:rsidR="00FD0D1C" w:rsidRPr="008D650D">
        <w:rPr>
          <w:rFonts w:ascii="Times New Roman" w:hAnsi="Times New Roman" w:cs="Times New Roman"/>
          <w:lang w:val="uk-UA"/>
        </w:rPr>
        <w:t xml:space="preserve">ВГС </w:t>
      </w:r>
      <w:r w:rsidRPr="008D650D">
        <w:rPr>
          <w:rFonts w:ascii="Times New Roman" w:hAnsi="Times New Roman" w:cs="Times New Roman"/>
          <w:lang w:val="uk-UA"/>
        </w:rPr>
        <w:t xml:space="preserve">та </w:t>
      </w:r>
      <w:r w:rsidR="00FD0D1C" w:rsidRPr="008D650D">
        <w:rPr>
          <w:rFonts w:ascii="Times New Roman" w:hAnsi="Times New Roman" w:cs="Times New Roman"/>
          <w:lang w:val="uk-UA"/>
        </w:rPr>
        <w:t>зниженню</w:t>
      </w:r>
      <w:r w:rsidRPr="008D650D">
        <w:rPr>
          <w:rFonts w:ascii="Times New Roman" w:hAnsi="Times New Roman" w:cs="Times New Roman"/>
          <w:lang w:val="uk-UA"/>
        </w:rPr>
        <w:t xml:space="preserve"> захворюваності та смертності від ВГС</w:t>
      </w:r>
      <w:r w:rsidR="00FC6D8A" w:rsidRPr="008D650D">
        <w:rPr>
          <w:rFonts w:ascii="Times New Roman" w:hAnsi="Times New Roman" w:cs="Times New Roman"/>
          <w:lang w:val="uk-UA"/>
        </w:rPr>
        <w:t>–</w:t>
      </w:r>
      <w:r w:rsidRPr="008D650D">
        <w:rPr>
          <w:rFonts w:ascii="Times New Roman" w:hAnsi="Times New Roman" w:cs="Times New Roman"/>
          <w:lang w:val="uk-UA"/>
        </w:rPr>
        <w:t>інфекції.</w:t>
      </w:r>
      <w:r w:rsidRPr="00BA5C0A">
        <w:rPr>
          <w:rFonts w:ascii="Times New Roman" w:hAnsi="Times New Roman" w:cs="Times New Roman"/>
          <w:lang w:val="uk-UA"/>
        </w:rPr>
        <w:t xml:space="preserve"> </w:t>
      </w:r>
      <w:r w:rsidRPr="00BA5C0A">
        <w:rPr>
          <w:rFonts w:ascii="Times New Roman" w:hAnsi="Times New Roman" w:cs="Times New Roman"/>
          <w:vertAlign w:val="superscript"/>
          <w:lang w:val="uk-UA"/>
        </w:rPr>
        <w:t>4, 219</w:t>
      </w:r>
      <w:r w:rsidRPr="00BA5C0A">
        <w:rPr>
          <w:rFonts w:ascii="Times New Roman" w:hAnsi="Times New Roman" w:cs="Times New Roman"/>
          <w:lang w:val="uk-UA"/>
        </w:rPr>
        <w:t xml:space="preserve"> Докази, щодо обгрунтованої частоти тестування, є обмеженими. Через високий рівень захворюваності на ВГС</w:t>
      </w:r>
      <w:r w:rsidR="00FC6D8A">
        <w:rPr>
          <w:rFonts w:ascii="Times New Roman" w:hAnsi="Times New Roman" w:cs="Times New Roman"/>
          <w:lang w:val="uk-UA"/>
        </w:rPr>
        <w:t>–</w:t>
      </w:r>
      <w:r w:rsidRPr="00BA5C0A">
        <w:rPr>
          <w:rFonts w:ascii="Times New Roman" w:hAnsi="Times New Roman" w:cs="Times New Roman"/>
          <w:lang w:val="uk-UA"/>
        </w:rPr>
        <w:t xml:space="preserve">інфекцію серед ЛВІН </w:t>
      </w:r>
      <w:r w:rsidRPr="00BA5C0A">
        <w:rPr>
          <w:rFonts w:ascii="Times New Roman" w:hAnsi="Times New Roman" w:cs="Times New Roman"/>
          <w:vertAlign w:val="superscript"/>
          <w:lang w:val="uk-UA"/>
        </w:rPr>
        <w:t>211,220,221</w:t>
      </w:r>
      <w:r w:rsidRPr="00BA5C0A">
        <w:rPr>
          <w:rFonts w:ascii="Times New Roman" w:hAnsi="Times New Roman" w:cs="Times New Roman"/>
          <w:lang w:val="uk-UA"/>
        </w:rPr>
        <w:t xml:space="preserve"> та наведені вище переваги, тестування на ВГС повинно проводитися принаймні щороку та після епізодів високого ризику інфікування серед ЛВІН.</w:t>
      </w:r>
    </w:p>
    <w:p w14:paraId="752098F5" w14:textId="77777777" w:rsidR="00BA5C0A" w:rsidRPr="00BA5C0A" w:rsidRDefault="00BA5C0A" w:rsidP="00BA5C0A">
      <w:pPr>
        <w:jc w:val="both"/>
        <w:rPr>
          <w:rFonts w:ascii="Times New Roman" w:hAnsi="Times New Roman" w:cs="Times New Roman"/>
          <w:lang w:val="uk-UA"/>
        </w:rPr>
      </w:pPr>
    </w:p>
    <w:p w14:paraId="7E98E8D5" w14:textId="445C717B"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Було показано, що ЗПТ пов'язана з 50% зниженням ризику нових випадків ВГС, і цей ефект збільшується до 74% за рахунок одночасного використання чистого ін'єкційного </w:t>
      </w:r>
      <w:r w:rsidR="00FD0D1C">
        <w:rPr>
          <w:rFonts w:ascii="Times New Roman" w:hAnsi="Times New Roman" w:cs="Times New Roman"/>
          <w:lang w:val="uk-UA"/>
        </w:rPr>
        <w:t>інструментарію для вживання ПАР</w:t>
      </w:r>
      <w:r w:rsidRPr="00BA5C0A">
        <w:rPr>
          <w:rFonts w:ascii="Times New Roman" w:hAnsi="Times New Roman" w:cs="Times New Roman"/>
          <w:vertAlign w:val="superscript"/>
          <w:lang w:val="uk-UA"/>
        </w:rPr>
        <w:t>222</w:t>
      </w:r>
      <w:r w:rsidRPr="00BA5C0A">
        <w:rPr>
          <w:rFonts w:ascii="Times New Roman" w:hAnsi="Times New Roman" w:cs="Times New Roman"/>
          <w:lang w:val="uk-UA"/>
        </w:rPr>
        <w:t>. Однак глобальне охоплення ЗПТ та програм</w:t>
      </w:r>
      <w:r w:rsidR="006A2BE2">
        <w:rPr>
          <w:rFonts w:ascii="Times New Roman" w:hAnsi="Times New Roman" w:cs="Times New Roman"/>
          <w:lang w:val="uk-UA"/>
        </w:rPr>
        <w:t>ами</w:t>
      </w:r>
      <w:r w:rsidRPr="00BA5C0A">
        <w:rPr>
          <w:rFonts w:ascii="Times New Roman" w:hAnsi="Times New Roman" w:cs="Times New Roman"/>
          <w:lang w:val="uk-UA"/>
        </w:rPr>
        <w:t xml:space="preserve"> голок та шприців є низьким.</w:t>
      </w:r>
      <w:r w:rsidRPr="00BA5C0A">
        <w:rPr>
          <w:rFonts w:ascii="Times New Roman" w:hAnsi="Times New Roman" w:cs="Times New Roman"/>
          <w:vertAlign w:val="superscript"/>
          <w:lang w:val="uk-UA"/>
        </w:rPr>
        <w:t>223</w:t>
      </w:r>
      <w:r w:rsidRPr="00BA5C0A">
        <w:rPr>
          <w:rFonts w:ascii="Times New Roman" w:hAnsi="Times New Roman" w:cs="Times New Roman"/>
          <w:lang w:val="uk-UA"/>
        </w:rPr>
        <w:t xml:space="preserve"> Поєднання стратегій профілактики</w:t>
      </w:r>
      <w:r w:rsidR="00FD0D1C">
        <w:rPr>
          <w:rFonts w:ascii="Times New Roman" w:hAnsi="Times New Roman" w:cs="Times New Roman"/>
          <w:lang w:val="uk-UA"/>
        </w:rPr>
        <w:t xml:space="preserve"> та</w:t>
      </w:r>
      <w:r w:rsidRPr="00BA5C0A">
        <w:rPr>
          <w:rFonts w:ascii="Times New Roman" w:hAnsi="Times New Roman" w:cs="Times New Roman"/>
          <w:lang w:val="uk-UA"/>
        </w:rPr>
        <w:t xml:space="preserve"> лікування ВГС, має вирішальне значення для значного скорочення передачі ВГС у цих групах.</w:t>
      </w:r>
    </w:p>
    <w:p w14:paraId="4B294111" w14:textId="77777777" w:rsidR="00BA5C0A" w:rsidRPr="00BA5C0A" w:rsidRDefault="00BA5C0A" w:rsidP="00BA5C0A">
      <w:pPr>
        <w:jc w:val="both"/>
        <w:rPr>
          <w:rFonts w:ascii="Times New Roman" w:hAnsi="Times New Roman" w:cs="Times New Roman"/>
          <w:lang w:val="uk-UA"/>
        </w:rPr>
      </w:pPr>
    </w:p>
    <w:p w14:paraId="08B2159A" w14:textId="6459E4F9" w:rsidR="00BA5C0A" w:rsidRPr="00BA5C0A" w:rsidRDefault="00BA5C0A" w:rsidP="00BA5C0A">
      <w:pPr>
        <w:jc w:val="both"/>
        <w:rPr>
          <w:rFonts w:ascii="Times New Roman" w:hAnsi="Times New Roman" w:cs="Times New Roman"/>
          <w:vertAlign w:val="superscript"/>
          <w:lang w:val="uk-UA"/>
        </w:rPr>
      </w:pPr>
      <w:r w:rsidRPr="00BA5C0A">
        <w:rPr>
          <w:rFonts w:ascii="Times New Roman" w:hAnsi="Times New Roman" w:cs="Times New Roman"/>
          <w:lang w:val="uk-UA"/>
        </w:rPr>
        <w:t xml:space="preserve">Метою лікування ВГС у ЛВІН є запобігання розвитку хронічного </w:t>
      </w:r>
      <w:r w:rsidR="00E1361A">
        <w:rPr>
          <w:rFonts w:ascii="Times New Roman" w:hAnsi="Times New Roman" w:cs="Times New Roman"/>
          <w:lang w:val="uk-UA"/>
        </w:rPr>
        <w:t xml:space="preserve">захворювання </w:t>
      </w:r>
      <w:r w:rsidRPr="00BA5C0A">
        <w:rPr>
          <w:rFonts w:ascii="Times New Roman" w:hAnsi="Times New Roman" w:cs="Times New Roman"/>
          <w:lang w:val="uk-UA"/>
        </w:rPr>
        <w:t>печінк</w:t>
      </w:r>
      <w:r w:rsidR="00E1361A">
        <w:rPr>
          <w:rFonts w:ascii="Times New Roman" w:hAnsi="Times New Roman" w:cs="Times New Roman"/>
          <w:lang w:val="uk-UA"/>
        </w:rPr>
        <w:t>и та позапечінкових проявів ВГС, а</w:t>
      </w:r>
      <w:r w:rsidRPr="00BA5C0A">
        <w:rPr>
          <w:rFonts w:ascii="Times New Roman" w:hAnsi="Times New Roman" w:cs="Times New Roman"/>
          <w:lang w:val="uk-UA"/>
        </w:rPr>
        <w:t xml:space="preserve"> також </w:t>
      </w:r>
      <w:r w:rsidR="00E1361A">
        <w:rPr>
          <w:rFonts w:ascii="Times New Roman" w:hAnsi="Times New Roman" w:cs="Times New Roman"/>
          <w:lang w:val="uk-UA"/>
        </w:rPr>
        <w:t>з</w:t>
      </w:r>
      <w:r w:rsidRPr="00BA5C0A">
        <w:rPr>
          <w:rFonts w:ascii="Times New Roman" w:hAnsi="Times New Roman" w:cs="Times New Roman"/>
          <w:lang w:val="uk-UA"/>
        </w:rPr>
        <w:t>апобігання подальшої пере</w:t>
      </w:r>
      <w:r w:rsidR="00E1361A">
        <w:rPr>
          <w:rFonts w:ascii="Times New Roman" w:hAnsi="Times New Roman" w:cs="Times New Roman"/>
          <w:lang w:val="uk-UA"/>
        </w:rPr>
        <w:t>дачі інфекції</w:t>
      </w:r>
      <w:r w:rsidRPr="00BA5C0A">
        <w:rPr>
          <w:rFonts w:ascii="Times New Roman" w:hAnsi="Times New Roman" w:cs="Times New Roman"/>
          <w:lang w:val="uk-UA"/>
        </w:rPr>
        <w:t xml:space="preserve">. </w:t>
      </w:r>
      <w:r w:rsidR="00276C84">
        <w:rPr>
          <w:rFonts w:ascii="Times New Roman" w:hAnsi="Times New Roman" w:cs="Times New Roman"/>
          <w:lang w:val="uk-UA"/>
        </w:rPr>
        <w:t>Охо</w:t>
      </w:r>
      <w:r w:rsidR="006A2BE2">
        <w:rPr>
          <w:rFonts w:ascii="Times New Roman" w:hAnsi="Times New Roman" w:cs="Times New Roman"/>
          <w:lang w:val="uk-UA"/>
        </w:rPr>
        <w:t>п</w:t>
      </w:r>
      <w:r w:rsidR="00276C84">
        <w:rPr>
          <w:rFonts w:ascii="Times New Roman" w:hAnsi="Times New Roman" w:cs="Times New Roman"/>
          <w:lang w:val="uk-UA"/>
        </w:rPr>
        <w:t>лення</w:t>
      </w:r>
      <w:r w:rsidRPr="00BA5C0A">
        <w:rPr>
          <w:rFonts w:ascii="Times New Roman" w:hAnsi="Times New Roman" w:cs="Times New Roman"/>
          <w:lang w:val="uk-UA"/>
        </w:rPr>
        <w:t xml:space="preserve"> лікування</w:t>
      </w:r>
      <w:r w:rsidR="00276C84">
        <w:rPr>
          <w:rFonts w:ascii="Times New Roman" w:hAnsi="Times New Roman" w:cs="Times New Roman"/>
          <w:lang w:val="uk-UA"/>
        </w:rPr>
        <w:t>м</w:t>
      </w:r>
      <w:r w:rsidRPr="00BA5C0A">
        <w:rPr>
          <w:rFonts w:ascii="Times New Roman" w:hAnsi="Times New Roman" w:cs="Times New Roman"/>
          <w:lang w:val="uk-UA"/>
        </w:rPr>
        <w:t xml:space="preserve"> </w:t>
      </w:r>
      <w:r w:rsidR="00E1361A">
        <w:rPr>
          <w:rFonts w:ascii="Times New Roman" w:hAnsi="Times New Roman" w:cs="Times New Roman"/>
          <w:lang w:val="uk-UA"/>
        </w:rPr>
        <w:t>зазначеної групи</w:t>
      </w:r>
      <w:r w:rsidRPr="00BA5C0A">
        <w:rPr>
          <w:rFonts w:ascii="Times New Roman" w:hAnsi="Times New Roman" w:cs="Times New Roman"/>
          <w:lang w:val="uk-UA"/>
        </w:rPr>
        <w:t xml:space="preserve"> бул</w:t>
      </w:r>
      <w:r w:rsidR="00276C84">
        <w:rPr>
          <w:rFonts w:ascii="Times New Roman" w:hAnsi="Times New Roman" w:cs="Times New Roman"/>
          <w:lang w:val="uk-UA"/>
        </w:rPr>
        <w:t>о</w:t>
      </w:r>
      <w:r w:rsidRPr="00BA5C0A">
        <w:rPr>
          <w:rFonts w:ascii="Times New Roman" w:hAnsi="Times New Roman" w:cs="Times New Roman"/>
          <w:lang w:val="uk-UA"/>
        </w:rPr>
        <w:t xml:space="preserve"> низьк</w:t>
      </w:r>
      <w:r w:rsidR="00276C84">
        <w:rPr>
          <w:rFonts w:ascii="Times New Roman" w:hAnsi="Times New Roman" w:cs="Times New Roman"/>
          <w:lang w:val="uk-UA"/>
        </w:rPr>
        <w:t>им</w:t>
      </w:r>
      <w:r w:rsidRPr="00BA5C0A">
        <w:rPr>
          <w:rFonts w:ascii="Times New Roman" w:hAnsi="Times New Roman" w:cs="Times New Roman"/>
          <w:lang w:val="uk-UA"/>
        </w:rPr>
        <w:t xml:space="preserve">, особливо </w:t>
      </w:r>
      <w:r w:rsidR="00276C84">
        <w:rPr>
          <w:rFonts w:ascii="Times New Roman" w:hAnsi="Times New Roman" w:cs="Times New Roman"/>
          <w:lang w:val="uk-UA"/>
        </w:rPr>
        <w:t>у еру</w:t>
      </w:r>
      <w:r w:rsidRPr="00BA5C0A">
        <w:rPr>
          <w:rFonts w:ascii="Times New Roman" w:hAnsi="Times New Roman" w:cs="Times New Roman"/>
          <w:lang w:val="uk-UA"/>
        </w:rPr>
        <w:t xml:space="preserve"> застосування </w:t>
      </w:r>
      <w:r w:rsidR="00557239">
        <w:rPr>
          <w:rFonts w:ascii="Times New Roman" w:hAnsi="Times New Roman" w:cs="Times New Roman"/>
          <w:lang w:val="uk-UA"/>
        </w:rPr>
        <w:t>IFN</w:t>
      </w:r>
      <w:r w:rsidR="00FC6D8A">
        <w:rPr>
          <w:rFonts w:ascii="Times New Roman" w:hAnsi="Times New Roman" w:cs="Times New Roman"/>
          <w:lang w:val="uk-UA"/>
        </w:rPr>
        <w:t>–</w:t>
      </w:r>
      <w:r w:rsidRPr="00BA5C0A">
        <w:rPr>
          <w:rFonts w:ascii="Times New Roman" w:hAnsi="Times New Roman" w:cs="Times New Roman"/>
          <w:lang w:val="uk-UA"/>
        </w:rPr>
        <w:t>терапії.</w:t>
      </w:r>
      <w:r w:rsidRPr="00BA5C0A">
        <w:rPr>
          <w:rFonts w:ascii="Times New Roman" w:hAnsi="Times New Roman" w:cs="Times New Roman"/>
          <w:vertAlign w:val="superscript"/>
          <w:lang w:val="uk-UA"/>
        </w:rPr>
        <w:t>225,226</w:t>
      </w:r>
      <w:r w:rsidRPr="00BA5C0A">
        <w:rPr>
          <w:rFonts w:ascii="Times New Roman" w:hAnsi="Times New Roman" w:cs="Times New Roman"/>
          <w:lang w:val="uk-UA"/>
        </w:rPr>
        <w:t xml:space="preserve"> Серед пацієнтів, які отримували ЗПТ, та тих, хто вживав наркотики</w:t>
      </w:r>
      <w:r w:rsidR="006A2BE2">
        <w:rPr>
          <w:rFonts w:ascii="Times New Roman" w:hAnsi="Times New Roman" w:cs="Times New Roman"/>
          <w:lang w:val="uk-UA"/>
        </w:rPr>
        <w:t xml:space="preserve"> ін’єкційно</w:t>
      </w:r>
      <w:r w:rsidRPr="00BA5C0A">
        <w:rPr>
          <w:rFonts w:ascii="Times New Roman" w:hAnsi="Times New Roman" w:cs="Times New Roman"/>
          <w:lang w:val="uk-UA"/>
        </w:rPr>
        <w:t xml:space="preserve">, було доведено, що терапія ПППД є безпечною та ефективною, і не вимагає корегування </w:t>
      </w:r>
      <w:r w:rsidR="00E1361A">
        <w:rPr>
          <w:rFonts w:ascii="Times New Roman" w:hAnsi="Times New Roman" w:cs="Times New Roman"/>
          <w:lang w:val="uk-UA"/>
        </w:rPr>
        <w:t>дози метадону</w:t>
      </w:r>
      <w:r w:rsidRPr="00BA5C0A">
        <w:rPr>
          <w:rFonts w:ascii="Times New Roman" w:hAnsi="Times New Roman" w:cs="Times New Roman"/>
          <w:lang w:val="uk-UA"/>
        </w:rPr>
        <w:t xml:space="preserve"> або бупренорфіну. Проте</w:t>
      </w:r>
      <w:r w:rsidR="008D650D">
        <w:rPr>
          <w:rFonts w:ascii="Times New Roman" w:hAnsi="Times New Roman" w:cs="Times New Roman"/>
          <w:lang w:val="uk-UA"/>
        </w:rPr>
        <w:t>,</w:t>
      </w:r>
      <w:r w:rsidRPr="00BA5C0A">
        <w:rPr>
          <w:rFonts w:ascii="Times New Roman" w:hAnsi="Times New Roman" w:cs="Times New Roman"/>
          <w:lang w:val="uk-UA"/>
        </w:rPr>
        <w:t xml:space="preserve"> </w:t>
      </w:r>
      <w:r w:rsidR="00E1361A">
        <w:rPr>
          <w:rFonts w:ascii="Times New Roman" w:hAnsi="Times New Roman" w:cs="Times New Roman"/>
          <w:lang w:val="uk-UA"/>
        </w:rPr>
        <w:t>все ж потрібно</w:t>
      </w:r>
      <w:r w:rsidRPr="00BA5C0A">
        <w:rPr>
          <w:rFonts w:ascii="Times New Roman" w:hAnsi="Times New Roman" w:cs="Times New Roman"/>
          <w:lang w:val="uk-UA"/>
        </w:rPr>
        <w:t xml:space="preserve"> </w:t>
      </w:r>
      <w:r w:rsidR="006A2BE2" w:rsidRPr="008D650D">
        <w:rPr>
          <w:rFonts w:ascii="Times New Roman" w:hAnsi="Times New Roman" w:cs="Times New Roman"/>
          <w:lang w:val="uk-UA"/>
        </w:rPr>
        <w:t xml:space="preserve">проводити </w:t>
      </w:r>
      <w:r w:rsidRPr="008D650D">
        <w:rPr>
          <w:rFonts w:ascii="Times New Roman" w:hAnsi="Times New Roman" w:cs="Times New Roman"/>
          <w:lang w:val="uk-UA"/>
        </w:rPr>
        <w:t xml:space="preserve">моніторинг </w:t>
      </w:r>
      <w:r w:rsidR="00E1361A" w:rsidRPr="008D650D">
        <w:rPr>
          <w:rFonts w:ascii="Times New Roman" w:hAnsi="Times New Roman" w:cs="Times New Roman"/>
          <w:lang w:val="uk-UA"/>
        </w:rPr>
        <w:t xml:space="preserve">на наявність </w:t>
      </w:r>
      <w:r w:rsidRPr="008D650D">
        <w:rPr>
          <w:rFonts w:ascii="Times New Roman" w:hAnsi="Times New Roman" w:cs="Times New Roman"/>
          <w:lang w:val="uk-UA"/>
        </w:rPr>
        <w:t xml:space="preserve">ознак </w:t>
      </w:r>
      <w:r w:rsidR="008D650D" w:rsidRPr="008D650D">
        <w:rPr>
          <w:rFonts w:ascii="Times New Roman" w:hAnsi="Times New Roman" w:cs="Times New Roman"/>
          <w:lang w:val="uk-UA"/>
        </w:rPr>
        <w:t xml:space="preserve">вживання </w:t>
      </w:r>
      <w:r w:rsidRPr="008D650D">
        <w:rPr>
          <w:rFonts w:ascii="Times New Roman" w:hAnsi="Times New Roman" w:cs="Times New Roman"/>
          <w:lang w:val="uk-UA"/>
        </w:rPr>
        <w:t>опіої</w:t>
      </w:r>
      <w:r w:rsidR="008D650D" w:rsidRPr="008D650D">
        <w:rPr>
          <w:rFonts w:ascii="Times New Roman" w:hAnsi="Times New Roman" w:cs="Times New Roman"/>
          <w:lang w:val="uk-UA"/>
        </w:rPr>
        <w:t>дів</w:t>
      </w:r>
      <w:r w:rsidRPr="008D650D">
        <w:rPr>
          <w:rFonts w:ascii="Times New Roman" w:hAnsi="Times New Roman" w:cs="Times New Roman"/>
          <w:lang w:val="uk-UA"/>
        </w:rPr>
        <w:t xml:space="preserve"> або </w:t>
      </w:r>
      <w:r w:rsidR="006A2BE2" w:rsidRPr="008D650D">
        <w:rPr>
          <w:rFonts w:ascii="Times New Roman" w:hAnsi="Times New Roman" w:cs="Times New Roman"/>
          <w:lang w:val="uk-UA"/>
        </w:rPr>
        <w:t>припинення</w:t>
      </w:r>
      <w:r w:rsidR="008D650D" w:rsidRPr="008D650D">
        <w:rPr>
          <w:rFonts w:ascii="Times New Roman" w:hAnsi="Times New Roman" w:cs="Times New Roman"/>
          <w:lang w:val="uk-UA"/>
        </w:rPr>
        <w:t xml:space="preserve"> </w:t>
      </w:r>
      <w:r w:rsidRPr="008D650D">
        <w:rPr>
          <w:rFonts w:ascii="Times New Roman" w:hAnsi="Times New Roman" w:cs="Times New Roman"/>
          <w:lang w:val="uk-UA"/>
        </w:rPr>
        <w:t>терапії</w:t>
      </w:r>
      <w:r w:rsidR="008D650D" w:rsidRPr="008D650D">
        <w:rPr>
          <w:rFonts w:ascii="Times New Roman" w:hAnsi="Times New Roman" w:cs="Times New Roman"/>
          <w:lang w:val="uk-UA"/>
        </w:rPr>
        <w:t xml:space="preserve"> ПППД</w:t>
      </w:r>
      <w:r w:rsidRPr="008D650D">
        <w:rPr>
          <w:rFonts w:ascii="Times New Roman" w:hAnsi="Times New Roman" w:cs="Times New Roman"/>
          <w:lang w:val="uk-UA"/>
        </w:rPr>
        <w:t xml:space="preserve">. </w:t>
      </w:r>
      <w:r w:rsidRPr="008D650D">
        <w:rPr>
          <w:rFonts w:ascii="Times New Roman" w:hAnsi="Times New Roman" w:cs="Times New Roman"/>
          <w:vertAlign w:val="superscript"/>
          <w:lang w:val="uk-UA"/>
        </w:rPr>
        <w:t>109, 227</w:t>
      </w:r>
    </w:p>
    <w:p w14:paraId="32F3620E" w14:textId="77777777" w:rsidR="00BA5C0A" w:rsidRPr="00BA5C0A" w:rsidRDefault="00BA5C0A" w:rsidP="00BA5C0A">
      <w:pPr>
        <w:jc w:val="both"/>
        <w:rPr>
          <w:rFonts w:ascii="Times New Roman" w:hAnsi="Times New Roman" w:cs="Times New Roman"/>
          <w:lang w:val="uk-UA"/>
        </w:rPr>
      </w:pPr>
    </w:p>
    <w:p w14:paraId="3E0573E6" w14:textId="69FA4C96"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Ретроспективний аналіз фаз II та III досліджень терапії ПППД продемонструва</w:t>
      </w:r>
      <w:r w:rsidR="009125A8">
        <w:rPr>
          <w:rFonts w:ascii="Times New Roman" w:hAnsi="Times New Roman" w:cs="Times New Roman"/>
          <w:lang w:val="uk-UA"/>
        </w:rPr>
        <w:t>в</w:t>
      </w:r>
      <w:r w:rsidRPr="00BA5C0A">
        <w:rPr>
          <w:rFonts w:ascii="Times New Roman" w:hAnsi="Times New Roman" w:cs="Times New Roman"/>
          <w:lang w:val="uk-UA"/>
        </w:rPr>
        <w:t xml:space="preserve"> аналогічні показники </w:t>
      </w:r>
      <w:r w:rsidR="009125A8">
        <w:rPr>
          <w:rFonts w:ascii="Times New Roman" w:hAnsi="Times New Roman" w:cs="Times New Roman"/>
          <w:lang w:val="uk-UA"/>
        </w:rPr>
        <w:t xml:space="preserve">досягнення </w:t>
      </w:r>
      <w:r w:rsidRPr="00BA5C0A">
        <w:rPr>
          <w:rFonts w:ascii="Times New Roman" w:hAnsi="Times New Roman" w:cs="Times New Roman"/>
          <w:lang w:val="uk-UA"/>
        </w:rPr>
        <w:t xml:space="preserve">СВВ у пацієнтів, які отримували та не отримували ЗПТ. </w:t>
      </w:r>
      <w:r w:rsidRPr="00BA5C0A">
        <w:rPr>
          <w:rFonts w:ascii="Times New Roman" w:hAnsi="Times New Roman" w:cs="Times New Roman"/>
          <w:vertAlign w:val="superscript"/>
          <w:lang w:val="uk-UA"/>
        </w:rPr>
        <w:t>28</w:t>
      </w:r>
      <w:r w:rsidR="00FC6D8A">
        <w:rPr>
          <w:rFonts w:ascii="Times New Roman" w:hAnsi="Times New Roman" w:cs="Times New Roman"/>
          <w:vertAlign w:val="superscript"/>
          <w:lang w:val="uk-UA"/>
        </w:rPr>
        <w:t>–</w:t>
      </w:r>
      <w:r w:rsidRPr="00BA5C0A">
        <w:rPr>
          <w:rFonts w:ascii="Times New Roman" w:hAnsi="Times New Roman" w:cs="Times New Roman"/>
          <w:vertAlign w:val="superscript"/>
          <w:lang w:val="uk-UA"/>
        </w:rPr>
        <w:t>232</w:t>
      </w:r>
      <w:r w:rsidRPr="00BA5C0A">
        <w:rPr>
          <w:rFonts w:ascii="Times New Roman" w:hAnsi="Times New Roman" w:cs="Times New Roman"/>
          <w:lang w:val="uk-UA"/>
        </w:rPr>
        <w:t xml:space="preserve"> В дослідженні C</w:t>
      </w:r>
      <w:r w:rsidR="00FC6D8A">
        <w:rPr>
          <w:rFonts w:ascii="Times New Roman" w:hAnsi="Times New Roman" w:cs="Times New Roman"/>
          <w:lang w:val="uk-UA"/>
        </w:rPr>
        <w:t>–</w:t>
      </w:r>
      <w:r w:rsidRPr="00BA5C0A">
        <w:rPr>
          <w:rFonts w:ascii="Times New Roman" w:hAnsi="Times New Roman" w:cs="Times New Roman"/>
          <w:lang w:val="uk-UA"/>
        </w:rPr>
        <w:t>EDGE CO</w:t>
      </w:r>
      <w:r w:rsidR="00FC6D8A">
        <w:rPr>
          <w:rFonts w:ascii="Times New Roman" w:hAnsi="Times New Roman" w:cs="Times New Roman"/>
          <w:lang w:val="uk-UA"/>
        </w:rPr>
        <w:t>–</w:t>
      </w:r>
      <w:r w:rsidRPr="00BA5C0A">
        <w:rPr>
          <w:rFonts w:ascii="Times New Roman" w:hAnsi="Times New Roman" w:cs="Times New Roman"/>
          <w:lang w:val="uk-UA"/>
        </w:rPr>
        <w:t>STAR пацієнти, які отримували ЗПТ, інфіковані  генотип</w:t>
      </w:r>
      <w:r w:rsidR="009125A8">
        <w:rPr>
          <w:rFonts w:ascii="Times New Roman" w:hAnsi="Times New Roman" w:cs="Times New Roman"/>
          <w:lang w:val="uk-UA"/>
        </w:rPr>
        <w:t>ом</w:t>
      </w:r>
      <w:r w:rsidRPr="00BA5C0A">
        <w:rPr>
          <w:rFonts w:ascii="Times New Roman" w:hAnsi="Times New Roman" w:cs="Times New Roman"/>
          <w:lang w:val="uk-UA"/>
        </w:rPr>
        <w:t xml:space="preserve"> 1 або 4, були розділені на групи та їм було призначено лікування гразопревіром та ельбасвіром (або лікування було відстрочено). Люди з не</w:t>
      </w:r>
      <w:r w:rsidR="00E1361A">
        <w:rPr>
          <w:rFonts w:ascii="Times New Roman" w:hAnsi="Times New Roman" w:cs="Times New Roman"/>
          <w:lang w:val="uk-UA"/>
        </w:rPr>
        <w:t>що</w:t>
      </w:r>
      <w:r w:rsidRPr="00BA5C0A">
        <w:rPr>
          <w:rFonts w:ascii="Times New Roman" w:hAnsi="Times New Roman" w:cs="Times New Roman"/>
          <w:lang w:val="uk-UA"/>
        </w:rPr>
        <w:t xml:space="preserve">давнім вживанням </w:t>
      </w:r>
      <w:r w:rsidR="00E1361A">
        <w:rPr>
          <w:rFonts w:ascii="Times New Roman" w:hAnsi="Times New Roman" w:cs="Times New Roman"/>
          <w:lang w:val="uk-UA"/>
        </w:rPr>
        <w:t>ПАР також були включені у лікування</w:t>
      </w:r>
      <w:r w:rsidRPr="00BA5C0A">
        <w:rPr>
          <w:rFonts w:ascii="Times New Roman" w:hAnsi="Times New Roman" w:cs="Times New Roman"/>
          <w:lang w:val="uk-UA"/>
        </w:rPr>
        <w:t xml:space="preserve">. СВВ12 було досягнуто у 92% (184/201, 7 рецидивів, 5 реінфекцій) пацієнтів, які </w:t>
      </w:r>
      <w:r w:rsidRPr="00BA5C0A">
        <w:rPr>
          <w:rFonts w:ascii="Times New Roman" w:hAnsi="Times New Roman" w:cs="Times New Roman"/>
          <w:lang w:val="uk-UA"/>
        </w:rPr>
        <w:lastRenderedPageBreak/>
        <w:t>отримували лікування у порівнянні з 90% (85/95; один вірусологічний прорив, один рецидив, відсутність реінфекції) пацієнтів у групі лікування</w:t>
      </w:r>
      <w:r w:rsidR="00E1361A">
        <w:rPr>
          <w:rFonts w:ascii="Times New Roman" w:hAnsi="Times New Roman" w:cs="Times New Roman"/>
          <w:lang w:val="uk-UA"/>
        </w:rPr>
        <w:t>, яке було відтерміноване</w:t>
      </w:r>
      <w:r w:rsidRPr="00BA5C0A">
        <w:rPr>
          <w:rFonts w:ascii="Times New Roman" w:hAnsi="Times New Roman" w:cs="Times New Roman"/>
          <w:lang w:val="uk-UA"/>
        </w:rPr>
        <w:t>.</w:t>
      </w:r>
      <w:r w:rsidRPr="00BA5C0A">
        <w:rPr>
          <w:rFonts w:ascii="Times New Roman" w:hAnsi="Times New Roman" w:cs="Times New Roman"/>
          <w:vertAlign w:val="superscript"/>
          <w:lang w:val="uk-UA"/>
        </w:rPr>
        <w:t>109</w:t>
      </w:r>
      <w:r w:rsidRPr="00BA5C0A">
        <w:rPr>
          <w:rFonts w:ascii="Times New Roman" w:hAnsi="Times New Roman" w:cs="Times New Roman"/>
          <w:lang w:val="uk-UA"/>
        </w:rPr>
        <w:t xml:space="preserve"> Загальний показник СВВ12 </w:t>
      </w:r>
      <w:r w:rsidR="00E1361A">
        <w:rPr>
          <w:rFonts w:ascii="Times New Roman" w:hAnsi="Times New Roman" w:cs="Times New Roman"/>
          <w:lang w:val="uk-UA"/>
        </w:rPr>
        <w:t xml:space="preserve">в осіб, які </w:t>
      </w:r>
      <w:r w:rsidR="00E1361A" w:rsidRPr="00BA5C0A">
        <w:rPr>
          <w:rFonts w:ascii="Times New Roman" w:hAnsi="Times New Roman" w:cs="Times New Roman"/>
          <w:lang w:val="uk-UA"/>
        </w:rPr>
        <w:t>недавн</w:t>
      </w:r>
      <w:r w:rsidR="00E1361A">
        <w:rPr>
          <w:rFonts w:ascii="Times New Roman" w:hAnsi="Times New Roman" w:cs="Times New Roman"/>
          <w:lang w:val="uk-UA"/>
        </w:rPr>
        <w:t>о</w:t>
      </w:r>
      <w:r w:rsidR="00E1361A" w:rsidRPr="00BA5C0A">
        <w:rPr>
          <w:rFonts w:ascii="Times New Roman" w:hAnsi="Times New Roman" w:cs="Times New Roman"/>
          <w:lang w:val="uk-UA"/>
        </w:rPr>
        <w:t xml:space="preserve"> вжива</w:t>
      </w:r>
      <w:r w:rsidR="00E1361A">
        <w:rPr>
          <w:rFonts w:ascii="Times New Roman" w:hAnsi="Times New Roman" w:cs="Times New Roman"/>
          <w:lang w:val="uk-UA"/>
        </w:rPr>
        <w:t>ли наркотики,</w:t>
      </w:r>
      <w:r w:rsidR="00E1361A" w:rsidRPr="00BA5C0A">
        <w:rPr>
          <w:rFonts w:ascii="Times New Roman" w:hAnsi="Times New Roman" w:cs="Times New Roman"/>
          <w:vertAlign w:val="superscript"/>
          <w:lang w:val="uk-UA"/>
        </w:rPr>
        <w:t>83,84</w:t>
      </w:r>
      <w:r w:rsidR="00E1361A" w:rsidRPr="00BA5C0A">
        <w:rPr>
          <w:rFonts w:ascii="Times New Roman" w:hAnsi="Times New Roman" w:cs="Times New Roman"/>
          <w:lang w:val="uk-UA"/>
        </w:rPr>
        <w:t xml:space="preserve"> </w:t>
      </w:r>
      <w:r w:rsidR="00E1361A">
        <w:rPr>
          <w:rFonts w:ascii="Times New Roman" w:hAnsi="Times New Roman" w:cs="Times New Roman"/>
          <w:lang w:val="uk-UA"/>
        </w:rPr>
        <w:t xml:space="preserve">і отримували гразопревір та ельбасвір, </w:t>
      </w:r>
      <w:r w:rsidRPr="00BA5C0A">
        <w:rPr>
          <w:rFonts w:ascii="Times New Roman" w:hAnsi="Times New Roman" w:cs="Times New Roman"/>
          <w:lang w:val="uk-UA"/>
        </w:rPr>
        <w:t xml:space="preserve">становив 91% (269/296) з подібною ефективністю та дотриманням режиму лікування, як </w:t>
      </w:r>
      <w:r w:rsidR="00E1361A">
        <w:rPr>
          <w:rFonts w:ascii="Times New Roman" w:hAnsi="Times New Roman" w:cs="Times New Roman"/>
          <w:lang w:val="uk-UA"/>
        </w:rPr>
        <w:t xml:space="preserve">і в інших дослідженнях III фази. </w:t>
      </w:r>
      <w:r w:rsidRPr="00BA5C0A">
        <w:rPr>
          <w:rFonts w:ascii="Times New Roman" w:hAnsi="Times New Roman" w:cs="Times New Roman"/>
          <w:lang w:val="uk-UA"/>
        </w:rPr>
        <w:t>Важливо відзначити, що вживання наркотиків на початку лікування (всі препарати: 62%, не канабіноїди: 47%) та під час лікування (всі лікарські засоби: 60%; не канабіноїди: 47%) не вплинули на СВВ або прихильність до лікування.</w:t>
      </w:r>
      <w:r w:rsidRPr="00BA5C0A">
        <w:rPr>
          <w:rFonts w:ascii="Times New Roman" w:hAnsi="Times New Roman" w:cs="Times New Roman"/>
          <w:vertAlign w:val="superscript"/>
          <w:lang w:val="uk-UA"/>
        </w:rPr>
        <w:t>109</w:t>
      </w:r>
    </w:p>
    <w:p w14:paraId="723C1CF6" w14:textId="77777777" w:rsidR="00BA5C0A" w:rsidRPr="00BA5C0A" w:rsidRDefault="00BA5C0A" w:rsidP="00BA5C0A">
      <w:pPr>
        <w:jc w:val="both"/>
        <w:rPr>
          <w:rFonts w:ascii="Times New Roman" w:hAnsi="Times New Roman" w:cs="Times New Roman"/>
          <w:lang w:val="uk-UA"/>
        </w:rPr>
      </w:pPr>
    </w:p>
    <w:p w14:paraId="0730047A" w14:textId="01DFA5B4" w:rsidR="00BA5C0A" w:rsidRPr="00BA5C0A" w:rsidRDefault="00BA5C0A" w:rsidP="00BA5C0A">
      <w:pPr>
        <w:jc w:val="both"/>
        <w:rPr>
          <w:rFonts w:ascii="Times New Roman" w:hAnsi="Times New Roman" w:cs="Times New Roman"/>
          <w:vertAlign w:val="superscript"/>
          <w:lang w:val="uk-UA"/>
        </w:rPr>
      </w:pPr>
      <w:r w:rsidRPr="00BA5C0A">
        <w:rPr>
          <w:rFonts w:ascii="Times New Roman" w:hAnsi="Times New Roman" w:cs="Times New Roman"/>
          <w:lang w:val="uk-UA"/>
        </w:rPr>
        <w:t>У дослідженні D3FEAT пацієнти, інфіковані генотип</w:t>
      </w:r>
      <w:r w:rsidR="00292CD6">
        <w:rPr>
          <w:rFonts w:ascii="Times New Roman" w:hAnsi="Times New Roman" w:cs="Times New Roman"/>
          <w:lang w:val="uk-UA"/>
        </w:rPr>
        <w:t>ом</w:t>
      </w:r>
      <w:r w:rsidRPr="00BA5C0A">
        <w:rPr>
          <w:rFonts w:ascii="Times New Roman" w:hAnsi="Times New Roman" w:cs="Times New Roman"/>
          <w:lang w:val="uk-UA"/>
        </w:rPr>
        <w:t xml:space="preserve"> 1, які отримували ЗПТ та/або </w:t>
      </w:r>
      <w:r w:rsidR="00E1361A">
        <w:rPr>
          <w:rFonts w:ascii="Times New Roman" w:hAnsi="Times New Roman" w:cs="Times New Roman"/>
          <w:lang w:val="uk-UA"/>
        </w:rPr>
        <w:t xml:space="preserve">які </w:t>
      </w:r>
      <w:r w:rsidRPr="00BA5C0A">
        <w:rPr>
          <w:rFonts w:ascii="Times New Roman" w:hAnsi="Times New Roman" w:cs="Times New Roman"/>
          <w:lang w:val="uk-UA"/>
        </w:rPr>
        <w:t>нещодавно вжива</w:t>
      </w:r>
      <w:r w:rsidR="00E1361A">
        <w:rPr>
          <w:rFonts w:ascii="Times New Roman" w:hAnsi="Times New Roman" w:cs="Times New Roman"/>
          <w:lang w:val="uk-UA"/>
        </w:rPr>
        <w:t>ли</w:t>
      </w:r>
      <w:r w:rsidRPr="00BA5C0A">
        <w:rPr>
          <w:rFonts w:ascii="Times New Roman" w:hAnsi="Times New Roman" w:cs="Times New Roman"/>
          <w:lang w:val="uk-UA"/>
        </w:rPr>
        <w:t xml:space="preserve"> ін'єкційн</w:t>
      </w:r>
      <w:r w:rsidR="00E1361A">
        <w:rPr>
          <w:rFonts w:ascii="Times New Roman" w:hAnsi="Times New Roman" w:cs="Times New Roman"/>
          <w:lang w:val="uk-UA"/>
        </w:rPr>
        <w:t>і</w:t>
      </w:r>
      <w:r w:rsidRPr="00BA5C0A">
        <w:rPr>
          <w:rFonts w:ascii="Times New Roman" w:hAnsi="Times New Roman" w:cs="Times New Roman"/>
          <w:lang w:val="uk-UA"/>
        </w:rPr>
        <w:t xml:space="preserve"> наркотик</w:t>
      </w:r>
      <w:r w:rsidR="00E1361A">
        <w:rPr>
          <w:rFonts w:ascii="Times New Roman" w:hAnsi="Times New Roman" w:cs="Times New Roman"/>
          <w:lang w:val="uk-UA"/>
        </w:rPr>
        <w:t>и</w:t>
      </w:r>
      <w:r w:rsidRPr="00BA5C0A">
        <w:rPr>
          <w:rFonts w:ascii="Times New Roman" w:hAnsi="Times New Roman" w:cs="Times New Roman"/>
          <w:lang w:val="uk-UA"/>
        </w:rPr>
        <w:t xml:space="preserve"> (</w:t>
      </w:r>
      <w:r w:rsidR="00E1361A">
        <w:rPr>
          <w:rFonts w:ascii="Times New Roman" w:hAnsi="Times New Roman" w:cs="Times New Roman"/>
          <w:lang w:val="uk-UA"/>
        </w:rPr>
        <w:t xml:space="preserve">протягом останніх 6 </w:t>
      </w:r>
      <w:r w:rsidRPr="00BA5C0A">
        <w:rPr>
          <w:rFonts w:ascii="Times New Roman" w:hAnsi="Times New Roman" w:cs="Times New Roman"/>
          <w:lang w:val="uk-UA"/>
        </w:rPr>
        <w:t xml:space="preserve">місяців), отримували </w:t>
      </w:r>
      <w:r w:rsidR="006326A5" w:rsidRPr="006326A5">
        <w:rPr>
          <w:rFonts w:ascii="Times New Roman" w:hAnsi="Times New Roman" w:cs="Times New Roman"/>
          <w:lang w:val="uk-UA"/>
        </w:rPr>
        <w:t xml:space="preserve">комбінацію омбітасвіру, паритапревіру, ритонавіру та дасабувіру </w:t>
      </w:r>
      <w:r w:rsidRPr="00BA5C0A">
        <w:rPr>
          <w:rFonts w:ascii="Times New Roman" w:hAnsi="Times New Roman" w:cs="Times New Roman"/>
          <w:lang w:val="uk-UA"/>
        </w:rPr>
        <w:t xml:space="preserve">з або без рибавірину протягом 12 тижнів. Серед 87 учасників (80% на ЗПТ, 58% з нещодавнім вживанням наркотиків ін'єкційним шляхом), 94% (82/87) закінчили 12 тижнів терапії та 91% (79/87) досягли СВВ, без вірусологічних невдач. На СВВ не впливало </w:t>
      </w:r>
      <w:r w:rsidRPr="008D650D">
        <w:rPr>
          <w:rFonts w:ascii="Times New Roman" w:hAnsi="Times New Roman" w:cs="Times New Roman"/>
          <w:lang w:val="uk-UA"/>
        </w:rPr>
        <w:t>вживання ін'єкційних наркотиків</w:t>
      </w:r>
      <w:r w:rsidRPr="00BA5C0A">
        <w:rPr>
          <w:rFonts w:ascii="Times New Roman" w:hAnsi="Times New Roman" w:cs="Times New Roman"/>
          <w:lang w:val="uk-UA"/>
        </w:rPr>
        <w:t xml:space="preserve"> до або під час терапії.</w:t>
      </w:r>
      <w:r w:rsidRPr="00BA5C0A">
        <w:rPr>
          <w:rFonts w:ascii="Times New Roman" w:hAnsi="Times New Roman" w:cs="Times New Roman"/>
          <w:vertAlign w:val="superscript"/>
          <w:lang w:val="uk-UA"/>
        </w:rPr>
        <w:t>233</w:t>
      </w:r>
    </w:p>
    <w:p w14:paraId="58288094" w14:textId="77777777" w:rsidR="00BA5C0A" w:rsidRPr="00BA5C0A" w:rsidRDefault="00BA5C0A" w:rsidP="00BA5C0A">
      <w:pPr>
        <w:jc w:val="both"/>
        <w:rPr>
          <w:rFonts w:ascii="Times New Roman" w:hAnsi="Times New Roman" w:cs="Times New Roman"/>
          <w:lang w:val="uk-UA"/>
        </w:rPr>
      </w:pPr>
    </w:p>
    <w:p w14:paraId="24D999D0" w14:textId="62E2EC44"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Інші дослідження оцінювали результати терапії у пацієнтів з не</w:t>
      </w:r>
      <w:r w:rsidR="00E1361A">
        <w:rPr>
          <w:rFonts w:ascii="Times New Roman" w:hAnsi="Times New Roman" w:cs="Times New Roman"/>
          <w:lang w:val="uk-UA"/>
        </w:rPr>
        <w:t>що</w:t>
      </w:r>
      <w:r w:rsidRPr="00BA5C0A">
        <w:rPr>
          <w:rFonts w:ascii="Times New Roman" w:hAnsi="Times New Roman" w:cs="Times New Roman"/>
          <w:lang w:val="uk-UA"/>
        </w:rPr>
        <w:t>давнім вживанням ін'єкційних наркотиків. В одне дослідження було включено 174 учасни</w:t>
      </w:r>
      <w:r w:rsidR="00E1361A">
        <w:rPr>
          <w:rFonts w:ascii="Times New Roman" w:hAnsi="Times New Roman" w:cs="Times New Roman"/>
          <w:lang w:val="uk-UA"/>
        </w:rPr>
        <w:t>к</w:t>
      </w:r>
      <w:r w:rsidR="00FB5913">
        <w:rPr>
          <w:rFonts w:ascii="Times New Roman" w:hAnsi="Times New Roman" w:cs="Times New Roman"/>
          <w:lang w:val="uk-UA"/>
        </w:rPr>
        <w:t>ів</w:t>
      </w:r>
      <w:r w:rsidRPr="00BA5C0A">
        <w:rPr>
          <w:rFonts w:ascii="Times New Roman" w:hAnsi="Times New Roman" w:cs="Times New Roman"/>
          <w:lang w:val="uk-UA"/>
        </w:rPr>
        <w:t xml:space="preserve">, які вживали наркотики в минулому році, у тому числі 63% з компенсованим цирозом печінки, 37% </w:t>
      </w:r>
      <w:r w:rsidR="00FC6D8A">
        <w:rPr>
          <w:rFonts w:ascii="Times New Roman" w:hAnsi="Times New Roman" w:cs="Times New Roman"/>
          <w:lang w:val="uk-UA"/>
        </w:rPr>
        <w:t>–</w:t>
      </w:r>
      <w:r w:rsidRPr="00BA5C0A">
        <w:rPr>
          <w:rFonts w:ascii="Times New Roman" w:hAnsi="Times New Roman" w:cs="Times New Roman"/>
          <w:lang w:val="uk-UA"/>
        </w:rPr>
        <w:t xml:space="preserve"> </w:t>
      </w:r>
      <w:r w:rsidR="00632C89">
        <w:rPr>
          <w:rFonts w:ascii="Times New Roman" w:hAnsi="Times New Roman" w:cs="Times New Roman"/>
          <w:color w:val="000000" w:themeColor="text1"/>
          <w:lang w:val="uk-UA"/>
        </w:rPr>
        <w:t>з досвідом лікування</w:t>
      </w:r>
      <w:r w:rsidR="00632C89" w:rsidRPr="00F326C6">
        <w:rPr>
          <w:rFonts w:ascii="Times New Roman" w:hAnsi="Times New Roman" w:cs="Times New Roman"/>
          <w:color w:val="000000" w:themeColor="text1"/>
          <w:lang w:val="uk-UA"/>
        </w:rPr>
        <w:t xml:space="preserve"> </w:t>
      </w:r>
      <w:r w:rsidRPr="00BA5C0A">
        <w:rPr>
          <w:rFonts w:ascii="Times New Roman" w:hAnsi="Times New Roman" w:cs="Times New Roman"/>
          <w:lang w:val="uk-UA"/>
        </w:rPr>
        <w:t xml:space="preserve">та 58% </w:t>
      </w:r>
      <w:r w:rsidR="00FC6D8A">
        <w:rPr>
          <w:rFonts w:ascii="Times New Roman" w:hAnsi="Times New Roman" w:cs="Times New Roman"/>
          <w:lang w:val="uk-UA"/>
        </w:rPr>
        <w:t>–</w:t>
      </w:r>
      <w:r w:rsidRPr="00BA5C0A">
        <w:rPr>
          <w:rFonts w:ascii="Times New Roman" w:hAnsi="Times New Roman" w:cs="Times New Roman"/>
          <w:lang w:val="uk-UA"/>
        </w:rPr>
        <w:t xml:space="preserve"> інфіковані генотипом 1. 95% з них завершили терапію та 93% (162/174) досягли СВВ. Було 3 вірусологічних прорив</w:t>
      </w:r>
      <w:r w:rsidR="00292CD6">
        <w:rPr>
          <w:rFonts w:ascii="Times New Roman" w:hAnsi="Times New Roman" w:cs="Times New Roman"/>
          <w:lang w:val="uk-UA"/>
        </w:rPr>
        <w:t>и</w:t>
      </w:r>
      <w:r w:rsidRPr="00BA5C0A">
        <w:rPr>
          <w:rFonts w:ascii="Times New Roman" w:hAnsi="Times New Roman" w:cs="Times New Roman"/>
          <w:lang w:val="uk-UA"/>
        </w:rPr>
        <w:t xml:space="preserve"> та 1 рецидив.</w:t>
      </w:r>
    </w:p>
    <w:p w14:paraId="4AEE978E" w14:textId="77777777" w:rsidR="00BA5C0A" w:rsidRPr="00BA5C0A" w:rsidRDefault="00BA5C0A" w:rsidP="00BA5C0A">
      <w:pPr>
        <w:jc w:val="both"/>
        <w:rPr>
          <w:rFonts w:ascii="Times New Roman" w:hAnsi="Times New Roman" w:cs="Times New Roman"/>
          <w:lang w:val="uk-UA"/>
        </w:rPr>
      </w:pPr>
    </w:p>
    <w:p w14:paraId="3E38F801" w14:textId="062202C3"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Дослідження SIMPLIFY включало лише пацієнтів з нещодавнім (останні 6 місяців) споживанням ін'єкційних наркотиків, які отримували або не отримували ЗПТ. Їх лікували комбінацією з фіксованою дозою софосбувіру і велпатасвіру протягом 12 тижнів. Прихильність </w:t>
      </w:r>
      <w:r w:rsidR="00E1361A">
        <w:rPr>
          <w:rFonts w:ascii="Times New Roman" w:hAnsi="Times New Roman" w:cs="Times New Roman"/>
          <w:lang w:val="uk-UA"/>
        </w:rPr>
        <w:t xml:space="preserve">до лікування </w:t>
      </w:r>
      <w:r w:rsidRPr="00BA5C0A">
        <w:rPr>
          <w:rFonts w:ascii="Times New Roman" w:hAnsi="Times New Roman" w:cs="Times New Roman"/>
          <w:lang w:val="uk-UA"/>
        </w:rPr>
        <w:t xml:space="preserve">склала 94%, а СВВ12 було досягнуто у 94% (97/103) випадків. Не було вірусологічних проривів, але був один випадок реінфекції. 74 пацієнтів повідомили про вживання наркотиків протягом місяця, що передував початку терапії. СВВ12 у цій підгрупі становила 96% і </w:t>
      </w:r>
      <w:r w:rsidR="00292CD6">
        <w:rPr>
          <w:rFonts w:ascii="Times New Roman" w:hAnsi="Times New Roman" w:cs="Times New Roman"/>
          <w:lang w:val="uk-UA"/>
        </w:rPr>
        <w:t xml:space="preserve">результати </w:t>
      </w:r>
      <w:r w:rsidRPr="00BA5C0A">
        <w:rPr>
          <w:rFonts w:ascii="Times New Roman" w:hAnsi="Times New Roman" w:cs="Times New Roman"/>
          <w:lang w:val="uk-UA"/>
        </w:rPr>
        <w:t>не відрізня</w:t>
      </w:r>
      <w:r w:rsidR="00292CD6">
        <w:rPr>
          <w:rFonts w:ascii="Times New Roman" w:hAnsi="Times New Roman" w:cs="Times New Roman"/>
          <w:lang w:val="uk-UA"/>
        </w:rPr>
        <w:t>лись</w:t>
      </w:r>
      <w:r w:rsidRPr="00BA5C0A">
        <w:rPr>
          <w:rFonts w:ascii="Times New Roman" w:hAnsi="Times New Roman" w:cs="Times New Roman"/>
          <w:lang w:val="uk-UA"/>
        </w:rPr>
        <w:t xml:space="preserve"> від пацієнтів, які не повідомили про вживання наркотиків за попередній місяць (94%). Проте впродовж періоду дослідження було 4 випадки смерті вн</w:t>
      </w:r>
      <w:r w:rsidR="00E1361A">
        <w:rPr>
          <w:rFonts w:ascii="Times New Roman" w:hAnsi="Times New Roman" w:cs="Times New Roman"/>
          <w:lang w:val="uk-UA"/>
        </w:rPr>
        <w:t>аслідок передозування наркотиками</w:t>
      </w:r>
      <w:r w:rsidRPr="00BA5C0A">
        <w:rPr>
          <w:rFonts w:ascii="Times New Roman" w:hAnsi="Times New Roman" w:cs="Times New Roman"/>
          <w:lang w:val="uk-UA"/>
        </w:rPr>
        <w:t xml:space="preserve"> (5,0 на 100 людино</w:t>
      </w:r>
      <w:r w:rsidR="00FC6D8A">
        <w:rPr>
          <w:rFonts w:ascii="Times New Roman" w:hAnsi="Times New Roman" w:cs="Times New Roman"/>
          <w:lang w:val="uk-UA"/>
        </w:rPr>
        <w:t>–</w:t>
      </w:r>
      <w:r w:rsidRPr="00BA5C0A">
        <w:rPr>
          <w:rFonts w:ascii="Times New Roman" w:hAnsi="Times New Roman" w:cs="Times New Roman"/>
          <w:lang w:val="uk-UA"/>
        </w:rPr>
        <w:t>років), що підкреслює ризик супутньої смертності від наркотиків у цій популяції.</w:t>
      </w:r>
      <w:r w:rsidRPr="00BA5C0A">
        <w:rPr>
          <w:rFonts w:ascii="Times New Roman" w:hAnsi="Times New Roman" w:cs="Times New Roman"/>
          <w:vertAlign w:val="superscript"/>
          <w:lang w:val="uk-UA"/>
        </w:rPr>
        <w:t xml:space="preserve">235 </w:t>
      </w:r>
      <w:r w:rsidRPr="00BA5C0A">
        <w:rPr>
          <w:rFonts w:ascii="Times New Roman" w:hAnsi="Times New Roman" w:cs="Times New Roman"/>
          <w:lang w:val="uk-UA"/>
        </w:rPr>
        <w:t>Тому критично важливо, щоб лікування ВГС</w:t>
      </w:r>
      <w:r w:rsidR="00FC6D8A">
        <w:rPr>
          <w:rFonts w:ascii="Times New Roman" w:hAnsi="Times New Roman" w:cs="Times New Roman"/>
          <w:lang w:val="uk-UA"/>
        </w:rPr>
        <w:t>–</w:t>
      </w:r>
      <w:r w:rsidRPr="00BA5C0A">
        <w:rPr>
          <w:rFonts w:ascii="Times New Roman" w:hAnsi="Times New Roman" w:cs="Times New Roman"/>
          <w:lang w:val="uk-UA"/>
        </w:rPr>
        <w:t>інфекції було інтегровано в систему заходів, направлених на зменшення шкоди, пов'язаної з наркотиками, запобігання смертності від передозування, вирішення питань соціальної нерівності та покращення здоров'я споживачів наркотиків.</w:t>
      </w:r>
    </w:p>
    <w:p w14:paraId="2A8F1AE7" w14:textId="77777777" w:rsidR="00BA5C0A" w:rsidRPr="00BA5C0A" w:rsidRDefault="00BA5C0A" w:rsidP="00BA5C0A">
      <w:pPr>
        <w:jc w:val="both"/>
        <w:rPr>
          <w:rFonts w:ascii="Times New Roman" w:hAnsi="Times New Roman" w:cs="Times New Roman"/>
          <w:lang w:val="uk-UA"/>
        </w:rPr>
      </w:pPr>
    </w:p>
    <w:p w14:paraId="4F07CFE8" w14:textId="57F05C16" w:rsidR="00BA5C0A" w:rsidRPr="00BA5C0A" w:rsidRDefault="00292CD6" w:rsidP="00BA5C0A">
      <w:pPr>
        <w:jc w:val="both"/>
        <w:rPr>
          <w:rFonts w:ascii="Times New Roman" w:hAnsi="Times New Roman" w:cs="Times New Roman"/>
        </w:rPr>
      </w:pPr>
      <w:r>
        <w:rPr>
          <w:rFonts w:ascii="Times New Roman" w:hAnsi="Times New Roman" w:cs="Times New Roman"/>
          <w:lang w:val="uk-UA"/>
        </w:rPr>
        <w:t>Д</w:t>
      </w:r>
      <w:r w:rsidR="00BA5C0A" w:rsidRPr="00BA5C0A">
        <w:rPr>
          <w:rFonts w:ascii="Times New Roman" w:hAnsi="Times New Roman" w:cs="Times New Roman"/>
          <w:lang w:val="uk-UA"/>
        </w:rPr>
        <w:t xml:space="preserve">ослідження підтвердили високі показники завершення лікування (93% </w:t>
      </w:r>
      <w:r w:rsidR="00FC6D8A">
        <w:rPr>
          <w:rFonts w:ascii="Times New Roman" w:hAnsi="Times New Roman" w:cs="Times New Roman"/>
          <w:lang w:val="uk-UA"/>
        </w:rPr>
        <w:t>–</w:t>
      </w:r>
      <w:r w:rsidR="00BA5C0A" w:rsidRPr="00BA5C0A">
        <w:rPr>
          <w:rFonts w:ascii="Times New Roman" w:hAnsi="Times New Roman" w:cs="Times New Roman"/>
          <w:lang w:val="uk-UA"/>
        </w:rPr>
        <w:t xml:space="preserve">100%), а також високі показники </w:t>
      </w:r>
      <w:r>
        <w:rPr>
          <w:rFonts w:ascii="Times New Roman" w:hAnsi="Times New Roman" w:cs="Times New Roman"/>
          <w:lang w:val="uk-UA"/>
        </w:rPr>
        <w:t xml:space="preserve">досягнення </w:t>
      </w:r>
      <w:r w:rsidR="00BA5C0A" w:rsidRPr="00BA5C0A">
        <w:rPr>
          <w:rFonts w:ascii="Times New Roman" w:hAnsi="Times New Roman" w:cs="Times New Roman"/>
          <w:lang w:val="uk-UA"/>
        </w:rPr>
        <w:t>СВВ (80</w:t>
      </w:r>
      <w:r w:rsidR="00FC6D8A">
        <w:rPr>
          <w:rFonts w:ascii="Times New Roman" w:hAnsi="Times New Roman" w:cs="Times New Roman"/>
          <w:lang w:val="uk-UA"/>
        </w:rPr>
        <w:t>–</w:t>
      </w:r>
      <w:r w:rsidR="00BA5C0A" w:rsidRPr="00BA5C0A">
        <w:rPr>
          <w:rFonts w:ascii="Times New Roman" w:hAnsi="Times New Roman" w:cs="Times New Roman"/>
          <w:lang w:val="uk-UA"/>
        </w:rPr>
        <w:t>96%) у пацієнтів, які отримували ЗПТ.</w:t>
      </w:r>
      <w:r w:rsidR="00BA5C0A" w:rsidRPr="00BA5C0A">
        <w:rPr>
          <w:rFonts w:ascii="Times New Roman" w:hAnsi="Times New Roman" w:cs="Times New Roman"/>
          <w:vertAlign w:val="superscript"/>
          <w:lang w:val="uk-UA"/>
        </w:rPr>
        <w:t>236</w:t>
      </w:r>
      <w:r w:rsidR="00FC6D8A">
        <w:rPr>
          <w:rFonts w:ascii="Times New Roman" w:hAnsi="Times New Roman" w:cs="Times New Roman"/>
          <w:vertAlign w:val="superscript"/>
          <w:lang w:val="uk-UA"/>
        </w:rPr>
        <w:t>–</w:t>
      </w:r>
      <w:r w:rsidR="00BA5C0A" w:rsidRPr="00BA5C0A">
        <w:rPr>
          <w:rFonts w:ascii="Times New Roman" w:hAnsi="Times New Roman" w:cs="Times New Roman"/>
          <w:vertAlign w:val="superscript"/>
          <w:lang w:val="uk-UA"/>
        </w:rPr>
        <w:t>243.</w:t>
      </w:r>
      <w:r w:rsidR="00BA5C0A" w:rsidRPr="00BA5C0A">
        <w:rPr>
          <w:rFonts w:ascii="Times New Roman" w:hAnsi="Times New Roman" w:cs="Times New Roman"/>
          <w:lang w:val="uk-UA"/>
        </w:rPr>
        <w:t xml:space="preserve"> У німецькому дослідженн</w:t>
      </w:r>
      <w:r>
        <w:rPr>
          <w:rFonts w:ascii="Times New Roman" w:hAnsi="Times New Roman" w:cs="Times New Roman"/>
          <w:lang w:val="uk-UA"/>
        </w:rPr>
        <w:t>і рівень досягнення</w:t>
      </w:r>
      <w:r w:rsidR="00BA5C0A" w:rsidRPr="00BA5C0A">
        <w:rPr>
          <w:rFonts w:ascii="Times New Roman" w:hAnsi="Times New Roman" w:cs="Times New Roman"/>
          <w:lang w:val="uk-UA"/>
        </w:rPr>
        <w:t xml:space="preserve"> СВВ був нижчим у </w:t>
      </w:r>
      <w:r>
        <w:rPr>
          <w:rFonts w:ascii="Times New Roman" w:hAnsi="Times New Roman" w:cs="Times New Roman"/>
          <w:lang w:val="uk-UA"/>
        </w:rPr>
        <w:t>осіб</w:t>
      </w:r>
      <w:r w:rsidR="00BA5C0A" w:rsidRPr="00BA5C0A">
        <w:rPr>
          <w:rFonts w:ascii="Times New Roman" w:hAnsi="Times New Roman" w:cs="Times New Roman"/>
          <w:lang w:val="uk-UA"/>
        </w:rPr>
        <w:t xml:space="preserve"> на ЗПТ, ніж у тих, хто не отримував ЗПТ (85% та 91% відповідно), внаслідок більшої кількості </w:t>
      </w:r>
      <w:r w:rsidR="00972FAE">
        <w:rPr>
          <w:rFonts w:ascii="Times New Roman" w:hAnsi="Times New Roman" w:cs="Times New Roman"/>
          <w:lang w:val="uk-UA"/>
        </w:rPr>
        <w:t>пацієнтів, яких було втрачено для</w:t>
      </w:r>
      <w:r w:rsidR="00BA5C0A" w:rsidRPr="00BA5C0A">
        <w:rPr>
          <w:rFonts w:ascii="Times New Roman" w:hAnsi="Times New Roman" w:cs="Times New Roman"/>
          <w:lang w:val="uk-UA"/>
        </w:rPr>
        <w:t xml:space="preserve"> спостереження у попередній групі. Таким чином, </w:t>
      </w:r>
      <w:r>
        <w:rPr>
          <w:rFonts w:ascii="Times New Roman" w:hAnsi="Times New Roman" w:cs="Times New Roman"/>
          <w:lang w:val="uk-UA"/>
        </w:rPr>
        <w:t xml:space="preserve"> рівень </w:t>
      </w:r>
      <w:r w:rsidR="00BA5C0A" w:rsidRPr="00BA5C0A">
        <w:rPr>
          <w:rFonts w:ascii="Times New Roman" w:hAnsi="Times New Roman" w:cs="Times New Roman"/>
          <w:lang w:val="uk-UA"/>
        </w:rPr>
        <w:t>СВВ бу</w:t>
      </w:r>
      <w:r>
        <w:rPr>
          <w:rFonts w:ascii="Times New Roman" w:hAnsi="Times New Roman" w:cs="Times New Roman"/>
          <w:lang w:val="uk-UA"/>
        </w:rPr>
        <w:t xml:space="preserve">в </w:t>
      </w:r>
      <w:r w:rsidR="00BA5C0A" w:rsidRPr="00BA5C0A">
        <w:rPr>
          <w:rFonts w:ascii="Times New Roman" w:hAnsi="Times New Roman" w:cs="Times New Roman"/>
          <w:lang w:val="uk-UA"/>
        </w:rPr>
        <w:t xml:space="preserve">подібним у обох групах (96% та 95%, відповідно) </w:t>
      </w:r>
      <w:r w:rsidR="00BA5C0A" w:rsidRPr="00BA5C0A">
        <w:rPr>
          <w:rFonts w:ascii="Times New Roman" w:hAnsi="Times New Roman" w:cs="Times New Roman"/>
          <w:vertAlign w:val="superscript"/>
          <w:lang w:val="uk-UA"/>
        </w:rPr>
        <w:t>.244</w:t>
      </w:r>
    </w:p>
    <w:p w14:paraId="79BFD5C3" w14:textId="77777777" w:rsidR="00BA5C0A" w:rsidRPr="00BA5C0A" w:rsidRDefault="00BA5C0A" w:rsidP="00BA5C0A">
      <w:pPr>
        <w:jc w:val="both"/>
        <w:rPr>
          <w:rFonts w:ascii="Times New Roman" w:hAnsi="Times New Roman" w:cs="Times New Roman"/>
        </w:rPr>
      </w:pPr>
    </w:p>
    <w:p w14:paraId="4F789BEA" w14:textId="3E87EF32" w:rsidR="00BA5C0A" w:rsidRPr="00BA5C0A" w:rsidRDefault="00BA5C0A" w:rsidP="00BA5C0A">
      <w:pPr>
        <w:jc w:val="both"/>
        <w:rPr>
          <w:rFonts w:ascii="Times New Roman" w:hAnsi="Times New Roman" w:cs="Times New Roman"/>
        </w:rPr>
      </w:pPr>
      <w:r w:rsidRPr="00BA5C0A">
        <w:rPr>
          <w:rFonts w:ascii="Times New Roman" w:hAnsi="Times New Roman" w:cs="Times New Roman"/>
        </w:rPr>
        <w:t xml:space="preserve">Недостатня кількість </w:t>
      </w:r>
      <w:r w:rsidR="00292CD6">
        <w:rPr>
          <w:rFonts w:ascii="Times New Roman" w:hAnsi="Times New Roman" w:cs="Times New Roman"/>
          <w:lang w:val="uk-UA"/>
        </w:rPr>
        <w:t>місць</w:t>
      </w:r>
      <w:r w:rsidRPr="00BA5C0A">
        <w:rPr>
          <w:rFonts w:ascii="Times New Roman" w:hAnsi="Times New Roman" w:cs="Times New Roman"/>
        </w:rPr>
        <w:t xml:space="preserve"> для лікування</w:t>
      </w:r>
      <w:r w:rsidR="00292CD6">
        <w:rPr>
          <w:rFonts w:ascii="Times New Roman" w:hAnsi="Times New Roman" w:cs="Times New Roman"/>
          <w:lang w:val="uk-UA"/>
        </w:rPr>
        <w:t xml:space="preserve"> </w:t>
      </w:r>
      <w:r w:rsidRPr="00BA5C0A">
        <w:rPr>
          <w:rFonts w:ascii="Times New Roman" w:hAnsi="Times New Roman" w:cs="Times New Roman"/>
        </w:rPr>
        <w:t xml:space="preserve">ЛВІН, є основною перешкодою. Успішні моделі </w:t>
      </w:r>
      <w:r w:rsidR="00292CD6">
        <w:rPr>
          <w:rFonts w:ascii="Times New Roman" w:hAnsi="Times New Roman" w:cs="Times New Roman"/>
          <w:lang w:val="uk-UA"/>
        </w:rPr>
        <w:t>лікування базуються на принципах</w:t>
      </w:r>
      <w:r w:rsidRPr="00BA5C0A">
        <w:rPr>
          <w:rFonts w:ascii="Times New Roman" w:hAnsi="Times New Roman" w:cs="Times New Roman"/>
        </w:rPr>
        <w:t xml:space="preserve"> міждисциплінарн</w:t>
      </w:r>
      <w:r w:rsidR="00292CD6">
        <w:rPr>
          <w:rFonts w:ascii="Times New Roman" w:hAnsi="Times New Roman" w:cs="Times New Roman"/>
          <w:lang w:val="uk-UA"/>
        </w:rPr>
        <w:t>ості</w:t>
      </w:r>
      <w:r w:rsidRPr="00BA5C0A">
        <w:rPr>
          <w:rFonts w:ascii="Times New Roman" w:hAnsi="Times New Roman" w:cs="Times New Roman"/>
        </w:rPr>
        <w:t xml:space="preserve"> та </w:t>
      </w:r>
      <w:r w:rsidR="00292CD6">
        <w:rPr>
          <w:rFonts w:ascii="Times New Roman" w:hAnsi="Times New Roman" w:cs="Times New Roman"/>
          <w:lang w:val="uk-UA"/>
        </w:rPr>
        <w:t>на залученні</w:t>
      </w:r>
      <w:r w:rsidRPr="00BA5C0A">
        <w:rPr>
          <w:rFonts w:ascii="Times New Roman" w:hAnsi="Times New Roman" w:cs="Times New Roman"/>
        </w:rPr>
        <w:t xml:space="preserve"> громадських клінік, в'язниць, програм обміну шприців та голок, кімнат </w:t>
      </w:r>
      <w:r w:rsidR="00292CD6">
        <w:rPr>
          <w:rFonts w:ascii="Times New Roman" w:hAnsi="Times New Roman" w:cs="Times New Roman"/>
          <w:lang w:val="uk-UA"/>
        </w:rPr>
        <w:t>безпечного вживання</w:t>
      </w:r>
      <w:r w:rsidRPr="00BA5C0A">
        <w:rPr>
          <w:rFonts w:ascii="Times New Roman" w:hAnsi="Times New Roman" w:cs="Times New Roman"/>
        </w:rPr>
        <w:t xml:space="preserve">, спеціалізованих лікарень та </w:t>
      </w:r>
      <w:r w:rsidR="00292CD6">
        <w:rPr>
          <w:rFonts w:ascii="Times New Roman" w:hAnsi="Times New Roman" w:cs="Times New Roman"/>
          <w:lang w:val="uk-UA"/>
        </w:rPr>
        <w:t>місць надання</w:t>
      </w:r>
      <w:r w:rsidRPr="00BA5C0A">
        <w:rPr>
          <w:rFonts w:ascii="Times New Roman" w:hAnsi="Times New Roman" w:cs="Times New Roman"/>
        </w:rPr>
        <w:t xml:space="preserve"> первинної медичної допомоги.</w:t>
      </w:r>
    </w:p>
    <w:p w14:paraId="6102466F" w14:textId="77777777" w:rsidR="00BA5C0A" w:rsidRPr="00BA5C0A" w:rsidRDefault="00BA5C0A" w:rsidP="00BA5C0A">
      <w:pPr>
        <w:jc w:val="both"/>
        <w:rPr>
          <w:rFonts w:ascii="Times New Roman" w:hAnsi="Times New Roman" w:cs="Times New Roman"/>
        </w:rPr>
      </w:pPr>
    </w:p>
    <w:p w14:paraId="2F54F5C7" w14:textId="51DD7FD6" w:rsidR="00BA5C0A" w:rsidRPr="00BA5C0A" w:rsidRDefault="00BA5C0A" w:rsidP="00BA5C0A">
      <w:pPr>
        <w:jc w:val="both"/>
        <w:rPr>
          <w:rFonts w:ascii="Times New Roman" w:hAnsi="Times New Roman" w:cs="Times New Roman"/>
        </w:rPr>
      </w:pPr>
      <w:r w:rsidRPr="00BA5C0A">
        <w:rPr>
          <w:rFonts w:ascii="Times New Roman" w:hAnsi="Times New Roman" w:cs="Times New Roman"/>
        </w:rPr>
        <w:t xml:space="preserve">Реінфекція ВГС після успішного лікування переважно вивчалась у пацієнтів, які отримували терапію на основі IFN. Узагальнені показники реінфекції </w:t>
      </w:r>
      <w:r w:rsidRPr="00972FAE">
        <w:rPr>
          <w:rFonts w:ascii="Times New Roman" w:hAnsi="Times New Roman" w:cs="Times New Roman"/>
        </w:rPr>
        <w:t xml:space="preserve">становили </w:t>
      </w:r>
      <w:r w:rsidR="00972FAE" w:rsidRPr="00972FAE">
        <w:rPr>
          <w:rFonts w:ascii="Times New Roman" w:hAnsi="Times New Roman" w:cs="Times New Roman"/>
        </w:rPr>
        <w:t xml:space="preserve">6 </w:t>
      </w:r>
      <w:r w:rsidRPr="00BA5C0A">
        <w:rPr>
          <w:rFonts w:ascii="Times New Roman" w:hAnsi="Times New Roman" w:cs="Times New Roman"/>
        </w:rPr>
        <w:t>на 100 людино</w:t>
      </w:r>
      <w:r w:rsidR="00FC6D8A">
        <w:rPr>
          <w:rFonts w:ascii="Times New Roman" w:hAnsi="Times New Roman" w:cs="Times New Roman"/>
        </w:rPr>
        <w:t>–</w:t>
      </w:r>
      <w:r w:rsidRPr="00BA5C0A">
        <w:rPr>
          <w:rFonts w:ascii="Times New Roman" w:hAnsi="Times New Roman" w:cs="Times New Roman"/>
        </w:rPr>
        <w:t>років спостереження пацієнтів, які повідомили про в</w:t>
      </w:r>
      <w:r w:rsidR="00292CD6">
        <w:rPr>
          <w:rFonts w:ascii="Times New Roman" w:hAnsi="Times New Roman" w:cs="Times New Roman"/>
          <w:lang w:val="uk-UA"/>
        </w:rPr>
        <w:t>ж</w:t>
      </w:r>
      <w:r w:rsidRPr="00BA5C0A">
        <w:rPr>
          <w:rFonts w:ascii="Times New Roman" w:hAnsi="Times New Roman" w:cs="Times New Roman"/>
        </w:rPr>
        <w:t>ивання ін'єкційних наркотиків після закінчення лікування і 2 на 100 людино</w:t>
      </w:r>
      <w:r w:rsidR="00FC6D8A">
        <w:rPr>
          <w:rFonts w:ascii="Times New Roman" w:hAnsi="Times New Roman" w:cs="Times New Roman"/>
        </w:rPr>
        <w:t>–</w:t>
      </w:r>
      <w:r w:rsidRPr="00BA5C0A">
        <w:rPr>
          <w:rFonts w:ascii="Times New Roman" w:hAnsi="Times New Roman" w:cs="Times New Roman"/>
        </w:rPr>
        <w:t xml:space="preserve">років подальшого спостереження серед тих, хто повідомив, що </w:t>
      </w:r>
      <w:r w:rsidRPr="00BA5C0A">
        <w:rPr>
          <w:rFonts w:ascii="Times New Roman" w:hAnsi="Times New Roman" w:cs="Times New Roman"/>
        </w:rPr>
        <w:lastRenderedPageBreak/>
        <w:t xml:space="preserve">вживав ін'єкційні наркотики </w:t>
      </w:r>
      <w:r w:rsidR="00972FAE">
        <w:rPr>
          <w:rFonts w:ascii="Times New Roman" w:hAnsi="Times New Roman" w:cs="Times New Roman"/>
          <w:lang w:val="uk-UA"/>
        </w:rPr>
        <w:t>в минулому.</w:t>
      </w:r>
      <w:r w:rsidRPr="00BA5C0A">
        <w:rPr>
          <w:rFonts w:ascii="Times New Roman" w:hAnsi="Times New Roman" w:cs="Times New Roman"/>
          <w:vertAlign w:val="superscript"/>
        </w:rPr>
        <w:t>249,250</w:t>
      </w:r>
      <w:r w:rsidRPr="00BA5C0A">
        <w:rPr>
          <w:rFonts w:ascii="Times New Roman" w:hAnsi="Times New Roman" w:cs="Times New Roman"/>
        </w:rPr>
        <w:t xml:space="preserve"> Після лікування ПППД частота реінфекцій була 4,2 на 100 людино</w:t>
      </w:r>
      <w:r w:rsidR="00FC6D8A">
        <w:rPr>
          <w:rFonts w:ascii="Times New Roman" w:hAnsi="Times New Roman" w:cs="Times New Roman"/>
        </w:rPr>
        <w:t>–</w:t>
      </w:r>
      <w:r w:rsidRPr="00BA5C0A">
        <w:rPr>
          <w:rFonts w:ascii="Times New Roman" w:hAnsi="Times New Roman" w:cs="Times New Roman"/>
        </w:rPr>
        <w:t>років у 74 пацієнтів, включених до групи дослідження С</w:t>
      </w:r>
      <w:r w:rsidR="00FC6D8A">
        <w:rPr>
          <w:rFonts w:ascii="Times New Roman" w:hAnsi="Times New Roman" w:cs="Times New Roman"/>
        </w:rPr>
        <w:t>–</w:t>
      </w:r>
      <w:r w:rsidRPr="00BA5C0A">
        <w:rPr>
          <w:rFonts w:ascii="Times New Roman" w:hAnsi="Times New Roman" w:cs="Times New Roman"/>
        </w:rPr>
        <w:t>EDGE CO</w:t>
      </w:r>
      <w:r w:rsidR="00FC6D8A">
        <w:rPr>
          <w:rFonts w:ascii="Times New Roman" w:hAnsi="Times New Roman" w:cs="Times New Roman"/>
        </w:rPr>
        <w:t>–</w:t>
      </w:r>
      <w:r w:rsidRPr="00BA5C0A">
        <w:rPr>
          <w:rFonts w:ascii="Times New Roman" w:hAnsi="Times New Roman" w:cs="Times New Roman"/>
        </w:rPr>
        <w:t>STAR, які досягли СВВ з гразопревіром та ельбасвіром та вживали наркотики після СВВ.</w:t>
      </w:r>
      <w:r w:rsidRPr="00BA5C0A">
        <w:rPr>
          <w:rFonts w:ascii="Times New Roman" w:hAnsi="Times New Roman" w:cs="Times New Roman"/>
          <w:vertAlign w:val="superscript"/>
        </w:rPr>
        <w:t>252</w:t>
      </w:r>
      <w:r w:rsidRPr="00BA5C0A">
        <w:rPr>
          <w:rFonts w:ascii="Times New Roman" w:hAnsi="Times New Roman" w:cs="Times New Roman"/>
        </w:rPr>
        <w:t xml:space="preserve"> До теперішнього часу жодне дослідження не визначало фактори ризику реінфекції після СВВ, а також не було проведено жодних досліджень для вивчення впливу інтервенцій для зменшення ризику реінфекції.</w:t>
      </w:r>
    </w:p>
    <w:p w14:paraId="7C5986E6" w14:textId="77777777" w:rsidR="00BA5C0A" w:rsidRPr="00BA5C0A" w:rsidRDefault="00BA5C0A" w:rsidP="00BA5C0A">
      <w:pPr>
        <w:jc w:val="both"/>
        <w:rPr>
          <w:rFonts w:ascii="Times New Roman" w:hAnsi="Times New Roman" w:cs="Times New Roman"/>
          <w:lang w:val="uk-UA"/>
        </w:rPr>
      </w:pPr>
    </w:p>
    <w:tbl>
      <w:tblPr>
        <w:tblW w:w="983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BA5C0A" w:rsidRPr="00BA5C0A" w14:paraId="379F35A9" w14:textId="77777777" w:rsidTr="00660549">
        <w:trPr>
          <w:trHeight w:val="1961"/>
        </w:trPr>
        <w:tc>
          <w:tcPr>
            <w:tcW w:w="9836" w:type="dxa"/>
            <w:shd w:val="clear" w:color="auto" w:fill="BDD6EE" w:themeFill="accent1" w:themeFillTint="66"/>
          </w:tcPr>
          <w:p w14:paraId="11992DDA" w14:textId="77777777" w:rsidR="00BA5C0A" w:rsidRPr="00BA5C0A" w:rsidRDefault="00BA5C0A" w:rsidP="00BA5C0A">
            <w:pPr>
              <w:tabs>
                <w:tab w:val="left" w:pos="519"/>
              </w:tabs>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Рекомендації</w:t>
            </w:r>
          </w:p>
          <w:p w14:paraId="3C80C742" w14:textId="77777777" w:rsidR="00BA5C0A" w:rsidRPr="00BA5C0A" w:rsidRDefault="00BA5C0A" w:rsidP="00660549">
            <w:pPr>
              <w:tabs>
                <w:tab w:val="left" w:pos="519"/>
              </w:tabs>
              <w:jc w:val="both"/>
              <w:rPr>
                <w:rFonts w:ascii="Times New Roman" w:hAnsi="Times New Roman" w:cs="Times New Roman"/>
                <w:lang w:val="uk-UA"/>
              </w:rPr>
            </w:pPr>
          </w:p>
          <w:p w14:paraId="3E1BA395" w14:textId="1193CBC4" w:rsidR="00660549" w:rsidRPr="00660549" w:rsidRDefault="00660549" w:rsidP="00660549">
            <w:pPr>
              <w:pStyle w:val="a9"/>
              <w:numPr>
                <w:ilvl w:val="0"/>
                <w:numId w:val="62"/>
              </w:numPr>
              <w:rPr>
                <w:rFonts w:ascii="Times New Roman" w:hAnsi="Times New Roman" w:cs="Times New Roman"/>
                <w:lang w:val="uk-UA"/>
              </w:rPr>
            </w:pPr>
            <w:r w:rsidRPr="00660549">
              <w:rPr>
                <w:rFonts w:ascii="Times New Roman" w:hAnsi="Times New Roman" w:cs="Times New Roman"/>
                <w:lang w:val="uk-UA"/>
              </w:rPr>
              <w:t xml:space="preserve">ЛВІН повинні регулярно і добровільно проходити тестування на антитіла </w:t>
            </w:r>
            <w:r w:rsidR="00972FAE">
              <w:rPr>
                <w:rFonts w:ascii="Times New Roman" w:hAnsi="Times New Roman" w:cs="Times New Roman"/>
                <w:lang w:val="uk-UA"/>
              </w:rPr>
              <w:t xml:space="preserve">до </w:t>
            </w:r>
            <w:r w:rsidRPr="00660549">
              <w:rPr>
                <w:rFonts w:ascii="Times New Roman" w:hAnsi="Times New Roman" w:cs="Times New Roman"/>
                <w:lang w:val="uk-UA"/>
              </w:rPr>
              <w:t xml:space="preserve">ВГС та РНК ВГС. ЛВІН, які є РНК ВГС </w:t>
            </w:r>
            <w:r w:rsidR="00FC6D8A">
              <w:rPr>
                <w:rFonts w:ascii="Times New Roman" w:hAnsi="Times New Roman" w:cs="Times New Roman"/>
                <w:lang w:val="uk-UA"/>
              </w:rPr>
              <w:t>–</w:t>
            </w:r>
            <w:r w:rsidRPr="00660549">
              <w:rPr>
                <w:rFonts w:ascii="Times New Roman" w:hAnsi="Times New Roman" w:cs="Times New Roman"/>
                <w:lang w:val="uk-UA"/>
              </w:rPr>
              <w:t>негативними, повинні перевірятися на РНК ВГС щорічно та після будь</w:t>
            </w:r>
            <w:r w:rsidR="00FC6D8A">
              <w:rPr>
                <w:rFonts w:ascii="Times New Roman" w:hAnsi="Times New Roman" w:cs="Times New Roman"/>
                <w:lang w:val="uk-UA"/>
              </w:rPr>
              <w:t>–</w:t>
            </w:r>
            <w:r w:rsidRPr="00660549">
              <w:rPr>
                <w:rFonts w:ascii="Times New Roman" w:hAnsi="Times New Roman" w:cs="Times New Roman"/>
                <w:lang w:val="uk-UA"/>
              </w:rPr>
              <w:t xml:space="preserve">якого епізоду з високим ризиком </w:t>
            </w:r>
            <w:r>
              <w:rPr>
                <w:rFonts w:ascii="Times New Roman" w:hAnsi="Times New Roman" w:cs="Times New Roman"/>
                <w:lang w:val="uk-UA"/>
              </w:rPr>
              <w:t xml:space="preserve">щодо інфікування ВГС </w:t>
            </w:r>
            <w:r w:rsidRPr="00660549">
              <w:rPr>
                <w:rFonts w:ascii="Times New Roman" w:hAnsi="Times New Roman" w:cs="Times New Roman"/>
                <w:lang w:val="uk-UA"/>
              </w:rPr>
              <w:t>(А1)</w:t>
            </w:r>
            <w:r>
              <w:rPr>
                <w:rFonts w:ascii="Times New Roman" w:hAnsi="Times New Roman" w:cs="Times New Roman"/>
                <w:lang w:val="uk-UA"/>
              </w:rPr>
              <w:t>.</w:t>
            </w:r>
          </w:p>
          <w:p w14:paraId="5D08C82D" w14:textId="0010C707" w:rsidR="00BA5C0A" w:rsidRDefault="00BA5C0A" w:rsidP="00660549">
            <w:pPr>
              <w:pStyle w:val="a9"/>
              <w:numPr>
                <w:ilvl w:val="0"/>
                <w:numId w:val="62"/>
              </w:numPr>
              <w:tabs>
                <w:tab w:val="left" w:pos="519"/>
              </w:tabs>
              <w:jc w:val="both"/>
              <w:rPr>
                <w:rFonts w:ascii="Times New Roman" w:hAnsi="Times New Roman" w:cs="Times New Roman"/>
                <w:lang w:val="uk-UA"/>
              </w:rPr>
            </w:pPr>
            <w:r w:rsidRPr="00660549">
              <w:rPr>
                <w:rFonts w:ascii="Times New Roman" w:hAnsi="Times New Roman" w:cs="Times New Roman"/>
                <w:lang w:val="uk-UA"/>
              </w:rPr>
              <w:t xml:space="preserve">ЛВІН повинні забезпечуватися належним доступом до ЗПТ та чистим ін'єкційним інструментарієм для </w:t>
            </w:r>
            <w:r w:rsidR="00574721">
              <w:rPr>
                <w:rFonts w:ascii="Times New Roman" w:hAnsi="Times New Roman" w:cs="Times New Roman"/>
                <w:lang w:val="uk-UA"/>
              </w:rPr>
              <w:t xml:space="preserve">вживання </w:t>
            </w:r>
            <w:r w:rsidRPr="00660549">
              <w:rPr>
                <w:rFonts w:ascii="Times New Roman" w:hAnsi="Times New Roman" w:cs="Times New Roman"/>
                <w:lang w:val="uk-UA"/>
              </w:rPr>
              <w:t>наркотиків як частини широкомасштабних програм зменшення шкоди, в тому числі у в'язницях (A1).</w:t>
            </w:r>
          </w:p>
          <w:p w14:paraId="34F45C23" w14:textId="2F573B1B" w:rsidR="00BA5C0A" w:rsidRDefault="00BA5C0A" w:rsidP="00660549">
            <w:pPr>
              <w:pStyle w:val="a9"/>
              <w:numPr>
                <w:ilvl w:val="0"/>
                <w:numId w:val="62"/>
              </w:numPr>
              <w:tabs>
                <w:tab w:val="left" w:pos="519"/>
              </w:tabs>
              <w:jc w:val="both"/>
              <w:rPr>
                <w:rFonts w:ascii="Times New Roman" w:hAnsi="Times New Roman" w:cs="Times New Roman"/>
                <w:lang w:val="uk-UA"/>
              </w:rPr>
            </w:pPr>
            <w:r w:rsidRPr="00660549">
              <w:rPr>
                <w:rFonts w:ascii="Times New Roman" w:hAnsi="Times New Roman" w:cs="Times New Roman"/>
                <w:lang w:val="uk-UA"/>
              </w:rPr>
              <w:t xml:space="preserve">Всі ЛВІН, які інфіковані ВГС, мають показання для </w:t>
            </w:r>
            <w:r w:rsidR="00FB5913">
              <w:rPr>
                <w:rFonts w:ascii="Times New Roman" w:hAnsi="Times New Roman" w:cs="Times New Roman"/>
                <w:lang w:val="uk-UA"/>
              </w:rPr>
              <w:t>лікування</w:t>
            </w:r>
            <w:r w:rsidRPr="00660549">
              <w:rPr>
                <w:rFonts w:ascii="Times New Roman" w:hAnsi="Times New Roman" w:cs="Times New Roman"/>
                <w:lang w:val="uk-UA"/>
              </w:rPr>
              <w:t>, оскільки терапія на базі ПППД є безпечною та ефективною серед ВГС</w:t>
            </w:r>
            <w:r w:rsidR="00FC6D8A">
              <w:rPr>
                <w:rFonts w:ascii="Times New Roman" w:hAnsi="Times New Roman" w:cs="Times New Roman"/>
                <w:lang w:val="uk-UA"/>
              </w:rPr>
              <w:t>–</w:t>
            </w:r>
            <w:r w:rsidRPr="00660549">
              <w:rPr>
                <w:rFonts w:ascii="Times New Roman" w:hAnsi="Times New Roman" w:cs="Times New Roman"/>
                <w:lang w:val="uk-UA"/>
              </w:rPr>
              <w:t>інфікованих пацієнтів, які отримують ЗПТ, тих, хто в минулому вживав ін'єкційні наркотики та тих, хто вживав наркотики нещодавно (А1).</w:t>
            </w:r>
          </w:p>
          <w:p w14:paraId="1D7F72E0" w14:textId="37824289" w:rsidR="00BA5C0A" w:rsidRDefault="00BA5C0A" w:rsidP="00660549">
            <w:pPr>
              <w:pStyle w:val="a9"/>
              <w:numPr>
                <w:ilvl w:val="0"/>
                <w:numId w:val="62"/>
              </w:numPr>
              <w:tabs>
                <w:tab w:val="left" w:pos="519"/>
              </w:tabs>
              <w:jc w:val="both"/>
              <w:rPr>
                <w:rFonts w:ascii="Times New Roman" w:hAnsi="Times New Roman" w:cs="Times New Roman"/>
                <w:lang w:val="uk-UA"/>
              </w:rPr>
            </w:pPr>
            <w:r w:rsidRPr="00660549">
              <w:rPr>
                <w:rFonts w:ascii="Times New Roman" w:hAnsi="Times New Roman" w:cs="Times New Roman"/>
                <w:lang w:val="uk-UA"/>
              </w:rPr>
              <w:t>Лікування ВГС має бути запропоновано для ВГС</w:t>
            </w:r>
            <w:r w:rsidR="00FC6D8A">
              <w:rPr>
                <w:rFonts w:ascii="Times New Roman" w:hAnsi="Times New Roman" w:cs="Times New Roman"/>
                <w:lang w:val="uk-UA"/>
              </w:rPr>
              <w:t>–</w:t>
            </w:r>
            <w:r w:rsidRPr="00660549">
              <w:rPr>
                <w:rFonts w:ascii="Times New Roman" w:hAnsi="Times New Roman" w:cs="Times New Roman"/>
                <w:lang w:val="uk-UA"/>
              </w:rPr>
              <w:t>інфікованих ув'язн</w:t>
            </w:r>
            <w:r w:rsidR="00972FAE">
              <w:rPr>
                <w:rFonts w:ascii="Times New Roman" w:hAnsi="Times New Roman" w:cs="Times New Roman"/>
                <w:lang w:val="uk-UA"/>
              </w:rPr>
              <w:t>ених</w:t>
            </w:r>
            <w:r w:rsidRPr="00660549">
              <w:rPr>
                <w:rFonts w:ascii="Times New Roman" w:hAnsi="Times New Roman" w:cs="Times New Roman"/>
                <w:lang w:val="uk-UA"/>
              </w:rPr>
              <w:t xml:space="preserve"> (B1).</w:t>
            </w:r>
          </w:p>
          <w:p w14:paraId="3D66ABC7" w14:textId="6162B2AF" w:rsidR="00BA5C0A" w:rsidRDefault="00BA5C0A" w:rsidP="00660549">
            <w:pPr>
              <w:pStyle w:val="a9"/>
              <w:numPr>
                <w:ilvl w:val="0"/>
                <w:numId w:val="62"/>
              </w:numPr>
              <w:tabs>
                <w:tab w:val="left" w:pos="519"/>
              </w:tabs>
              <w:jc w:val="both"/>
              <w:rPr>
                <w:rFonts w:ascii="Times New Roman" w:hAnsi="Times New Roman" w:cs="Times New Roman"/>
                <w:lang w:val="uk-UA"/>
              </w:rPr>
            </w:pPr>
            <w:r w:rsidRPr="00660549">
              <w:rPr>
                <w:rFonts w:ascii="Times New Roman" w:hAnsi="Times New Roman" w:cs="Times New Roman"/>
                <w:lang w:val="uk-UA"/>
              </w:rPr>
              <w:t xml:space="preserve">До терапевтичної освіти слід включати обговорення </w:t>
            </w:r>
            <w:r w:rsidR="00972FAE">
              <w:rPr>
                <w:rFonts w:ascii="Times New Roman" w:hAnsi="Times New Roman" w:cs="Times New Roman"/>
                <w:lang w:val="uk-UA"/>
              </w:rPr>
              <w:t xml:space="preserve">шляхів і ризиків </w:t>
            </w:r>
            <w:r w:rsidRPr="00660549">
              <w:rPr>
                <w:rFonts w:ascii="Times New Roman" w:hAnsi="Times New Roman" w:cs="Times New Roman"/>
                <w:lang w:val="uk-UA"/>
              </w:rPr>
              <w:t xml:space="preserve">передачі ВГС, факторів ризику прогресування фіброзу, </w:t>
            </w:r>
            <w:r w:rsidR="00972FAE">
              <w:rPr>
                <w:rFonts w:ascii="Times New Roman" w:hAnsi="Times New Roman" w:cs="Times New Roman"/>
                <w:lang w:val="uk-UA"/>
              </w:rPr>
              <w:t xml:space="preserve">особливості </w:t>
            </w:r>
            <w:r w:rsidRPr="00660549">
              <w:rPr>
                <w:rFonts w:ascii="Times New Roman" w:hAnsi="Times New Roman" w:cs="Times New Roman"/>
                <w:lang w:val="uk-UA"/>
              </w:rPr>
              <w:t>лікування</w:t>
            </w:r>
            <w:r w:rsidR="00972FAE">
              <w:rPr>
                <w:rFonts w:ascii="Times New Roman" w:hAnsi="Times New Roman" w:cs="Times New Roman"/>
                <w:lang w:val="uk-UA"/>
              </w:rPr>
              <w:t>, ризику реінфекції та стратегій</w:t>
            </w:r>
            <w:r w:rsidRPr="00660549">
              <w:rPr>
                <w:rFonts w:ascii="Times New Roman" w:hAnsi="Times New Roman" w:cs="Times New Roman"/>
                <w:lang w:val="uk-UA"/>
              </w:rPr>
              <w:t xml:space="preserve"> зменшення шкоди (В1).</w:t>
            </w:r>
          </w:p>
          <w:p w14:paraId="26D8D82C" w14:textId="0C224ABC" w:rsidR="00BA5C0A" w:rsidRDefault="00BA5C0A" w:rsidP="00660549">
            <w:pPr>
              <w:pStyle w:val="a9"/>
              <w:numPr>
                <w:ilvl w:val="0"/>
                <w:numId w:val="62"/>
              </w:numPr>
              <w:tabs>
                <w:tab w:val="left" w:pos="519"/>
              </w:tabs>
              <w:jc w:val="both"/>
              <w:rPr>
                <w:rFonts w:ascii="Times New Roman" w:hAnsi="Times New Roman" w:cs="Times New Roman"/>
                <w:lang w:val="uk-UA"/>
              </w:rPr>
            </w:pPr>
            <w:r w:rsidRPr="00660549">
              <w:rPr>
                <w:rFonts w:ascii="Times New Roman" w:hAnsi="Times New Roman" w:cs="Times New Roman"/>
                <w:lang w:val="uk-UA"/>
              </w:rPr>
              <w:t xml:space="preserve">У хворих, </w:t>
            </w:r>
            <w:r w:rsidR="00972FAE">
              <w:rPr>
                <w:rFonts w:ascii="Times New Roman" w:hAnsi="Times New Roman" w:cs="Times New Roman"/>
                <w:lang w:val="uk-UA"/>
              </w:rPr>
              <w:t>які</w:t>
            </w:r>
            <w:r w:rsidRPr="00660549">
              <w:rPr>
                <w:rFonts w:ascii="Times New Roman" w:hAnsi="Times New Roman" w:cs="Times New Roman"/>
                <w:lang w:val="uk-UA"/>
              </w:rPr>
              <w:t xml:space="preserve"> </w:t>
            </w:r>
            <w:r w:rsidR="00972FAE">
              <w:rPr>
                <w:rFonts w:ascii="Times New Roman" w:hAnsi="Times New Roman" w:cs="Times New Roman"/>
                <w:lang w:val="uk-UA"/>
              </w:rPr>
              <w:t>перебувають</w:t>
            </w:r>
            <w:r w:rsidRPr="00660549">
              <w:rPr>
                <w:rFonts w:ascii="Times New Roman" w:hAnsi="Times New Roman" w:cs="Times New Roman"/>
                <w:lang w:val="uk-UA"/>
              </w:rPr>
              <w:t xml:space="preserve"> на ЗПТ</w:t>
            </w:r>
            <w:r w:rsidR="00972FAE">
              <w:rPr>
                <w:rFonts w:ascii="Times New Roman" w:hAnsi="Times New Roman" w:cs="Times New Roman"/>
                <w:lang w:val="uk-UA"/>
              </w:rPr>
              <w:t>,</w:t>
            </w:r>
            <w:r w:rsidRPr="00660549">
              <w:rPr>
                <w:rFonts w:ascii="Times New Roman" w:hAnsi="Times New Roman" w:cs="Times New Roman"/>
                <w:lang w:val="uk-UA"/>
              </w:rPr>
              <w:t xml:space="preserve"> терапія на основі ПППД не потребує </w:t>
            </w:r>
            <w:r w:rsidR="00972FAE">
              <w:rPr>
                <w:rFonts w:ascii="Times New Roman" w:hAnsi="Times New Roman" w:cs="Times New Roman"/>
                <w:lang w:val="uk-UA"/>
              </w:rPr>
              <w:t>корекції</w:t>
            </w:r>
            <w:r w:rsidRPr="00660549">
              <w:rPr>
                <w:rFonts w:ascii="Times New Roman" w:hAnsi="Times New Roman" w:cs="Times New Roman"/>
                <w:lang w:val="uk-UA"/>
              </w:rPr>
              <w:t xml:space="preserve"> дози метадону або бупренорфіну (А1).</w:t>
            </w:r>
          </w:p>
          <w:p w14:paraId="67E9D285" w14:textId="1AFC7F3C" w:rsidR="00BA5C0A" w:rsidRDefault="00BA5C0A" w:rsidP="00660549">
            <w:pPr>
              <w:pStyle w:val="a9"/>
              <w:numPr>
                <w:ilvl w:val="0"/>
                <w:numId w:val="62"/>
              </w:numPr>
              <w:tabs>
                <w:tab w:val="left" w:pos="519"/>
              </w:tabs>
              <w:jc w:val="both"/>
              <w:rPr>
                <w:rFonts w:ascii="Times New Roman" w:hAnsi="Times New Roman" w:cs="Times New Roman"/>
                <w:lang w:val="uk-UA"/>
              </w:rPr>
            </w:pPr>
            <w:r w:rsidRPr="00660549">
              <w:rPr>
                <w:rFonts w:ascii="Times New Roman" w:hAnsi="Times New Roman" w:cs="Times New Roman"/>
                <w:lang w:val="uk-UA"/>
              </w:rPr>
              <w:t>Консульт</w:t>
            </w:r>
            <w:r w:rsidR="00972FAE">
              <w:rPr>
                <w:rFonts w:ascii="Times New Roman" w:hAnsi="Times New Roman" w:cs="Times New Roman"/>
                <w:lang w:val="uk-UA"/>
              </w:rPr>
              <w:t>ації</w:t>
            </w:r>
            <w:r w:rsidRPr="00660549">
              <w:rPr>
                <w:rFonts w:ascii="Times New Roman" w:hAnsi="Times New Roman" w:cs="Times New Roman"/>
                <w:lang w:val="uk-UA"/>
              </w:rPr>
              <w:t xml:space="preserve"> щодо зменшення шкоди повинні надаватися ЛВІН в контексті лікування ВГС для запобігання реінфекції ВГС після успішного лікування (В1).</w:t>
            </w:r>
          </w:p>
          <w:p w14:paraId="103E1D8C" w14:textId="6C287E92" w:rsidR="00BA5C0A" w:rsidRDefault="00BA5C0A" w:rsidP="00660549">
            <w:pPr>
              <w:pStyle w:val="a9"/>
              <w:numPr>
                <w:ilvl w:val="0"/>
                <w:numId w:val="62"/>
              </w:numPr>
              <w:tabs>
                <w:tab w:val="left" w:pos="519"/>
              </w:tabs>
              <w:jc w:val="both"/>
              <w:rPr>
                <w:rFonts w:ascii="Times New Roman" w:hAnsi="Times New Roman" w:cs="Times New Roman"/>
                <w:lang w:val="uk-UA"/>
              </w:rPr>
            </w:pPr>
            <w:r w:rsidRPr="00660549">
              <w:rPr>
                <w:rFonts w:ascii="Times New Roman" w:hAnsi="Times New Roman" w:cs="Times New Roman"/>
                <w:lang w:val="uk-UA"/>
              </w:rPr>
              <w:t>Після СВВ, моніторинг реінфекції гепатиту ВГС ідеально проводити кожні два роки, і принаймні щорічна оцінка РНК ВГС повинна проводитися серед ЛВІН, які практикують ризиковану поведінку (А1).</w:t>
            </w:r>
          </w:p>
          <w:p w14:paraId="3A00468C" w14:textId="1FB3138C" w:rsidR="00BA5C0A" w:rsidRPr="00660549" w:rsidRDefault="00DB3822" w:rsidP="00660549">
            <w:pPr>
              <w:pStyle w:val="a9"/>
              <w:numPr>
                <w:ilvl w:val="0"/>
                <w:numId w:val="62"/>
              </w:numPr>
              <w:tabs>
                <w:tab w:val="left" w:pos="519"/>
              </w:tabs>
              <w:jc w:val="both"/>
              <w:rPr>
                <w:rFonts w:ascii="Times New Roman" w:hAnsi="Times New Roman" w:cs="Times New Roman"/>
                <w:lang w:val="uk-UA"/>
              </w:rPr>
            </w:pPr>
            <w:r>
              <w:rPr>
                <w:rFonts w:ascii="Times New Roman" w:hAnsi="Times New Roman" w:cs="Times New Roman"/>
                <w:lang w:val="uk-UA"/>
              </w:rPr>
              <w:t>Повторне лікування має бути доступним</w:t>
            </w:r>
            <w:r w:rsidR="00BA5C0A" w:rsidRPr="00660549">
              <w:rPr>
                <w:rFonts w:ascii="Times New Roman" w:hAnsi="Times New Roman" w:cs="Times New Roman"/>
                <w:lang w:val="uk-UA"/>
              </w:rPr>
              <w:t xml:space="preserve"> </w:t>
            </w:r>
            <w:r>
              <w:rPr>
                <w:rFonts w:ascii="Times New Roman" w:hAnsi="Times New Roman" w:cs="Times New Roman"/>
                <w:lang w:val="uk-UA"/>
              </w:rPr>
              <w:t xml:space="preserve">у </w:t>
            </w:r>
            <w:r w:rsidR="00BA5C0A" w:rsidRPr="00660549">
              <w:rPr>
                <w:rFonts w:ascii="Times New Roman" w:hAnsi="Times New Roman" w:cs="Times New Roman"/>
                <w:lang w:val="uk-UA"/>
              </w:rPr>
              <w:t>випадк</w:t>
            </w:r>
            <w:r>
              <w:rPr>
                <w:rFonts w:ascii="Times New Roman" w:hAnsi="Times New Roman" w:cs="Times New Roman"/>
                <w:lang w:val="uk-UA"/>
              </w:rPr>
              <w:t>ах</w:t>
            </w:r>
            <w:r w:rsidR="00BA5C0A" w:rsidRPr="00660549">
              <w:rPr>
                <w:rFonts w:ascii="Times New Roman" w:hAnsi="Times New Roman" w:cs="Times New Roman"/>
                <w:lang w:val="uk-UA"/>
              </w:rPr>
              <w:t xml:space="preserve"> повторного інфікування, яке  виявляється під час подальшого спостереження для тих, хто досяг СВВ (A1).</w:t>
            </w:r>
          </w:p>
        </w:tc>
      </w:tr>
    </w:tbl>
    <w:p w14:paraId="71DA7533" w14:textId="77777777" w:rsidR="00BA5C0A" w:rsidRPr="00BA5C0A" w:rsidRDefault="00BA5C0A" w:rsidP="00BA5C0A">
      <w:pPr>
        <w:jc w:val="both"/>
        <w:rPr>
          <w:rFonts w:ascii="Times New Roman" w:hAnsi="Times New Roman" w:cs="Times New Roman"/>
          <w:b/>
          <w:color w:val="4472C4" w:themeColor="accent5"/>
          <w:sz w:val="36"/>
          <w:szCs w:val="36"/>
          <w:lang w:val="uk-UA"/>
        </w:rPr>
      </w:pPr>
    </w:p>
    <w:p w14:paraId="64CF1971" w14:textId="6103E995" w:rsidR="00BA5C0A" w:rsidRPr="00DB3822" w:rsidRDefault="00BA5C0A" w:rsidP="00BA5C0A">
      <w:pPr>
        <w:jc w:val="both"/>
        <w:rPr>
          <w:rFonts w:ascii="Times New Roman" w:hAnsi="Times New Roman" w:cs="Times New Roman"/>
          <w:b/>
          <w:color w:val="4472C4" w:themeColor="accent5"/>
          <w:sz w:val="32"/>
          <w:szCs w:val="32"/>
          <w:lang w:val="uk-UA"/>
        </w:rPr>
      </w:pPr>
      <w:r w:rsidRPr="00DB3822">
        <w:rPr>
          <w:rFonts w:ascii="Times New Roman" w:hAnsi="Times New Roman" w:cs="Times New Roman"/>
          <w:b/>
          <w:color w:val="4472C4" w:themeColor="accent5"/>
          <w:sz w:val="32"/>
          <w:szCs w:val="32"/>
          <w:lang w:val="uk-UA"/>
        </w:rPr>
        <w:t>Гемоглоб</w:t>
      </w:r>
      <w:r w:rsidR="00FB5913">
        <w:rPr>
          <w:rFonts w:ascii="Times New Roman" w:hAnsi="Times New Roman" w:cs="Times New Roman"/>
          <w:b/>
          <w:color w:val="4472C4" w:themeColor="accent5"/>
          <w:sz w:val="32"/>
          <w:szCs w:val="32"/>
          <w:lang w:val="uk-UA"/>
        </w:rPr>
        <w:t>і</w:t>
      </w:r>
      <w:r w:rsidRPr="00DB3822">
        <w:rPr>
          <w:rFonts w:ascii="Times New Roman" w:hAnsi="Times New Roman" w:cs="Times New Roman"/>
          <w:b/>
          <w:color w:val="4472C4" w:themeColor="accent5"/>
          <w:sz w:val="32"/>
          <w:szCs w:val="32"/>
          <w:lang w:val="uk-UA"/>
        </w:rPr>
        <w:t>нопатія та порушення згортання крові</w:t>
      </w:r>
    </w:p>
    <w:p w14:paraId="780FDDE3" w14:textId="77777777" w:rsidR="00BA5C0A" w:rsidRPr="00BA5C0A" w:rsidRDefault="00BA5C0A" w:rsidP="00BA5C0A">
      <w:pPr>
        <w:jc w:val="both"/>
        <w:rPr>
          <w:rFonts w:ascii="Times New Roman" w:hAnsi="Times New Roman" w:cs="Times New Roman"/>
          <w:lang w:val="uk-UA"/>
        </w:rPr>
      </w:pPr>
    </w:p>
    <w:p w14:paraId="13C04581" w14:textId="1E64F727"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Найчастіш</w:t>
      </w:r>
      <w:r w:rsidR="00FB5913">
        <w:rPr>
          <w:rFonts w:ascii="Times New Roman" w:hAnsi="Times New Roman" w:cs="Times New Roman"/>
          <w:lang w:val="uk-UA"/>
        </w:rPr>
        <w:t xml:space="preserve">е </w:t>
      </w:r>
      <w:r w:rsidRPr="00BA5C0A">
        <w:rPr>
          <w:rFonts w:ascii="Times New Roman" w:hAnsi="Times New Roman" w:cs="Times New Roman"/>
          <w:lang w:val="uk-UA"/>
        </w:rPr>
        <w:t xml:space="preserve">пов'язана з хронічним гепатитом С велика таласемія, яка вимагає частого переливання крові і є поширеною у країнах, де </w:t>
      </w:r>
      <w:r w:rsidR="00360CF0">
        <w:rPr>
          <w:rFonts w:ascii="Times New Roman" w:hAnsi="Times New Roman" w:cs="Times New Roman"/>
          <w:lang w:val="uk-UA"/>
        </w:rPr>
        <w:t>існують проблеми з належним скринінгом донорської крові.</w:t>
      </w:r>
      <w:r w:rsidRPr="00BA5C0A">
        <w:rPr>
          <w:rFonts w:ascii="Times New Roman" w:hAnsi="Times New Roman" w:cs="Times New Roman"/>
          <w:lang w:val="uk-UA"/>
        </w:rPr>
        <w:t xml:space="preserve"> </w:t>
      </w:r>
      <w:r w:rsidR="00BF5774">
        <w:rPr>
          <w:rFonts w:ascii="Times New Roman" w:hAnsi="Times New Roman" w:cs="Times New Roman"/>
          <w:lang w:val="uk-UA"/>
        </w:rPr>
        <w:t>Часті випадки</w:t>
      </w:r>
      <w:r w:rsidRPr="00BA5C0A">
        <w:rPr>
          <w:rFonts w:ascii="Times New Roman" w:hAnsi="Times New Roman" w:cs="Times New Roman"/>
          <w:lang w:val="uk-UA"/>
        </w:rPr>
        <w:t xml:space="preserve"> інфікування ВГС також зустрічається у людей з серповидно</w:t>
      </w:r>
      <w:r w:rsidR="00FC6D8A">
        <w:rPr>
          <w:rFonts w:ascii="Times New Roman" w:hAnsi="Times New Roman" w:cs="Times New Roman"/>
          <w:lang w:val="uk-UA"/>
        </w:rPr>
        <w:t>–</w:t>
      </w:r>
      <w:r w:rsidRPr="00BA5C0A">
        <w:rPr>
          <w:rFonts w:ascii="Times New Roman" w:hAnsi="Times New Roman" w:cs="Times New Roman"/>
          <w:lang w:val="uk-UA"/>
        </w:rPr>
        <w:t xml:space="preserve">клітинною анемією, при більш швидкому </w:t>
      </w:r>
      <w:r w:rsidR="00972FAE">
        <w:rPr>
          <w:rFonts w:ascii="Times New Roman" w:hAnsi="Times New Roman" w:cs="Times New Roman"/>
          <w:lang w:val="uk-UA"/>
        </w:rPr>
        <w:t xml:space="preserve">прогресуванню </w:t>
      </w:r>
      <w:r w:rsidRPr="00BA5C0A">
        <w:rPr>
          <w:rFonts w:ascii="Times New Roman" w:hAnsi="Times New Roman" w:cs="Times New Roman"/>
          <w:lang w:val="uk-UA"/>
        </w:rPr>
        <w:t>захворювань печінки через паралельне перевантаження залізом.</w:t>
      </w:r>
      <w:r w:rsidRPr="00BA5C0A">
        <w:rPr>
          <w:rFonts w:ascii="Times New Roman" w:hAnsi="Times New Roman" w:cs="Times New Roman"/>
          <w:vertAlign w:val="superscript"/>
          <w:lang w:val="uk-UA"/>
        </w:rPr>
        <w:t>255</w:t>
      </w:r>
      <w:r w:rsidRPr="00BA5C0A">
        <w:rPr>
          <w:rFonts w:ascii="Times New Roman" w:hAnsi="Times New Roman" w:cs="Times New Roman"/>
          <w:lang w:val="uk-UA"/>
        </w:rPr>
        <w:t xml:space="preserve"> Лікування часто відкладається для цих пацієнтів, оскільки так як і пегіл</w:t>
      </w:r>
      <w:r w:rsidR="00FB5913">
        <w:rPr>
          <w:rFonts w:ascii="Times New Roman" w:hAnsi="Times New Roman" w:cs="Times New Roman"/>
          <w:lang w:val="uk-UA"/>
        </w:rPr>
        <w:t>ьова</w:t>
      </w:r>
      <w:r w:rsidRPr="00BA5C0A">
        <w:rPr>
          <w:rFonts w:ascii="Times New Roman" w:hAnsi="Times New Roman" w:cs="Times New Roman"/>
          <w:lang w:val="uk-UA"/>
        </w:rPr>
        <w:t>ний IFN альфа і рибавірин можуть викликати анемію.</w:t>
      </w:r>
    </w:p>
    <w:p w14:paraId="5237190A" w14:textId="77777777" w:rsidR="00BA5C0A" w:rsidRPr="00BA5C0A" w:rsidRDefault="00BA5C0A" w:rsidP="00BA5C0A">
      <w:pPr>
        <w:jc w:val="both"/>
        <w:rPr>
          <w:rFonts w:ascii="Times New Roman" w:hAnsi="Times New Roman" w:cs="Times New Roman"/>
          <w:lang w:val="uk-UA"/>
        </w:rPr>
      </w:pPr>
    </w:p>
    <w:p w14:paraId="26C870CC" w14:textId="1CCFCCAB" w:rsidR="00BA5C0A" w:rsidRPr="00BA5C0A" w:rsidRDefault="00BF5774" w:rsidP="00BA5C0A">
      <w:pPr>
        <w:jc w:val="both"/>
        <w:rPr>
          <w:rFonts w:ascii="Times New Roman" w:hAnsi="Times New Roman" w:cs="Times New Roman"/>
          <w:lang w:val="uk-UA"/>
        </w:rPr>
      </w:pPr>
      <w:r>
        <w:rPr>
          <w:rFonts w:ascii="Times New Roman" w:hAnsi="Times New Roman" w:cs="Times New Roman"/>
          <w:lang w:val="uk-UA"/>
        </w:rPr>
        <w:t>Б</w:t>
      </w:r>
      <w:r w:rsidR="00BA5C0A" w:rsidRPr="00BA5C0A">
        <w:rPr>
          <w:rFonts w:ascii="Times New Roman" w:hAnsi="Times New Roman" w:cs="Times New Roman"/>
          <w:lang w:val="uk-UA"/>
        </w:rPr>
        <w:t xml:space="preserve">уло опубліковано </w:t>
      </w:r>
      <w:r>
        <w:rPr>
          <w:rFonts w:ascii="Times New Roman" w:hAnsi="Times New Roman" w:cs="Times New Roman"/>
          <w:lang w:val="uk-UA"/>
        </w:rPr>
        <w:t>не достатньо</w:t>
      </w:r>
      <w:r w:rsidR="00BA5C0A" w:rsidRPr="00BA5C0A">
        <w:rPr>
          <w:rFonts w:ascii="Times New Roman" w:hAnsi="Times New Roman" w:cs="Times New Roman"/>
          <w:lang w:val="uk-UA"/>
        </w:rPr>
        <w:t xml:space="preserve"> </w:t>
      </w:r>
      <w:r>
        <w:rPr>
          <w:rFonts w:ascii="Times New Roman" w:hAnsi="Times New Roman" w:cs="Times New Roman"/>
          <w:lang w:val="uk-UA"/>
        </w:rPr>
        <w:t xml:space="preserve">досліджень щодо </w:t>
      </w:r>
      <w:r w:rsidR="00972FAE">
        <w:rPr>
          <w:rFonts w:ascii="Times New Roman" w:hAnsi="Times New Roman" w:cs="Times New Roman"/>
          <w:lang w:val="uk-UA"/>
        </w:rPr>
        <w:t xml:space="preserve">лікування </w:t>
      </w:r>
      <w:r>
        <w:rPr>
          <w:rFonts w:ascii="Times New Roman" w:hAnsi="Times New Roman" w:cs="Times New Roman"/>
          <w:lang w:val="uk-UA"/>
        </w:rPr>
        <w:t>ВГС серед зазначеної групи пацієнтів, проте</w:t>
      </w:r>
      <w:r w:rsidR="00BA5C0A" w:rsidRPr="00BA5C0A">
        <w:rPr>
          <w:rFonts w:ascii="Times New Roman" w:hAnsi="Times New Roman" w:cs="Times New Roman"/>
          <w:lang w:val="uk-UA"/>
        </w:rPr>
        <w:t xml:space="preserve"> немає підстав вважати, що ПППД протипоказані. Наприклад, у дослідженні  CLD</w:t>
      </w:r>
      <w:r w:rsidR="00FC6D8A">
        <w:rPr>
          <w:rFonts w:ascii="Times New Roman" w:hAnsi="Times New Roman" w:cs="Times New Roman"/>
          <w:lang w:val="uk-UA"/>
        </w:rPr>
        <w:t>–</w:t>
      </w:r>
      <w:r w:rsidR="00BA5C0A" w:rsidRPr="00BA5C0A">
        <w:rPr>
          <w:rFonts w:ascii="Times New Roman" w:hAnsi="Times New Roman" w:cs="Times New Roman"/>
          <w:lang w:val="uk-UA"/>
        </w:rPr>
        <w:t xml:space="preserve">EDGE IBLD </w:t>
      </w:r>
      <w:r>
        <w:rPr>
          <w:rFonts w:ascii="Times New Roman" w:hAnsi="Times New Roman" w:cs="Times New Roman"/>
          <w:lang w:val="uk-UA"/>
        </w:rPr>
        <w:t xml:space="preserve">протягом 12 тижнів використовували </w:t>
      </w:r>
      <w:r w:rsidR="00BA5C0A" w:rsidRPr="00BA5C0A">
        <w:rPr>
          <w:rFonts w:ascii="Times New Roman" w:hAnsi="Times New Roman" w:cs="Times New Roman"/>
          <w:lang w:val="uk-UA"/>
        </w:rPr>
        <w:t>гразопревір та ельбасвір  пацієнт</w:t>
      </w:r>
      <w:r>
        <w:rPr>
          <w:rFonts w:ascii="Times New Roman" w:hAnsi="Times New Roman" w:cs="Times New Roman"/>
          <w:lang w:val="uk-UA"/>
        </w:rPr>
        <w:t>и</w:t>
      </w:r>
      <w:r w:rsidR="00BA5C0A" w:rsidRPr="00BA5C0A">
        <w:rPr>
          <w:rFonts w:ascii="Times New Roman" w:hAnsi="Times New Roman" w:cs="Times New Roman"/>
          <w:lang w:val="uk-UA"/>
        </w:rPr>
        <w:t xml:space="preserve"> з гемоглобінопатіями</w:t>
      </w:r>
      <w:r>
        <w:rPr>
          <w:rFonts w:ascii="Times New Roman" w:hAnsi="Times New Roman" w:cs="Times New Roman"/>
          <w:lang w:val="uk-UA"/>
        </w:rPr>
        <w:t xml:space="preserve"> та </w:t>
      </w:r>
      <w:r w:rsidR="00BA5C0A" w:rsidRPr="00BA5C0A">
        <w:rPr>
          <w:rFonts w:ascii="Times New Roman" w:hAnsi="Times New Roman" w:cs="Times New Roman"/>
          <w:lang w:val="uk-UA"/>
        </w:rPr>
        <w:t>генотипами 1а, 1b або 4. Приблизно у одного пацієнта з чотирьох був цироз печінки. Пацієнти з рівнем гемоглобіну &lt;7 г/дл були виключені</w:t>
      </w:r>
      <w:r>
        <w:rPr>
          <w:rFonts w:ascii="Times New Roman" w:hAnsi="Times New Roman" w:cs="Times New Roman"/>
          <w:lang w:val="uk-UA"/>
        </w:rPr>
        <w:t xml:space="preserve"> з дослідження</w:t>
      </w:r>
      <w:r w:rsidR="00BA5C0A" w:rsidRPr="00BA5C0A">
        <w:rPr>
          <w:rFonts w:ascii="Times New Roman" w:hAnsi="Times New Roman" w:cs="Times New Roman"/>
          <w:lang w:val="uk-UA"/>
        </w:rPr>
        <w:t>. СВВ12 була досягнута у 95% (18/19) пацієнтів з серповидно</w:t>
      </w:r>
      <w:r w:rsidR="00FC6D8A">
        <w:rPr>
          <w:rFonts w:ascii="Times New Roman" w:hAnsi="Times New Roman" w:cs="Times New Roman"/>
          <w:lang w:val="uk-UA"/>
        </w:rPr>
        <w:t>–</w:t>
      </w:r>
      <w:r w:rsidR="00BA5C0A" w:rsidRPr="00BA5C0A">
        <w:rPr>
          <w:rFonts w:ascii="Times New Roman" w:hAnsi="Times New Roman" w:cs="Times New Roman"/>
          <w:lang w:val="uk-UA"/>
        </w:rPr>
        <w:t>клітинною анемією та у 98% (40/41) пацієнтів з b</w:t>
      </w:r>
      <w:r w:rsidR="00FC6D8A">
        <w:rPr>
          <w:rFonts w:ascii="Times New Roman" w:hAnsi="Times New Roman" w:cs="Times New Roman"/>
          <w:lang w:val="uk-UA"/>
        </w:rPr>
        <w:t>–</w:t>
      </w:r>
      <w:r w:rsidR="00BA5C0A" w:rsidRPr="00BA5C0A">
        <w:rPr>
          <w:rFonts w:ascii="Times New Roman" w:hAnsi="Times New Roman" w:cs="Times New Roman"/>
          <w:lang w:val="uk-UA"/>
        </w:rPr>
        <w:t xml:space="preserve">таласемією. Під час лікування рівень гемоглобіну тримався незмінним </w:t>
      </w:r>
      <w:r w:rsidR="00BA5C0A" w:rsidRPr="00BA5C0A">
        <w:rPr>
          <w:rFonts w:ascii="Times New Roman" w:hAnsi="Times New Roman" w:cs="Times New Roman"/>
          <w:vertAlign w:val="superscript"/>
          <w:lang w:val="uk-UA"/>
        </w:rPr>
        <w:t>256</w:t>
      </w:r>
      <w:r w:rsidR="00BA5C0A" w:rsidRPr="00BA5C0A">
        <w:rPr>
          <w:rFonts w:ascii="Times New Roman" w:hAnsi="Times New Roman" w:cs="Times New Roman"/>
          <w:lang w:val="uk-UA"/>
        </w:rPr>
        <w:t xml:space="preserve">. Ці результати були </w:t>
      </w:r>
      <w:r w:rsidR="00BA5C0A" w:rsidRPr="00BA5C0A">
        <w:rPr>
          <w:rFonts w:ascii="Times New Roman" w:hAnsi="Times New Roman" w:cs="Times New Roman"/>
          <w:lang w:val="uk-UA"/>
        </w:rPr>
        <w:lastRenderedPageBreak/>
        <w:t>підтверджені в реальному когортному дослідженні, в якому 139 пацієнтів отримували схеми</w:t>
      </w:r>
      <w:r>
        <w:rPr>
          <w:rFonts w:ascii="Times New Roman" w:hAnsi="Times New Roman" w:cs="Times New Roman"/>
          <w:lang w:val="uk-UA"/>
        </w:rPr>
        <w:t xml:space="preserve"> </w:t>
      </w:r>
      <w:r w:rsidR="00BA5C0A" w:rsidRPr="00BA5C0A">
        <w:rPr>
          <w:rFonts w:ascii="Times New Roman" w:hAnsi="Times New Roman" w:cs="Times New Roman"/>
          <w:lang w:val="uk-UA"/>
        </w:rPr>
        <w:t>на основі софосбувіру</w:t>
      </w:r>
      <w:r>
        <w:rPr>
          <w:rFonts w:ascii="Times New Roman" w:hAnsi="Times New Roman" w:cs="Times New Roman"/>
          <w:lang w:val="uk-UA"/>
        </w:rPr>
        <w:t xml:space="preserve"> та </w:t>
      </w:r>
      <w:r w:rsidR="00BA5C0A" w:rsidRPr="00BA5C0A">
        <w:rPr>
          <w:rFonts w:ascii="Times New Roman" w:hAnsi="Times New Roman" w:cs="Times New Roman"/>
          <w:lang w:val="uk-UA"/>
        </w:rPr>
        <w:t>досягли СВВ у 93% випадків (130/139; 5 рецидивів).</w:t>
      </w:r>
      <w:r w:rsidR="00BA5C0A" w:rsidRPr="00BA5C0A">
        <w:rPr>
          <w:rFonts w:ascii="Times New Roman" w:hAnsi="Times New Roman" w:cs="Times New Roman"/>
          <w:vertAlign w:val="superscript"/>
          <w:lang w:val="uk-UA"/>
        </w:rPr>
        <w:t>257</w:t>
      </w:r>
    </w:p>
    <w:p w14:paraId="729C059E" w14:textId="77777777" w:rsidR="00BA5C0A" w:rsidRPr="00BA5C0A" w:rsidRDefault="00BA5C0A" w:rsidP="00BA5C0A">
      <w:pPr>
        <w:jc w:val="both"/>
        <w:rPr>
          <w:rFonts w:ascii="Times New Roman" w:hAnsi="Times New Roman" w:cs="Times New Roman"/>
          <w:lang w:val="uk-UA"/>
        </w:rPr>
      </w:pPr>
    </w:p>
    <w:p w14:paraId="6690717C" w14:textId="785E94DB"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Гемофілія є спадковим розладом згортання крові, викликаним дефіцитом VIII чи IX фактора в гемофілії А та В, відповідно. Пацієнти страждають спонтанними та травматичними кровотечами. Лікування грунтується на внутрішньовенній заміні цих факторів, які до недавнього часу вилучали з донорською плазми. </w:t>
      </w:r>
      <w:r w:rsidR="00972FAE">
        <w:rPr>
          <w:rFonts w:ascii="Times New Roman" w:hAnsi="Times New Roman" w:cs="Times New Roman"/>
          <w:lang w:val="uk-UA"/>
        </w:rPr>
        <w:t>Пацієнти</w:t>
      </w:r>
      <w:r w:rsidRPr="00BA5C0A">
        <w:rPr>
          <w:rFonts w:ascii="Times New Roman" w:hAnsi="Times New Roman" w:cs="Times New Roman"/>
          <w:lang w:val="uk-UA"/>
        </w:rPr>
        <w:t xml:space="preserve"> з гемофілією, яким надавалися неінактивовані концентратів до 1985 р., мали майже 100% шанс заразитися ВГС при їх першому контакті з концентратом. Існує ряд інших успадкованих порушень згортання крові, які підлягають лікуванню концентратами, у тому числі хвороба фон Віллебранда та дефіцитом фібриногену та факторів II, VII, X, XI та XIII.</w:t>
      </w:r>
    </w:p>
    <w:p w14:paraId="4E5EA240" w14:textId="77777777" w:rsidR="00BA5C0A" w:rsidRPr="00BA5C0A" w:rsidRDefault="00BA5C0A" w:rsidP="00BA5C0A">
      <w:pPr>
        <w:jc w:val="both"/>
        <w:rPr>
          <w:rFonts w:ascii="Times New Roman" w:hAnsi="Times New Roman" w:cs="Times New Roman"/>
          <w:lang w:val="uk-UA"/>
        </w:rPr>
      </w:pPr>
    </w:p>
    <w:p w14:paraId="1F8342ED" w14:textId="03DA1BD3"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 xml:space="preserve">Прогресування  захворювання печінки у хворих на гемофілію </w:t>
      </w:r>
      <w:r w:rsidR="00972FAE">
        <w:rPr>
          <w:rFonts w:ascii="Times New Roman" w:hAnsi="Times New Roman" w:cs="Times New Roman"/>
          <w:lang w:val="uk-UA"/>
        </w:rPr>
        <w:t xml:space="preserve">відбувається як і у </w:t>
      </w:r>
      <w:r w:rsidRPr="00BA5C0A">
        <w:rPr>
          <w:rFonts w:ascii="Times New Roman" w:hAnsi="Times New Roman" w:cs="Times New Roman"/>
          <w:lang w:val="uk-UA"/>
        </w:rPr>
        <w:t>ВГС</w:t>
      </w:r>
      <w:r w:rsidR="00FC6D8A">
        <w:rPr>
          <w:rFonts w:ascii="Times New Roman" w:hAnsi="Times New Roman" w:cs="Times New Roman"/>
          <w:lang w:val="uk-UA"/>
        </w:rPr>
        <w:t>–</w:t>
      </w:r>
      <w:r w:rsidRPr="00BA5C0A">
        <w:rPr>
          <w:rFonts w:ascii="Times New Roman" w:hAnsi="Times New Roman" w:cs="Times New Roman"/>
          <w:lang w:val="uk-UA"/>
        </w:rPr>
        <w:t xml:space="preserve">позитивних осіб у загальній популяції. Неінвазивні методи можуть бути використані для моніторингу прогресування захворювання. </w:t>
      </w:r>
      <w:r w:rsidR="00FB5913">
        <w:rPr>
          <w:rFonts w:ascii="Times New Roman" w:hAnsi="Times New Roman" w:cs="Times New Roman"/>
          <w:lang w:val="uk-UA"/>
        </w:rPr>
        <w:t>Найчастішою причиною с</w:t>
      </w:r>
      <w:r w:rsidRPr="00BA5C0A">
        <w:rPr>
          <w:rFonts w:ascii="Times New Roman" w:hAnsi="Times New Roman" w:cs="Times New Roman"/>
          <w:lang w:val="uk-UA"/>
        </w:rPr>
        <w:t>мерт</w:t>
      </w:r>
      <w:r w:rsidR="00FB5913">
        <w:rPr>
          <w:rFonts w:ascii="Times New Roman" w:hAnsi="Times New Roman" w:cs="Times New Roman"/>
          <w:lang w:val="uk-UA"/>
        </w:rPr>
        <w:t>і</w:t>
      </w:r>
      <w:r w:rsidRPr="00BA5C0A">
        <w:rPr>
          <w:rFonts w:ascii="Times New Roman" w:hAnsi="Times New Roman" w:cs="Times New Roman"/>
          <w:lang w:val="uk-UA"/>
        </w:rPr>
        <w:t xml:space="preserve"> </w:t>
      </w:r>
      <w:r w:rsidR="00FB5913" w:rsidRPr="00BA5C0A">
        <w:rPr>
          <w:rFonts w:ascii="Times New Roman" w:hAnsi="Times New Roman" w:cs="Times New Roman"/>
          <w:lang w:val="uk-UA"/>
        </w:rPr>
        <w:t xml:space="preserve">у </w:t>
      </w:r>
      <w:r w:rsidR="00FB5913">
        <w:rPr>
          <w:rFonts w:ascii="Times New Roman" w:hAnsi="Times New Roman" w:cs="Times New Roman"/>
          <w:lang w:val="uk-UA"/>
        </w:rPr>
        <w:t xml:space="preserve">ВГС </w:t>
      </w:r>
      <w:r w:rsidR="00FC6D8A">
        <w:rPr>
          <w:rFonts w:ascii="Times New Roman" w:hAnsi="Times New Roman" w:cs="Times New Roman"/>
          <w:lang w:val="uk-UA"/>
        </w:rPr>
        <w:t>–</w:t>
      </w:r>
      <w:r w:rsidR="00FB5913">
        <w:rPr>
          <w:rFonts w:ascii="Times New Roman" w:hAnsi="Times New Roman" w:cs="Times New Roman"/>
          <w:lang w:val="uk-UA"/>
        </w:rPr>
        <w:t xml:space="preserve">позитивних </w:t>
      </w:r>
      <w:r w:rsidR="00FB5913" w:rsidRPr="00BA5C0A">
        <w:rPr>
          <w:rFonts w:ascii="Times New Roman" w:hAnsi="Times New Roman" w:cs="Times New Roman"/>
          <w:lang w:val="uk-UA"/>
        </w:rPr>
        <w:t>пацієнтів з успадкованими порушеннями згортання крові</w:t>
      </w:r>
      <w:r w:rsidR="00FB5913">
        <w:rPr>
          <w:rFonts w:ascii="Times New Roman" w:hAnsi="Times New Roman" w:cs="Times New Roman"/>
          <w:lang w:val="uk-UA"/>
        </w:rPr>
        <w:t xml:space="preserve"> є</w:t>
      </w:r>
      <w:r w:rsidRPr="00BA5C0A">
        <w:rPr>
          <w:rFonts w:ascii="Times New Roman" w:hAnsi="Times New Roman" w:cs="Times New Roman"/>
          <w:lang w:val="uk-UA"/>
        </w:rPr>
        <w:t xml:space="preserve"> печінков</w:t>
      </w:r>
      <w:r w:rsidR="00FB5913">
        <w:rPr>
          <w:rFonts w:ascii="Times New Roman" w:hAnsi="Times New Roman" w:cs="Times New Roman"/>
          <w:lang w:val="uk-UA"/>
        </w:rPr>
        <w:t>а</w:t>
      </w:r>
      <w:r w:rsidRPr="00BA5C0A">
        <w:rPr>
          <w:rFonts w:ascii="Times New Roman" w:hAnsi="Times New Roman" w:cs="Times New Roman"/>
          <w:lang w:val="uk-UA"/>
        </w:rPr>
        <w:t xml:space="preserve"> недостатн</w:t>
      </w:r>
      <w:r w:rsidR="00FB5913">
        <w:rPr>
          <w:rFonts w:ascii="Times New Roman" w:hAnsi="Times New Roman" w:cs="Times New Roman"/>
          <w:lang w:val="uk-UA"/>
        </w:rPr>
        <w:t>і</w:t>
      </w:r>
      <w:r w:rsidRPr="00BA5C0A">
        <w:rPr>
          <w:rFonts w:ascii="Times New Roman" w:hAnsi="Times New Roman" w:cs="Times New Roman"/>
          <w:lang w:val="uk-UA"/>
        </w:rPr>
        <w:t>ст</w:t>
      </w:r>
      <w:r w:rsidR="00FB5913">
        <w:rPr>
          <w:rFonts w:ascii="Times New Roman" w:hAnsi="Times New Roman" w:cs="Times New Roman"/>
          <w:lang w:val="uk-UA"/>
        </w:rPr>
        <w:t xml:space="preserve">ь. </w:t>
      </w:r>
      <w:r w:rsidRPr="00BA5C0A">
        <w:rPr>
          <w:rFonts w:ascii="Times New Roman" w:hAnsi="Times New Roman" w:cs="Times New Roman"/>
          <w:lang w:val="uk-UA"/>
        </w:rPr>
        <w:t xml:space="preserve">Лікування хронічного гепатиту С при гемофілії подібне до лікування пацієнтів, які не страждають на гемофілію, </w:t>
      </w:r>
      <w:r w:rsidR="00390C1E">
        <w:rPr>
          <w:rFonts w:ascii="Times New Roman" w:hAnsi="Times New Roman" w:cs="Times New Roman"/>
          <w:lang w:val="uk-UA"/>
        </w:rPr>
        <w:t>зважаючи на що,</w:t>
      </w:r>
      <w:r w:rsidRPr="00BA5C0A">
        <w:rPr>
          <w:rFonts w:ascii="Times New Roman" w:hAnsi="Times New Roman" w:cs="Times New Roman"/>
          <w:lang w:val="uk-UA"/>
        </w:rPr>
        <w:t xml:space="preserve"> пацієнтам з гемофілією призначають схеми засновані на ПППД. У дослідженні з фіксованою дозою комбінації гразопревіру та ельбасвіру, яка приймалася протягом 12 тижнів без рибавірину, СВВ12 була досягнута у 91% (42/46) пацієнтів з хворобою фон Віллебранда </w:t>
      </w:r>
      <w:r w:rsidR="00FB5913">
        <w:rPr>
          <w:rFonts w:ascii="Times New Roman" w:hAnsi="Times New Roman" w:cs="Times New Roman"/>
          <w:lang w:val="uk-UA"/>
        </w:rPr>
        <w:t>та</w:t>
      </w:r>
      <w:r w:rsidR="00FB5913" w:rsidRPr="00BA5C0A">
        <w:rPr>
          <w:rFonts w:ascii="Times New Roman" w:hAnsi="Times New Roman" w:cs="Times New Roman"/>
          <w:lang w:val="uk-UA"/>
        </w:rPr>
        <w:t xml:space="preserve"> </w:t>
      </w:r>
      <w:r w:rsidRPr="00BA5C0A">
        <w:rPr>
          <w:rFonts w:ascii="Times New Roman" w:hAnsi="Times New Roman" w:cs="Times New Roman"/>
          <w:lang w:val="uk-UA"/>
        </w:rPr>
        <w:t>гемофілією А або В.</w:t>
      </w:r>
      <w:r w:rsidRPr="00BA5C0A">
        <w:rPr>
          <w:rFonts w:ascii="Times New Roman" w:hAnsi="Times New Roman" w:cs="Times New Roman"/>
          <w:vertAlign w:val="superscript"/>
          <w:lang w:val="uk-UA"/>
        </w:rPr>
        <w:t>256</w:t>
      </w:r>
    </w:p>
    <w:p w14:paraId="09AB3121" w14:textId="77777777" w:rsidR="00BA5C0A" w:rsidRPr="00BA5C0A" w:rsidRDefault="00BA5C0A" w:rsidP="00BA5C0A">
      <w:pPr>
        <w:jc w:val="both"/>
        <w:rPr>
          <w:rFonts w:ascii="Times New Roman" w:hAnsi="Times New Roman" w:cs="Times New Roman"/>
          <w:lang w:val="uk-UA"/>
        </w:rPr>
      </w:pPr>
    </w:p>
    <w:p w14:paraId="078866DB" w14:textId="4902A5E7" w:rsidR="00BA5C0A" w:rsidRPr="0094360A" w:rsidRDefault="00BA5C0A" w:rsidP="00BA5C0A">
      <w:pPr>
        <w:jc w:val="both"/>
        <w:rPr>
          <w:rFonts w:ascii="Times New Roman" w:hAnsi="Times New Roman" w:cs="Times New Roman"/>
          <w:lang w:val="uk-UA"/>
        </w:rPr>
      </w:pPr>
      <w:r w:rsidRPr="00BA5C0A">
        <w:rPr>
          <w:rFonts w:ascii="Times New Roman" w:hAnsi="Times New Roman" w:cs="Times New Roman"/>
          <w:lang w:val="uk-UA"/>
        </w:rPr>
        <w:t>Більше 100 трансплантацій печінки провели пацієнтам з гемофілією у всьому світі. Концентрат фактора VIII/IX вводять безпосередньо перед операцією</w:t>
      </w:r>
      <w:r w:rsidR="00135F6C">
        <w:rPr>
          <w:rFonts w:ascii="Times New Roman" w:hAnsi="Times New Roman" w:cs="Times New Roman"/>
          <w:lang w:val="uk-UA"/>
        </w:rPr>
        <w:t xml:space="preserve"> шляхом введення ін’єкції болюсно</w:t>
      </w:r>
      <w:r w:rsidRPr="00BA5C0A">
        <w:rPr>
          <w:rFonts w:ascii="Times New Roman" w:hAnsi="Times New Roman" w:cs="Times New Roman"/>
          <w:lang w:val="uk-UA"/>
        </w:rPr>
        <w:t xml:space="preserve"> або </w:t>
      </w:r>
      <w:r w:rsidR="00135F6C">
        <w:rPr>
          <w:rFonts w:ascii="Times New Roman" w:hAnsi="Times New Roman" w:cs="Times New Roman"/>
          <w:lang w:val="uk-UA"/>
        </w:rPr>
        <w:t>шляхом безперервної інфузії і</w:t>
      </w:r>
      <w:r w:rsidRPr="00BA5C0A">
        <w:rPr>
          <w:rFonts w:ascii="Times New Roman" w:hAnsi="Times New Roman" w:cs="Times New Roman"/>
          <w:lang w:val="uk-UA"/>
        </w:rPr>
        <w:t xml:space="preserve"> також</w:t>
      </w:r>
      <w:r w:rsidR="00FB5913">
        <w:rPr>
          <w:rFonts w:ascii="Times New Roman" w:hAnsi="Times New Roman" w:cs="Times New Roman"/>
          <w:lang w:val="uk-UA"/>
        </w:rPr>
        <w:t xml:space="preserve"> у</w:t>
      </w:r>
      <w:r w:rsidRPr="00BA5C0A">
        <w:rPr>
          <w:rFonts w:ascii="Times New Roman" w:hAnsi="Times New Roman" w:cs="Times New Roman"/>
          <w:lang w:val="uk-UA"/>
        </w:rPr>
        <w:t xml:space="preserve"> післяопераційний період протягом 12</w:t>
      </w:r>
      <w:r w:rsidR="00FC6D8A">
        <w:rPr>
          <w:rFonts w:ascii="Times New Roman" w:hAnsi="Times New Roman" w:cs="Times New Roman"/>
          <w:lang w:val="uk-UA"/>
        </w:rPr>
        <w:t>–</w:t>
      </w:r>
      <w:r w:rsidRPr="00BA5C0A">
        <w:rPr>
          <w:rFonts w:ascii="Times New Roman" w:hAnsi="Times New Roman" w:cs="Times New Roman"/>
          <w:lang w:val="uk-UA"/>
        </w:rPr>
        <w:t xml:space="preserve">48 годин, після чого концентрат не потрібен. Коінфекція ВІЛ та ВГС не є протипоказанням до трансплантації печінки при гемофілії. Показання до трансплантації печінки у пацієнтів з гемофілією такі ж, як і у тих, хто не має гемофілії, </w:t>
      </w:r>
      <w:r w:rsidRPr="008D650D">
        <w:rPr>
          <w:rFonts w:ascii="Times New Roman" w:hAnsi="Times New Roman" w:cs="Times New Roman"/>
          <w:lang w:val="uk-UA"/>
        </w:rPr>
        <w:t xml:space="preserve">однак ця процедура має перевагу у лікуванні гемофілії в результаті </w:t>
      </w:r>
      <w:r w:rsidR="008D650D" w:rsidRPr="008D650D">
        <w:rPr>
          <w:rFonts w:ascii="Times New Roman" w:hAnsi="Times New Roman" w:cs="Times New Roman"/>
          <w:lang w:val="uk-UA"/>
        </w:rPr>
        <w:t>утворення</w:t>
      </w:r>
      <w:r w:rsidRPr="008D650D">
        <w:rPr>
          <w:rFonts w:ascii="Times New Roman" w:hAnsi="Times New Roman" w:cs="Times New Roman"/>
          <w:lang w:val="uk-UA"/>
        </w:rPr>
        <w:t xml:space="preserve"> фактора VIII пересадженою печінкою.</w:t>
      </w:r>
    </w:p>
    <w:p w14:paraId="16DE84F3" w14:textId="77777777" w:rsidR="00BA5C0A" w:rsidRPr="00BA5C0A" w:rsidRDefault="00BA5C0A" w:rsidP="00BA5C0A">
      <w:pPr>
        <w:jc w:val="both"/>
        <w:rPr>
          <w:rFonts w:ascii="Times New Roman" w:hAnsi="Times New Roman" w:cs="Times New Roman"/>
          <w:lang w:val="uk-UA"/>
        </w:rPr>
      </w:pPr>
    </w:p>
    <w:tbl>
      <w:tblPr>
        <w:tblW w:w="983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BA5C0A" w:rsidRPr="0080595E" w14:paraId="38B7AE8C" w14:textId="77777777" w:rsidTr="00390C1E">
        <w:trPr>
          <w:trHeight w:val="544"/>
        </w:trPr>
        <w:tc>
          <w:tcPr>
            <w:tcW w:w="9836" w:type="dxa"/>
            <w:shd w:val="clear" w:color="auto" w:fill="BDD6EE" w:themeFill="accent1" w:themeFillTint="66"/>
          </w:tcPr>
          <w:p w14:paraId="719F2A40" w14:textId="52248376" w:rsidR="00BA5C0A" w:rsidRDefault="00BA5C0A" w:rsidP="00BA5C0A">
            <w:pPr>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Рекомендації</w:t>
            </w:r>
          </w:p>
          <w:p w14:paraId="5DD425EC" w14:textId="77777777" w:rsidR="00390C1E" w:rsidRPr="00BA5C0A" w:rsidRDefault="00390C1E" w:rsidP="00BA5C0A">
            <w:pPr>
              <w:jc w:val="both"/>
              <w:rPr>
                <w:rFonts w:ascii="Times New Roman" w:hAnsi="Times New Roman" w:cs="Times New Roman"/>
                <w:b/>
                <w:color w:val="4472C4" w:themeColor="accent5"/>
                <w:lang w:val="uk-UA"/>
              </w:rPr>
            </w:pPr>
          </w:p>
          <w:p w14:paraId="0224E080" w14:textId="0048AC41" w:rsidR="00BA5C0A" w:rsidRPr="00BA5C0A" w:rsidRDefault="00BA5C0A" w:rsidP="00015E3B">
            <w:pPr>
              <w:numPr>
                <w:ilvl w:val="0"/>
                <w:numId w:val="50"/>
              </w:numPr>
              <w:contextualSpacing/>
              <w:jc w:val="both"/>
              <w:rPr>
                <w:rFonts w:ascii="Times New Roman" w:hAnsi="Times New Roman" w:cs="Times New Roman"/>
                <w:lang w:val="uk-UA"/>
              </w:rPr>
            </w:pPr>
            <w:r w:rsidRPr="00BA5C0A">
              <w:rPr>
                <w:rFonts w:ascii="Times New Roman" w:hAnsi="Times New Roman" w:cs="Times New Roman"/>
                <w:lang w:val="uk-UA"/>
              </w:rPr>
              <w:t>Показання для терапії ВГС однакові у пацієнтів з та без гемоглобінопатії або з розладами згортання</w:t>
            </w:r>
            <w:r w:rsidR="00885DAA" w:rsidRPr="0094360A">
              <w:rPr>
                <w:rFonts w:ascii="Times New Roman" w:hAnsi="Times New Roman" w:cs="Times New Roman"/>
              </w:rPr>
              <w:t xml:space="preserve"> </w:t>
            </w:r>
            <w:r w:rsidR="00885DAA">
              <w:rPr>
                <w:rFonts w:ascii="Times New Roman" w:hAnsi="Times New Roman" w:cs="Times New Roman"/>
                <w:lang w:val="uk-UA"/>
              </w:rPr>
              <w:t>крові</w:t>
            </w:r>
            <w:r w:rsidRPr="00BA5C0A">
              <w:rPr>
                <w:rFonts w:ascii="Times New Roman" w:hAnsi="Times New Roman" w:cs="Times New Roman"/>
                <w:lang w:val="uk-UA"/>
              </w:rPr>
              <w:t xml:space="preserve"> і без них (А1).</w:t>
            </w:r>
          </w:p>
          <w:p w14:paraId="5BC53CBB" w14:textId="66540868" w:rsidR="00BA5C0A" w:rsidRPr="00BA5C0A" w:rsidRDefault="00BA5C0A" w:rsidP="00885DAA">
            <w:pPr>
              <w:numPr>
                <w:ilvl w:val="0"/>
                <w:numId w:val="50"/>
              </w:numPr>
              <w:contextualSpacing/>
              <w:jc w:val="both"/>
              <w:rPr>
                <w:rFonts w:ascii="Times New Roman" w:hAnsi="Times New Roman" w:cs="Times New Roman"/>
                <w:lang w:val="uk-UA"/>
              </w:rPr>
            </w:pPr>
            <w:r w:rsidRPr="00BA5C0A">
              <w:rPr>
                <w:rFonts w:ascii="Times New Roman" w:hAnsi="Times New Roman" w:cs="Times New Roman"/>
                <w:lang w:val="uk-UA"/>
              </w:rPr>
              <w:t>Без</w:t>
            </w:r>
            <w:r w:rsidR="00885DAA">
              <w:rPr>
                <w:rFonts w:ascii="Times New Roman" w:hAnsi="Times New Roman" w:cs="Times New Roman"/>
                <w:lang w:val="uk-UA"/>
              </w:rPr>
              <w:t>інтерферонові схеми лікування</w:t>
            </w:r>
            <w:r w:rsidRPr="00BA5C0A">
              <w:rPr>
                <w:rFonts w:ascii="Times New Roman" w:hAnsi="Times New Roman" w:cs="Times New Roman"/>
                <w:lang w:val="uk-UA"/>
              </w:rPr>
              <w:t xml:space="preserve"> та схеми без рибавірину можуть застосовуватися у пацієнтів з гемоглобінопатіями або розладами </w:t>
            </w:r>
            <w:r w:rsidR="00885DAA">
              <w:rPr>
                <w:rFonts w:ascii="Times New Roman" w:hAnsi="Times New Roman" w:cs="Times New Roman"/>
                <w:lang w:val="uk-UA"/>
              </w:rPr>
              <w:t>згортання крові</w:t>
            </w:r>
            <w:r w:rsidRPr="00BA5C0A">
              <w:rPr>
                <w:rFonts w:ascii="Times New Roman" w:hAnsi="Times New Roman" w:cs="Times New Roman"/>
                <w:lang w:val="uk-UA"/>
              </w:rPr>
              <w:t xml:space="preserve">, як </w:t>
            </w:r>
            <w:r w:rsidR="00FB5913">
              <w:rPr>
                <w:rFonts w:ascii="Times New Roman" w:hAnsi="Times New Roman" w:cs="Times New Roman"/>
                <w:lang w:val="uk-UA"/>
              </w:rPr>
              <w:t xml:space="preserve">і </w:t>
            </w:r>
            <w:r w:rsidRPr="00BA5C0A">
              <w:rPr>
                <w:rFonts w:ascii="Times New Roman" w:hAnsi="Times New Roman" w:cs="Times New Roman"/>
                <w:lang w:val="uk-UA"/>
              </w:rPr>
              <w:t xml:space="preserve">у пацієнтів без гемоглобінопатії або порушень </w:t>
            </w:r>
            <w:r w:rsidR="00885DAA">
              <w:rPr>
                <w:rFonts w:ascii="Times New Roman" w:hAnsi="Times New Roman" w:cs="Times New Roman"/>
                <w:lang w:val="uk-UA"/>
              </w:rPr>
              <w:t>згортання крові</w:t>
            </w:r>
            <w:r w:rsidRPr="00BA5C0A">
              <w:rPr>
                <w:rFonts w:ascii="Times New Roman" w:hAnsi="Times New Roman" w:cs="Times New Roman"/>
                <w:lang w:val="uk-UA"/>
              </w:rPr>
              <w:t xml:space="preserve"> (В1).</w:t>
            </w:r>
          </w:p>
        </w:tc>
      </w:tr>
    </w:tbl>
    <w:p w14:paraId="79B00ED1" w14:textId="77777777" w:rsidR="00BA5C0A" w:rsidRPr="00BA5C0A" w:rsidRDefault="00BA5C0A" w:rsidP="00BA5C0A">
      <w:pPr>
        <w:jc w:val="both"/>
        <w:rPr>
          <w:rFonts w:ascii="Times New Roman" w:hAnsi="Times New Roman" w:cs="Times New Roman"/>
          <w:b/>
          <w:color w:val="4472C4" w:themeColor="accent5"/>
          <w:sz w:val="36"/>
          <w:szCs w:val="36"/>
          <w:lang w:val="uk-UA"/>
        </w:rPr>
      </w:pPr>
    </w:p>
    <w:p w14:paraId="72355F95" w14:textId="77777777" w:rsidR="00BA5C0A" w:rsidRPr="00390C1E" w:rsidRDefault="00BA5C0A" w:rsidP="00BA5C0A">
      <w:pPr>
        <w:jc w:val="both"/>
        <w:rPr>
          <w:rFonts w:ascii="Times New Roman" w:hAnsi="Times New Roman" w:cs="Times New Roman"/>
          <w:b/>
          <w:color w:val="4472C4" w:themeColor="accent5"/>
          <w:sz w:val="32"/>
          <w:szCs w:val="32"/>
          <w:lang w:val="uk-UA"/>
        </w:rPr>
      </w:pPr>
      <w:r w:rsidRPr="00390C1E">
        <w:rPr>
          <w:rFonts w:ascii="Times New Roman" w:hAnsi="Times New Roman" w:cs="Times New Roman"/>
          <w:b/>
          <w:color w:val="4472C4" w:themeColor="accent5"/>
          <w:sz w:val="32"/>
          <w:szCs w:val="32"/>
          <w:lang w:val="uk-UA"/>
        </w:rPr>
        <w:t>Підлітки та діти</w:t>
      </w:r>
    </w:p>
    <w:p w14:paraId="04A0DA7B" w14:textId="77777777" w:rsidR="00BA5C0A" w:rsidRPr="00BA5C0A" w:rsidRDefault="00BA5C0A" w:rsidP="00BA5C0A">
      <w:pPr>
        <w:jc w:val="both"/>
        <w:rPr>
          <w:rFonts w:ascii="Times New Roman" w:hAnsi="Times New Roman" w:cs="Times New Roman"/>
          <w:b/>
          <w:color w:val="4472C4" w:themeColor="accent5"/>
          <w:sz w:val="36"/>
          <w:szCs w:val="36"/>
          <w:lang w:val="uk-UA"/>
        </w:rPr>
      </w:pPr>
    </w:p>
    <w:p w14:paraId="29EA6432" w14:textId="5C98EE9E"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Вважається, що близько 3,5 мільйонів дітей у світі у віці від 1 до 15 років </w:t>
      </w:r>
      <w:r w:rsidR="00FD0576">
        <w:rPr>
          <w:rFonts w:ascii="Times New Roman" w:hAnsi="Times New Roman" w:cs="Times New Roman"/>
          <w:color w:val="000000" w:themeColor="text1"/>
          <w:lang w:val="uk-UA"/>
        </w:rPr>
        <w:t xml:space="preserve">мають </w:t>
      </w:r>
      <w:r w:rsidRPr="00BA5C0A">
        <w:rPr>
          <w:rFonts w:ascii="Times New Roman" w:hAnsi="Times New Roman" w:cs="Times New Roman"/>
          <w:color w:val="000000" w:themeColor="text1"/>
          <w:lang w:val="uk-UA"/>
        </w:rPr>
        <w:t>хроніч</w:t>
      </w:r>
      <w:r w:rsidR="00FD0576">
        <w:rPr>
          <w:rFonts w:ascii="Times New Roman" w:hAnsi="Times New Roman" w:cs="Times New Roman"/>
          <w:color w:val="000000" w:themeColor="text1"/>
          <w:lang w:val="uk-UA"/>
        </w:rPr>
        <w:t>ний</w:t>
      </w:r>
      <w:r w:rsidRPr="00BA5C0A">
        <w:rPr>
          <w:rFonts w:ascii="Times New Roman" w:hAnsi="Times New Roman" w:cs="Times New Roman"/>
          <w:color w:val="000000" w:themeColor="text1"/>
          <w:lang w:val="uk-UA"/>
        </w:rPr>
        <w:t xml:space="preserve">  ВГС. </w:t>
      </w:r>
      <w:r w:rsidR="00FD0576">
        <w:rPr>
          <w:rFonts w:ascii="Times New Roman" w:hAnsi="Times New Roman" w:cs="Times New Roman"/>
          <w:color w:val="000000" w:themeColor="text1"/>
          <w:lang w:val="uk-UA"/>
        </w:rPr>
        <w:t>Вертикальна п</w:t>
      </w:r>
      <w:r w:rsidRPr="00BA5C0A">
        <w:rPr>
          <w:rFonts w:ascii="Times New Roman" w:hAnsi="Times New Roman" w:cs="Times New Roman"/>
          <w:color w:val="000000" w:themeColor="text1"/>
          <w:lang w:val="uk-UA"/>
        </w:rPr>
        <w:t xml:space="preserve">ередача </w:t>
      </w:r>
      <w:r w:rsidR="00FD0576">
        <w:rPr>
          <w:rFonts w:ascii="Times New Roman" w:hAnsi="Times New Roman" w:cs="Times New Roman"/>
          <w:color w:val="000000" w:themeColor="text1"/>
          <w:lang w:val="uk-UA"/>
        </w:rPr>
        <w:t xml:space="preserve">вірусу від матері до дитини </w:t>
      </w:r>
      <w:r w:rsidRPr="00BA5C0A">
        <w:rPr>
          <w:rFonts w:ascii="Times New Roman" w:hAnsi="Times New Roman" w:cs="Times New Roman"/>
          <w:color w:val="000000" w:themeColor="text1"/>
          <w:lang w:val="uk-UA"/>
        </w:rPr>
        <w:t xml:space="preserve"> є основним шляхом інфікування</w:t>
      </w:r>
      <w:r w:rsidR="00FD0576">
        <w:rPr>
          <w:rFonts w:ascii="Times New Roman" w:hAnsi="Times New Roman" w:cs="Times New Roman"/>
          <w:color w:val="000000" w:themeColor="text1"/>
          <w:lang w:val="uk-UA"/>
        </w:rPr>
        <w:t xml:space="preserve"> дітей</w:t>
      </w:r>
      <w:r w:rsidRPr="00BA5C0A">
        <w:rPr>
          <w:rFonts w:ascii="Times New Roman" w:hAnsi="Times New Roman" w:cs="Times New Roman"/>
          <w:color w:val="000000" w:themeColor="text1"/>
          <w:lang w:val="uk-UA"/>
        </w:rPr>
        <w:t xml:space="preserve">, але в деяких країнах зустрічаються інші </w:t>
      </w:r>
      <w:r w:rsidR="00FD0576">
        <w:rPr>
          <w:rFonts w:ascii="Times New Roman" w:hAnsi="Times New Roman" w:cs="Times New Roman"/>
          <w:color w:val="000000" w:themeColor="text1"/>
          <w:lang w:val="uk-UA"/>
        </w:rPr>
        <w:t>шляхи</w:t>
      </w:r>
      <w:r w:rsidRPr="00BA5C0A">
        <w:rPr>
          <w:rFonts w:ascii="Times New Roman" w:hAnsi="Times New Roman" w:cs="Times New Roman"/>
          <w:color w:val="000000" w:themeColor="text1"/>
          <w:lang w:val="uk-UA"/>
        </w:rPr>
        <w:t xml:space="preserve"> інфікування, включаючи нозокоміальну передачу. Підлітки піддаються </w:t>
      </w:r>
      <w:r w:rsidR="00FD0576">
        <w:rPr>
          <w:rFonts w:ascii="Times New Roman" w:hAnsi="Times New Roman" w:cs="Times New Roman"/>
          <w:color w:val="000000" w:themeColor="text1"/>
          <w:lang w:val="uk-UA"/>
        </w:rPr>
        <w:t xml:space="preserve">додатковому </w:t>
      </w:r>
      <w:r w:rsidRPr="00BA5C0A">
        <w:rPr>
          <w:rFonts w:ascii="Times New Roman" w:hAnsi="Times New Roman" w:cs="Times New Roman"/>
          <w:color w:val="000000" w:themeColor="text1"/>
          <w:lang w:val="uk-UA"/>
        </w:rPr>
        <w:t xml:space="preserve">ризику </w:t>
      </w:r>
      <w:r w:rsidR="00FD0576">
        <w:rPr>
          <w:rFonts w:ascii="Times New Roman" w:hAnsi="Times New Roman" w:cs="Times New Roman"/>
          <w:color w:val="000000" w:themeColor="text1"/>
          <w:lang w:val="uk-UA"/>
        </w:rPr>
        <w:t>інфікування у випадку</w:t>
      </w:r>
      <w:r w:rsidRPr="00BA5C0A">
        <w:rPr>
          <w:rFonts w:ascii="Times New Roman" w:hAnsi="Times New Roman" w:cs="Times New Roman"/>
          <w:color w:val="000000" w:themeColor="text1"/>
          <w:lang w:val="uk-UA"/>
        </w:rPr>
        <w:t xml:space="preserve"> вживання ін'єкційних наркотиків. </w:t>
      </w:r>
      <w:r w:rsidR="00FD0576">
        <w:rPr>
          <w:rFonts w:ascii="Times New Roman" w:hAnsi="Times New Roman" w:cs="Times New Roman"/>
          <w:color w:val="000000" w:themeColor="text1"/>
          <w:lang w:val="uk-UA"/>
        </w:rPr>
        <w:t xml:space="preserve">Вірогідність </w:t>
      </w:r>
      <w:r w:rsidRPr="00BA5C0A">
        <w:rPr>
          <w:rFonts w:ascii="Times New Roman" w:hAnsi="Times New Roman" w:cs="Times New Roman"/>
          <w:color w:val="000000" w:themeColor="text1"/>
          <w:lang w:val="uk-UA"/>
        </w:rPr>
        <w:t xml:space="preserve">передачі </w:t>
      </w:r>
      <w:r w:rsidR="00FD0576">
        <w:rPr>
          <w:rFonts w:ascii="Times New Roman" w:hAnsi="Times New Roman" w:cs="Times New Roman"/>
          <w:color w:val="000000" w:themeColor="text1"/>
          <w:lang w:val="uk-UA"/>
        </w:rPr>
        <w:t xml:space="preserve">ВГС від матері до дитини </w:t>
      </w:r>
      <w:r w:rsidRPr="00BA5C0A">
        <w:rPr>
          <w:rFonts w:ascii="Times New Roman" w:hAnsi="Times New Roman" w:cs="Times New Roman"/>
          <w:color w:val="000000" w:themeColor="text1"/>
          <w:lang w:val="uk-UA"/>
        </w:rPr>
        <w:t xml:space="preserve">вища </w:t>
      </w:r>
      <w:r w:rsidR="00FD0576">
        <w:rPr>
          <w:rFonts w:ascii="Times New Roman" w:hAnsi="Times New Roman" w:cs="Times New Roman"/>
          <w:color w:val="000000" w:themeColor="text1"/>
          <w:lang w:val="uk-UA"/>
        </w:rPr>
        <w:t>у випадку наявності у вагітної жінки</w:t>
      </w:r>
      <w:r w:rsidRPr="00BA5C0A">
        <w:rPr>
          <w:rFonts w:ascii="Times New Roman" w:hAnsi="Times New Roman" w:cs="Times New Roman"/>
          <w:color w:val="000000" w:themeColor="text1"/>
          <w:lang w:val="uk-UA"/>
        </w:rPr>
        <w:t xml:space="preserve"> ВІЛ</w:t>
      </w:r>
      <w:r w:rsidR="00FD0576">
        <w:rPr>
          <w:rFonts w:ascii="Times New Roman" w:hAnsi="Times New Roman" w:cs="Times New Roman"/>
          <w:color w:val="000000" w:themeColor="text1"/>
          <w:lang w:val="uk-UA"/>
        </w:rPr>
        <w:t xml:space="preserve"> інфекції</w:t>
      </w:r>
      <w:r w:rsidRPr="00BA5C0A">
        <w:rPr>
          <w:rFonts w:ascii="Times New Roman" w:hAnsi="Times New Roman" w:cs="Times New Roman"/>
          <w:color w:val="000000" w:themeColor="text1"/>
          <w:lang w:val="uk-UA"/>
        </w:rPr>
        <w:t xml:space="preserve">. Всі діти, що народжуються від </w:t>
      </w:r>
      <w:r w:rsidR="00376443">
        <w:rPr>
          <w:rFonts w:ascii="Times New Roman" w:hAnsi="Times New Roman" w:cs="Times New Roman"/>
          <w:color w:val="000000" w:themeColor="text1"/>
          <w:lang w:val="uk-UA"/>
        </w:rPr>
        <w:t>ВГС</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інфікованих матерів, повинні пройти тестування на </w:t>
      </w:r>
      <w:r w:rsidR="00376443">
        <w:rPr>
          <w:rFonts w:ascii="Times New Roman" w:hAnsi="Times New Roman" w:cs="Times New Roman"/>
          <w:color w:val="000000" w:themeColor="text1"/>
          <w:lang w:val="uk-UA"/>
        </w:rPr>
        <w:t>ВГС</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інфекцію </w:t>
      </w:r>
      <w:r w:rsidR="00FB5913">
        <w:rPr>
          <w:rFonts w:ascii="Times New Roman" w:hAnsi="Times New Roman" w:cs="Times New Roman"/>
          <w:color w:val="000000" w:themeColor="text1"/>
          <w:lang w:val="uk-UA"/>
        </w:rPr>
        <w:t>після досягнення</w:t>
      </w:r>
      <w:r w:rsidRPr="00BA5C0A">
        <w:rPr>
          <w:rFonts w:ascii="Times New Roman" w:hAnsi="Times New Roman" w:cs="Times New Roman"/>
          <w:color w:val="000000" w:themeColor="text1"/>
          <w:lang w:val="uk-UA"/>
        </w:rPr>
        <w:t xml:space="preserve"> 18 місяців.</w:t>
      </w:r>
    </w:p>
    <w:p w14:paraId="20129EE5" w14:textId="77777777" w:rsidR="00BA5C0A" w:rsidRPr="00BA5C0A" w:rsidRDefault="00BA5C0A" w:rsidP="00BA5C0A">
      <w:pPr>
        <w:jc w:val="both"/>
        <w:rPr>
          <w:rFonts w:ascii="Times New Roman" w:hAnsi="Times New Roman" w:cs="Times New Roman"/>
          <w:color w:val="000000" w:themeColor="text1"/>
          <w:lang w:val="uk-UA"/>
        </w:rPr>
      </w:pPr>
    </w:p>
    <w:p w14:paraId="05666AAC" w14:textId="50CA7CC7"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Цироз та ГЦК у дітей зустрічаються рідко.</w:t>
      </w:r>
      <w:r w:rsidRPr="00BA5C0A">
        <w:rPr>
          <w:rFonts w:ascii="Times New Roman" w:hAnsi="Times New Roman" w:cs="Times New Roman"/>
          <w:color w:val="000000" w:themeColor="text1"/>
          <w:vertAlign w:val="superscript"/>
          <w:lang w:val="uk-UA"/>
        </w:rPr>
        <w:t>258</w:t>
      </w:r>
      <w:r w:rsidRPr="00BA5C0A">
        <w:rPr>
          <w:rFonts w:ascii="Times New Roman" w:hAnsi="Times New Roman" w:cs="Times New Roman"/>
          <w:color w:val="000000" w:themeColor="text1"/>
          <w:lang w:val="uk-UA"/>
        </w:rPr>
        <w:t xml:space="preserve"> Однак, захворювання печінки може прогресувати у ранньому віці.</w:t>
      </w:r>
      <w:r w:rsidRPr="00BA5C0A">
        <w:rPr>
          <w:rFonts w:ascii="Times New Roman" w:hAnsi="Times New Roman" w:cs="Times New Roman"/>
          <w:color w:val="000000" w:themeColor="text1"/>
          <w:vertAlign w:val="superscript"/>
          <w:lang w:val="uk-UA"/>
        </w:rPr>
        <w:t xml:space="preserve">259 </w:t>
      </w:r>
      <w:r w:rsidRPr="00BA5C0A">
        <w:rPr>
          <w:rFonts w:ascii="Times New Roman" w:hAnsi="Times New Roman" w:cs="Times New Roman"/>
          <w:color w:val="000000" w:themeColor="text1"/>
          <w:lang w:val="uk-UA"/>
        </w:rPr>
        <w:t xml:space="preserve">У людей з таласемією та перевантаженням заліза, а також з коінфекцією ВІЛ та </w:t>
      </w:r>
      <w:r w:rsidR="00885DAA">
        <w:rPr>
          <w:rFonts w:ascii="Times New Roman" w:hAnsi="Times New Roman" w:cs="Times New Roman"/>
          <w:color w:val="000000" w:themeColor="text1"/>
          <w:lang w:val="uk-UA"/>
        </w:rPr>
        <w:lastRenderedPageBreak/>
        <w:t>дитячими гематологічними чи с</w:t>
      </w:r>
      <w:r w:rsidR="00885DAA">
        <w:rPr>
          <w:rFonts w:ascii="Times New Roman" w:hAnsi="Times New Roman" w:cs="Times New Roman"/>
          <w:color w:val="000000" w:themeColor="text1"/>
          <w:lang w:val="it-IT"/>
        </w:rPr>
        <w:t>ò</w:t>
      </w:r>
      <w:r w:rsidRPr="00BA5C0A">
        <w:rPr>
          <w:rFonts w:ascii="Times New Roman" w:hAnsi="Times New Roman" w:cs="Times New Roman"/>
          <w:color w:val="000000" w:themeColor="text1"/>
          <w:lang w:val="uk-UA"/>
        </w:rPr>
        <w:t>лідними пухлинами, які отримують хіміотерапію, може розвинутися обширний печінковий фіброз.</w:t>
      </w:r>
      <w:r w:rsidRPr="00BA5C0A">
        <w:rPr>
          <w:rFonts w:ascii="Times New Roman" w:hAnsi="Times New Roman" w:cs="Times New Roman"/>
          <w:color w:val="000000" w:themeColor="text1"/>
          <w:vertAlign w:val="superscript"/>
          <w:lang w:val="uk-UA"/>
        </w:rPr>
        <w:t>260</w:t>
      </w:r>
      <w:r w:rsidRPr="00BA5C0A">
        <w:rPr>
          <w:rFonts w:ascii="Times New Roman" w:hAnsi="Times New Roman" w:cs="Times New Roman"/>
          <w:color w:val="000000" w:themeColor="text1"/>
          <w:lang w:val="uk-UA"/>
        </w:rPr>
        <w:t xml:space="preserve"> Дитяче ожиріння </w:t>
      </w:r>
      <w:r w:rsidR="00376443">
        <w:rPr>
          <w:rFonts w:ascii="Times New Roman" w:hAnsi="Times New Roman" w:cs="Times New Roman"/>
          <w:color w:val="000000" w:themeColor="text1"/>
          <w:lang w:val="uk-UA"/>
        </w:rPr>
        <w:t xml:space="preserve">також </w:t>
      </w:r>
      <w:r w:rsidRPr="00BA5C0A">
        <w:rPr>
          <w:rFonts w:ascii="Times New Roman" w:hAnsi="Times New Roman" w:cs="Times New Roman"/>
          <w:color w:val="000000" w:themeColor="text1"/>
          <w:lang w:val="uk-UA"/>
        </w:rPr>
        <w:t>може сприяти розвитку захворювання печінки. Проводилися численні дослідження щодо терапії пегільованим інтерфероном та рибавірином серед дітей. Ефективність і переносимість цієї комбінації аналогічні ефективності та переносимості у дорослих. Поточні варіанти лікування з ПППД обмежені, оскільки спостерігається затримка у оцінюванні та затвердженні цих препаратів для дітей. Проте два клінічних випробування показали високу загальну ефективність схем на основі ПППД у дітей та підлітків. У першому дослідженні 100 хворих з 1 генотипом ВГС лікували софосбувіром та ледіпа</w:t>
      </w:r>
      <w:r w:rsidR="00FB5913">
        <w:rPr>
          <w:rFonts w:ascii="Times New Roman" w:hAnsi="Times New Roman" w:cs="Times New Roman"/>
          <w:color w:val="000000" w:themeColor="text1"/>
          <w:lang w:val="uk-UA"/>
        </w:rPr>
        <w:t>с</w:t>
      </w:r>
      <w:r w:rsidRPr="00BA5C0A">
        <w:rPr>
          <w:rFonts w:ascii="Times New Roman" w:hAnsi="Times New Roman" w:cs="Times New Roman"/>
          <w:color w:val="000000" w:themeColor="text1"/>
          <w:lang w:val="uk-UA"/>
        </w:rPr>
        <w:t>вір</w:t>
      </w:r>
      <w:r w:rsidR="00FB5913">
        <w:rPr>
          <w:rFonts w:ascii="Times New Roman" w:hAnsi="Times New Roman" w:cs="Times New Roman"/>
          <w:color w:val="000000" w:themeColor="text1"/>
          <w:lang w:val="uk-UA"/>
        </w:rPr>
        <w:t>о</w:t>
      </w:r>
      <w:r w:rsidRPr="00BA5C0A">
        <w:rPr>
          <w:rFonts w:ascii="Times New Roman" w:hAnsi="Times New Roman" w:cs="Times New Roman"/>
          <w:color w:val="000000" w:themeColor="text1"/>
          <w:lang w:val="uk-UA"/>
        </w:rPr>
        <w:t xml:space="preserve">м протягом 12 тижнів. Середній вік </w:t>
      </w:r>
      <w:r w:rsidR="00FB5913">
        <w:rPr>
          <w:rFonts w:ascii="Times New Roman" w:hAnsi="Times New Roman" w:cs="Times New Roman"/>
          <w:color w:val="000000" w:themeColor="text1"/>
          <w:lang w:val="uk-UA"/>
        </w:rPr>
        <w:t>пацієнтів</w:t>
      </w:r>
      <w:r w:rsidR="00FB5913" w:rsidRPr="00BA5C0A">
        <w:rPr>
          <w:rFonts w:ascii="Times New Roman" w:hAnsi="Times New Roman" w:cs="Times New Roman"/>
          <w:color w:val="000000" w:themeColor="text1"/>
          <w:lang w:val="uk-UA"/>
        </w:rPr>
        <w:t xml:space="preserve"> </w:t>
      </w:r>
      <w:r w:rsidR="00885DAA">
        <w:rPr>
          <w:rFonts w:ascii="Times New Roman" w:hAnsi="Times New Roman" w:cs="Times New Roman"/>
          <w:color w:val="000000" w:themeColor="text1"/>
          <w:lang w:val="uk-UA"/>
        </w:rPr>
        <w:t xml:space="preserve">становив </w:t>
      </w:r>
      <w:r w:rsidRPr="00BA5C0A">
        <w:rPr>
          <w:rFonts w:ascii="Times New Roman" w:hAnsi="Times New Roman" w:cs="Times New Roman"/>
          <w:color w:val="000000" w:themeColor="text1"/>
          <w:lang w:val="uk-UA"/>
        </w:rPr>
        <w:t>15 років (діапазон 12</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17 років). Відомо, що було зареєстровано лише 1% цирозу; 80 хворих раніше не отримували лікування. Частота СВВ становила 98% (98/100). AUC та C</w:t>
      </w:r>
      <w:r w:rsidRPr="00BA5C0A">
        <w:rPr>
          <w:rFonts w:ascii="Times New Roman" w:hAnsi="Times New Roman" w:cs="Times New Roman"/>
          <w:color w:val="000000" w:themeColor="text1"/>
          <w:vertAlign w:val="subscript"/>
          <w:lang w:val="uk-UA"/>
        </w:rPr>
        <w:t>max</w:t>
      </w:r>
      <w:r w:rsidRPr="00BA5C0A">
        <w:rPr>
          <w:rFonts w:ascii="Times New Roman" w:hAnsi="Times New Roman" w:cs="Times New Roman"/>
          <w:color w:val="000000" w:themeColor="text1"/>
          <w:lang w:val="uk-UA"/>
        </w:rPr>
        <w:t xml:space="preserve"> для софосбувіру, його метаболіту GS</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331007 та ледіпасвіру у підлітків перебували в межах фармакокінетичної еквівалентності, встановленої у дорослих у клінічних дослідженнях.</w:t>
      </w:r>
      <w:r w:rsidRPr="00BA5C0A">
        <w:rPr>
          <w:rFonts w:ascii="Times New Roman" w:hAnsi="Times New Roman" w:cs="Times New Roman"/>
          <w:color w:val="000000" w:themeColor="text1"/>
          <w:vertAlign w:val="superscript"/>
          <w:lang w:val="uk-UA"/>
        </w:rPr>
        <w:t>261</w:t>
      </w:r>
      <w:r w:rsidRPr="00BA5C0A">
        <w:rPr>
          <w:rFonts w:ascii="Times New Roman" w:hAnsi="Times New Roman" w:cs="Times New Roman"/>
          <w:color w:val="000000" w:themeColor="text1"/>
          <w:lang w:val="uk-UA"/>
        </w:rPr>
        <w:t xml:space="preserve"> У другому дослідженні еф</w:t>
      </w:r>
      <w:r w:rsidR="00885DAA">
        <w:rPr>
          <w:rFonts w:ascii="Times New Roman" w:hAnsi="Times New Roman" w:cs="Times New Roman"/>
          <w:color w:val="000000" w:themeColor="text1"/>
          <w:lang w:val="uk-UA"/>
        </w:rPr>
        <w:t xml:space="preserve">ективність лікування софосбувіром та рибавірином оцінювалася серед 52 </w:t>
      </w:r>
      <w:r w:rsidR="000B795C" w:rsidRPr="00BA5C0A">
        <w:rPr>
          <w:rFonts w:ascii="Times New Roman" w:hAnsi="Times New Roman" w:cs="Times New Roman"/>
          <w:color w:val="000000" w:themeColor="text1"/>
          <w:lang w:val="uk-UA"/>
        </w:rPr>
        <w:t>“наїв</w:t>
      </w:r>
      <w:r w:rsidR="000B795C">
        <w:rPr>
          <w:rFonts w:ascii="Times New Roman" w:hAnsi="Times New Roman" w:cs="Times New Roman"/>
          <w:color w:val="000000" w:themeColor="text1"/>
          <w:lang w:val="uk-UA"/>
        </w:rPr>
        <w:t>них” та з досвідом лікування підлітків</w:t>
      </w:r>
      <w:r w:rsidR="000B795C" w:rsidRPr="00BA5C0A">
        <w:rPr>
          <w:rFonts w:ascii="Times New Roman" w:hAnsi="Times New Roman" w:cs="Times New Roman"/>
          <w:color w:val="000000" w:themeColor="text1"/>
          <w:lang w:val="uk-UA"/>
        </w:rPr>
        <w:t xml:space="preserve"> 12</w:t>
      </w:r>
      <w:r w:rsidR="000B795C">
        <w:rPr>
          <w:rFonts w:ascii="Times New Roman" w:hAnsi="Times New Roman" w:cs="Times New Roman"/>
          <w:color w:val="000000" w:themeColor="text1"/>
          <w:lang w:val="uk-UA"/>
        </w:rPr>
        <w:t>–</w:t>
      </w:r>
      <w:r w:rsidR="000B795C" w:rsidRPr="00BA5C0A">
        <w:rPr>
          <w:rFonts w:ascii="Times New Roman" w:hAnsi="Times New Roman" w:cs="Times New Roman"/>
          <w:color w:val="000000" w:themeColor="text1"/>
          <w:lang w:val="uk-UA"/>
        </w:rPr>
        <w:t>17 років</w:t>
      </w:r>
      <w:r w:rsidRPr="00BA5C0A">
        <w:rPr>
          <w:rFonts w:ascii="Times New Roman" w:hAnsi="Times New Roman" w:cs="Times New Roman"/>
          <w:color w:val="000000" w:themeColor="text1"/>
          <w:lang w:val="uk-UA"/>
        </w:rPr>
        <w:t xml:space="preserve">. Середній вік </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 15 років; 26% були інфіковані генотипом 2, 71% з генотипом 3 та 2% з генотипом 4. Частота СВВ становила 98% (51/52). </w:t>
      </w:r>
      <w:r w:rsidRPr="00BA5C0A">
        <w:rPr>
          <w:rFonts w:ascii="Times New Roman" w:hAnsi="Times New Roman" w:cs="Times New Roman"/>
          <w:color w:val="000000" w:themeColor="text1"/>
          <w:vertAlign w:val="superscript"/>
          <w:lang w:val="uk-UA"/>
        </w:rPr>
        <w:t>262</w:t>
      </w:r>
    </w:p>
    <w:p w14:paraId="4516F3CB" w14:textId="77777777" w:rsidR="00BA5C0A" w:rsidRPr="00BA5C0A" w:rsidRDefault="00BA5C0A" w:rsidP="00BA5C0A">
      <w:pPr>
        <w:jc w:val="both"/>
        <w:rPr>
          <w:rFonts w:ascii="Times New Roman" w:hAnsi="Times New Roman" w:cs="Times New Roman"/>
          <w:color w:val="000000" w:themeColor="text1"/>
          <w:lang w:val="uk-UA"/>
        </w:rPr>
      </w:pPr>
    </w:p>
    <w:p w14:paraId="1C938C23" w14:textId="3FA60AE5"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У квітні 2017 р. Європейське агентство лікарських засобів затвердило комбінацію з фіксованою дозою софосбувіру та ледіпасвіру (для генотипів 1, 4, 5 та 6) та комбінації софосбувіру та рибавірину (для генотипів 2 і 3) для підлітків віком 12</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17 років </w:t>
      </w:r>
      <w:r w:rsidR="00376443">
        <w:rPr>
          <w:rFonts w:ascii="Times New Roman" w:hAnsi="Times New Roman" w:cs="Times New Roman"/>
          <w:color w:val="000000" w:themeColor="text1"/>
          <w:lang w:val="uk-UA"/>
        </w:rPr>
        <w:t>та</w:t>
      </w:r>
      <w:r w:rsidRPr="00BA5C0A">
        <w:rPr>
          <w:rFonts w:ascii="Times New Roman" w:hAnsi="Times New Roman" w:cs="Times New Roman"/>
          <w:color w:val="000000" w:themeColor="text1"/>
          <w:lang w:val="uk-UA"/>
        </w:rPr>
        <w:t xml:space="preserve"> вагою більше 35 кг, з хронічним гепатитом С. Таким чином, лікування</w:t>
      </w:r>
      <w:r w:rsidR="00FB5913">
        <w:rPr>
          <w:rFonts w:ascii="Times New Roman" w:hAnsi="Times New Roman" w:cs="Times New Roman"/>
          <w:color w:val="000000" w:themeColor="text1"/>
          <w:lang w:val="uk-UA"/>
        </w:rPr>
        <w:t xml:space="preserve"> із використанням</w:t>
      </w:r>
      <w:r w:rsidRPr="00BA5C0A">
        <w:rPr>
          <w:rFonts w:ascii="Times New Roman" w:hAnsi="Times New Roman" w:cs="Times New Roman"/>
          <w:color w:val="000000" w:themeColor="text1"/>
          <w:lang w:val="uk-UA"/>
        </w:rPr>
        <w:t xml:space="preserve"> інтерферону більше не </w:t>
      </w:r>
      <w:r w:rsidR="00FB5913">
        <w:rPr>
          <w:rFonts w:ascii="Times New Roman" w:hAnsi="Times New Roman" w:cs="Times New Roman"/>
          <w:color w:val="000000" w:themeColor="text1"/>
          <w:lang w:val="uk-UA"/>
        </w:rPr>
        <w:t>рекомендується</w:t>
      </w:r>
      <w:r w:rsidRPr="00BA5C0A">
        <w:rPr>
          <w:rFonts w:ascii="Times New Roman" w:hAnsi="Times New Roman" w:cs="Times New Roman"/>
          <w:color w:val="000000" w:themeColor="text1"/>
          <w:lang w:val="uk-UA"/>
        </w:rPr>
        <w:t xml:space="preserve">. Нові випробування комбінованих схем ПППД </w:t>
      </w:r>
      <w:r w:rsidR="00FB5913">
        <w:rPr>
          <w:rFonts w:ascii="Times New Roman" w:hAnsi="Times New Roman" w:cs="Times New Roman"/>
          <w:color w:val="000000" w:themeColor="text1"/>
          <w:lang w:val="uk-UA"/>
        </w:rPr>
        <w:t>для віком від 3 до 12 років наразі тривають</w:t>
      </w:r>
      <w:r w:rsidRPr="00BA5C0A">
        <w:rPr>
          <w:rFonts w:ascii="Times New Roman" w:hAnsi="Times New Roman" w:cs="Times New Roman"/>
          <w:color w:val="000000" w:themeColor="text1"/>
          <w:lang w:val="uk-UA"/>
        </w:rPr>
        <w:t>.</w:t>
      </w:r>
    </w:p>
    <w:p w14:paraId="6373E8F0" w14:textId="57C07DA6" w:rsidR="00BA5C0A" w:rsidRDefault="00BA5C0A" w:rsidP="00BA5C0A">
      <w:pPr>
        <w:jc w:val="both"/>
        <w:rPr>
          <w:rFonts w:ascii="Times New Roman" w:hAnsi="Times New Roman" w:cs="Times New Roman"/>
          <w:lang w:val="uk-UA"/>
        </w:rPr>
      </w:pPr>
    </w:p>
    <w:p w14:paraId="0EA1235F" w14:textId="77777777" w:rsidR="00885DAA" w:rsidRPr="00BA5C0A" w:rsidRDefault="00885DAA" w:rsidP="00BA5C0A">
      <w:pPr>
        <w:jc w:val="both"/>
        <w:rPr>
          <w:rFonts w:ascii="Times New Roman" w:hAnsi="Times New Roman" w:cs="Times New Roman"/>
          <w:lang w:val="uk-UA"/>
        </w:rPr>
      </w:pPr>
    </w:p>
    <w:tbl>
      <w:tblPr>
        <w:tblW w:w="983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BA5C0A" w:rsidRPr="003B61EF" w14:paraId="3DEDFC78" w14:textId="77777777" w:rsidTr="00376443">
        <w:trPr>
          <w:trHeight w:val="544"/>
        </w:trPr>
        <w:tc>
          <w:tcPr>
            <w:tcW w:w="9836" w:type="dxa"/>
            <w:shd w:val="clear" w:color="auto" w:fill="BDD6EE" w:themeFill="accent1" w:themeFillTint="66"/>
          </w:tcPr>
          <w:p w14:paraId="7EBC494F" w14:textId="4414D2D4" w:rsidR="00BA5C0A" w:rsidRDefault="00BA5C0A" w:rsidP="00BA5C0A">
            <w:pPr>
              <w:tabs>
                <w:tab w:val="left" w:pos="470"/>
              </w:tabs>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Рекомендації</w:t>
            </w:r>
          </w:p>
          <w:p w14:paraId="6DE8D78B" w14:textId="77777777" w:rsidR="00376443" w:rsidRPr="00BA5C0A" w:rsidRDefault="00376443" w:rsidP="00BA5C0A">
            <w:pPr>
              <w:tabs>
                <w:tab w:val="left" w:pos="470"/>
              </w:tabs>
              <w:rPr>
                <w:rFonts w:ascii="Times New Roman" w:hAnsi="Times New Roman" w:cs="Times New Roman"/>
                <w:b/>
                <w:color w:val="4472C4" w:themeColor="accent5"/>
                <w:lang w:val="uk-UA"/>
              </w:rPr>
            </w:pPr>
          </w:p>
          <w:p w14:paraId="18556319" w14:textId="155B2554" w:rsidR="00BA5C0A" w:rsidRPr="00BA5C0A" w:rsidRDefault="00885DAA" w:rsidP="00015E3B">
            <w:pPr>
              <w:numPr>
                <w:ilvl w:val="0"/>
                <w:numId w:val="49"/>
              </w:numPr>
              <w:tabs>
                <w:tab w:val="left" w:pos="470"/>
              </w:tabs>
              <w:contextualSpacing/>
              <w:rPr>
                <w:rFonts w:ascii="Times New Roman" w:hAnsi="Times New Roman" w:cs="Times New Roman"/>
                <w:lang w:val="uk-UA"/>
              </w:rPr>
            </w:pPr>
            <w:r>
              <w:rPr>
                <w:rFonts w:ascii="Times New Roman" w:hAnsi="Times New Roman" w:cs="Times New Roman"/>
                <w:lang w:val="uk-UA"/>
              </w:rPr>
              <w:t xml:space="preserve">Підлітки </w:t>
            </w:r>
            <w:r w:rsidR="00BA5C0A" w:rsidRPr="00BA5C0A">
              <w:rPr>
                <w:rFonts w:ascii="Times New Roman" w:hAnsi="Times New Roman" w:cs="Times New Roman"/>
                <w:lang w:val="uk-UA"/>
              </w:rPr>
              <w:t xml:space="preserve">12 років та старше, інфіковані генотипом 1, 4, 5 або 6, </w:t>
            </w:r>
            <w:r w:rsidR="00652F9A" w:rsidRPr="00652F9A">
              <w:rPr>
                <w:rFonts w:ascii="Times New Roman" w:hAnsi="Times New Roman" w:cs="Times New Roman"/>
                <w:lang w:val="uk-UA"/>
              </w:rPr>
              <w:t>“</w:t>
            </w:r>
            <w:r>
              <w:rPr>
                <w:rFonts w:ascii="Times New Roman" w:hAnsi="Times New Roman" w:cs="Times New Roman"/>
                <w:lang w:val="uk-UA"/>
              </w:rPr>
              <w:t>наївні</w:t>
            </w:r>
            <w:r w:rsidR="008D700A">
              <w:rPr>
                <w:rFonts w:ascii="Times New Roman" w:hAnsi="Times New Roman" w:cs="Times New Roman"/>
                <w:lang w:val="uk-UA"/>
              </w:rPr>
              <w:t xml:space="preserve"> або </w:t>
            </w:r>
            <w:r>
              <w:rPr>
                <w:rFonts w:ascii="Times New Roman" w:hAnsi="Times New Roman" w:cs="Times New Roman"/>
                <w:lang w:val="uk-UA"/>
              </w:rPr>
              <w:t xml:space="preserve">які </w:t>
            </w:r>
            <w:r w:rsidR="008D700A">
              <w:rPr>
                <w:rFonts w:ascii="Times New Roman" w:hAnsi="Times New Roman" w:cs="Times New Roman"/>
                <w:lang w:val="uk-UA"/>
              </w:rPr>
              <w:t>мають</w:t>
            </w:r>
            <w:r w:rsidR="00BA5C0A" w:rsidRPr="00BA5C0A">
              <w:rPr>
                <w:rFonts w:ascii="Times New Roman" w:hAnsi="Times New Roman" w:cs="Times New Roman"/>
                <w:lang w:val="uk-UA"/>
              </w:rPr>
              <w:t xml:space="preserve"> досвід лікування, без цирозу </w:t>
            </w:r>
            <w:r>
              <w:rPr>
                <w:rFonts w:ascii="Times New Roman" w:hAnsi="Times New Roman" w:cs="Times New Roman"/>
                <w:lang w:val="uk-UA"/>
              </w:rPr>
              <w:t>або</w:t>
            </w:r>
            <w:r w:rsidR="00BA5C0A" w:rsidRPr="00BA5C0A">
              <w:rPr>
                <w:rFonts w:ascii="Times New Roman" w:hAnsi="Times New Roman" w:cs="Times New Roman"/>
                <w:lang w:val="uk-UA"/>
              </w:rPr>
              <w:t xml:space="preserve"> з компенсованим (Child</w:t>
            </w:r>
            <w:r w:rsidR="00FC6D8A">
              <w:rPr>
                <w:rFonts w:ascii="Times New Roman" w:hAnsi="Times New Roman" w:cs="Times New Roman"/>
                <w:lang w:val="uk-UA"/>
              </w:rPr>
              <w:t>–</w:t>
            </w:r>
            <w:r w:rsidR="00BA5C0A" w:rsidRPr="00BA5C0A">
              <w:rPr>
                <w:rFonts w:ascii="Times New Roman" w:hAnsi="Times New Roman" w:cs="Times New Roman"/>
                <w:lang w:val="uk-UA"/>
              </w:rPr>
              <w:t>Pugh A) цирозом, повинні отримувати комбінацію фіксованої дози софосбувіру (400 мг) і ледіпасвіру (90 мг) протягом 12 тижнів (B1).</w:t>
            </w:r>
          </w:p>
          <w:p w14:paraId="1EC77240" w14:textId="30367DAC" w:rsidR="00BA5C0A" w:rsidRPr="00BA5C0A" w:rsidRDefault="00885DAA" w:rsidP="00015E3B">
            <w:pPr>
              <w:numPr>
                <w:ilvl w:val="0"/>
                <w:numId w:val="49"/>
              </w:numPr>
              <w:tabs>
                <w:tab w:val="left" w:pos="470"/>
              </w:tabs>
              <w:contextualSpacing/>
              <w:rPr>
                <w:rFonts w:ascii="Times New Roman" w:hAnsi="Times New Roman" w:cs="Times New Roman"/>
                <w:lang w:val="uk-UA"/>
              </w:rPr>
            </w:pPr>
            <w:r>
              <w:rPr>
                <w:rFonts w:ascii="Times New Roman" w:hAnsi="Times New Roman" w:cs="Times New Roman"/>
                <w:lang w:val="uk-UA"/>
              </w:rPr>
              <w:t xml:space="preserve">Підлітки </w:t>
            </w:r>
            <w:r w:rsidR="00BA5C0A" w:rsidRPr="00BA5C0A">
              <w:rPr>
                <w:rFonts w:ascii="Times New Roman" w:hAnsi="Times New Roman" w:cs="Times New Roman"/>
                <w:lang w:val="uk-UA"/>
              </w:rPr>
              <w:t xml:space="preserve">12 років і старше, інфіковані генотипом 2 або 3, </w:t>
            </w:r>
            <w:r w:rsidR="00652F9A" w:rsidRPr="00652F9A">
              <w:rPr>
                <w:rFonts w:ascii="Times New Roman" w:hAnsi="Times New Roman" w:cs="Times New Roman"/>
                <w:lang w:val="uk-UA"/>
              </w:rPr>
              <w:t>“</w:t>
            </w:r>
            <w:r>
              <w:rPr>
                <w:rFonts w:ascii="Times New Roman" w:hAnsi="Times New Roman" w:cs="Times New Roman"/>
                <w:lang w:val="uk-UA"/>
              </w:rPr>
              <w:t>наївні</w:t>
            </w:r>
            <w:r w:rsidR="00652F9A" w:rsidRPr="00652F9A">
              <w:rPr>
                <w:rFonts w:ascii="Times New Roman" w:hAnsi="Times New Roman" w:cs="Times New Roman"/>
                <w:lang w:val="uk-UA"/>
              </w:rPr>
              <w:t>”</w:t>
            </w:r>
            <w:r w:rsidR="008D700A">
              <w:rPr>
                <w:rFonts w:ascii="Times New Roman" w:hAnsi="Times New Roman" w:cs="Times New Roman"/>
                <w:lang w:val="uk-UA"/>
              </w:rPr>
              <w:t xml:space="preserve"> або </w:t>
            </w:r>
            <w:r>
              <w:rPr>
                <w:rFonts w:ascii="Times New Roman" w:hAnsi="Times New Roman" w:cs="Times New Roman"/>
                <w:lang w:val="uk-UA"/>
              </w:rPr>
              <w:t xml:space="preserve">які </w:t>
            </w:r>
            <w:r w:rsidR="008D700A">
              <w:rPr>
                <w:rFonts w:ascii="Times New Roman" w:hAnsi="Times New Roman" w:cs="Times New Roman"/>
                <w:lang w:val="uk-UA"/>
              </w:rPr>
              <w:t>мають</w:t>
            </w:r>
            <w:r>
              <w:rPr>
                <w:rFonts w:ascii="Times New Roman" w:hAnsi="Times New Roman" w:cs="Times New Roman"/>
                <w:lang w:val="uk-UA"/>
              </w:rPr>
              <w:t xml:space="preserve"> досвід лікування, </w:t>
            </w:r>
            <w:r w:rsidR="00BA5C0A" w:rsidRPr="00BA5C0A">
              <w:rPr>
                <w:rFonts w:ascii="Times New Roman" w:hAnsi="Times New Roman" w:cs="Times New Roman"/>
                <w:lang w:val="uk-UA"/>
              </w:rPr>
              <w:t xml:space="preserve">без цирозу </w:t>
            </w:r>
            <w:r>
              <w:rPr>
                <w:rFonts w:ascii="Times New Roman" w:hAnsi="Times New Roman" w:cs="Times New Roman"/>
                <w:lang w:val="uk-UA"/>
              </w:rPr>
              <w:t>або</w:t>
            </w:r>
            <w:r w:rsidR="00BA5C0A" w:rsidRPr="00BA5C0A">
              <w:rPr>
                <w:rFonts w:ascii="Times New Roman" w:hAnsi="Times New Roman" w:cs="Times New Roman"/>
                <w:lang w:val="uk-UA"/>
              </w:rPr>
              <w:t xml:space="preserve"> з компенсованим (Child</w:t>
            </w:r>
            <w:r w:rsidR="00FC6D8A">
              <w:rPr>
                <w:rFonts w:ascii="Times New Roman" w:hAnsi="Times New Roman" w:cs="Times New Roman"/>
                <w:lang w:val="uk-UA"/>
              </w:rPr>
              <w:t>–</w:t>
            </w:r>
            <w:r w:rsidR="00BA5C0A" w:rsidRPr="00BA5C0A">
              <w:rPr>
                <w:rFonts w:ascii="Times New Roman" w:hAnsi="Times New Roman" w:cs="Times New Roman"/>
                <w:lang w:val="uk-UA"/>
              </w:rPr>
              <w:t>Pugh A) цирозом можуть лікуватис</w:t>
            </w:r>
            <w:r w:rsidR="00AD3FDE">
              <w:rPr>
                <w:rFonts w:ascii="Times New Roman" w:hAnsi="Times New Roman" w:cs="Times New Roman"/>
                <w:lang w:val="uk-UA"/>
              </w:rPr>
              <w:t>я</w:t>
            </w:r>
            <w:r w:rsidR="00BA5C0A" w:rsidRPr="00BA5C0A">
              <w:rPr>
                <w:rFonts w:ascii="Times New Roman" w:hAnsi="Times New Roman" w:cs="Times New Roman"/>
                <w:lang w:val="uk-UA"/>
              </w:rPr>
              <w:t xml:space="preserve"> </w:t>
            </w:r>
            <w:r w:rsidR="00AD3FDE">
              <w:rPr>
                <w:rFonts w:ascii="Times New Roman" w:hAnsi="Times New Roman" w:cs="Times New Roman"/>
                <w:lang w:val="uk-UA"/>
              </w:rPr>
              <w:t>з об</w:t>
            </w:r>
            <w:r>
              <w:rPr>
                <w:rFonts w:ascii="Times New Roman" w:hAnsi="Times New Roman" w:cs="Times New Roman"/>
                <w:lang w:val="uk-UA"/>
              </w:rPr>
              <w:t>е</w:t>
            </w:r>
            <w:r w:rsidR="00AD3FDE">
              <w:rPr>
                <w:rFonts w:ascii="Times New Roman" w:hAnsi="Times New Roman" w:cs="Times New Roman"/>
                <w:lang w:val="uk-UA"/>
              </w:rPr>
              <w:t xml:space="preserve">режністю </w:t>
            </w:r>
            <w:r w:rsidR="00BA5C0A" w:rsidRPr="00BA5C0A">
              <w:rPr>
                <w:rFonts w:ascii="Times New Roman" w:hAnsi="Times New Roman" w:cs="Times New Roman"/>
                <w:lang w:val="uk-UA"/>
              </w:rPr>
              <w:t xml:space="preserve">іншими схемами, призначеними для дорослих, </w:t>
            </w:r>
            <w:r w:rsidR="00AD3FDE">
              <w:rPr>
                <w:rFonts w:ascii="Times New Roman" w:hAnsi="Times New Roman" w:cs="Times New Roman"/>
                <w:lang w:val="uk-UA"/>
              </w:rPr>
              <w:t>до того часу, поки</w:t>
            </w:r>
            <w:r w:rsidR="00BA5C0A" w:rsidRPr="00BA5C0A">
              <w:rPr>
                <w:rFonts w:ascii="Times New Roman" w:hAnsi="Times New Roman" w:cs="Times New Roman"/>
                <w:lang w:val="uk-UA"/>
              </w:rPr>
              <w:t xml:space="preserve"> не </w:t>
            </w:r>
            <w:r>
              <w:rPr>
                <w:rFonts w:ascii="Times New Roman" w:hAnsi="Times New Roman" w:cs="Times New Roman"/>
                <w:lang w:val="uk-UA"/>
              </w:rPr>
              <w:t>з’</w:t>
            </w:r>
            <w:r w:rsidR="00AD3FDE">
              <w:rPr>
                <w:rFonts w:ascii="Times New Roman" w:hAnsi="Times New Roman" w:cs="Times New Roman"/>
                <w:lang w:val="uk-UA"/>
              </w:rPr>
              <w:t>явиться</w:t>
            </w:r>
            <w:r w:rsidR="00BA5C0A" w:rsidRPr="00BA5C0A">
              <w:rPr>
                <w:rFonts w:ascii="Times New Roman" w:hAnsi="Times New Roman" w:cs="Times New Roman"/>
                <w:lang w:val="uk-UA"/>
              </w:rPr>
              <w:t xml:space="preserve"> більше даних щодо безпеки лікування у цій популяції (С2).</w:t>
            </w:r>
          </w:p>
          <w:p w14:paraId="6476D59E" w14:textId="72ECA1B2" w:rsidR="00BA5C0A" w:rsidRPr="00BA5C0A" w:rsidRDefault="00BA5C0A" w:rsidP="00015E3B">
            <w:pPr>
              <w:numPr>
                <w:ilvl w:val="0"/>
                <w:numId w:val="49"/>
              </w:numPr>
              <w:tabs>
                <w:tab w:val="left" w:pos="470"/>
              </w:tabs>
              <w:contextualSpacing/>
              <w:rPr>
                <w:rFonts w:ascii="Times New Roman" w:hAnsi="Times New Roman" w:cs="Times New Roman"/>
                <w:lang w:val="uk-UA"/>
              </w:rPr>
            </w:pPr>
            <w:r w:rsidRPr="00BA5C0A">
              <w:rPr>
                <w:rFonts w:ascii="Times New Roman" w:hAnsi="Times New Roman" w:cs="Times New Roman"/>
                <w:lang w:val="uk-UA"/>
              </w:rPr>
              <w:t>У дітей молодше 12 років, лікування слід відкласти, доки ПППД, у тому числі пангенотип</w:t>
            </w:r>
            <w:r w:rsidR="008D700A">
              <w:rPr>
                <w:rFonts w:ascii="Times New Roman" w:hAnsi="Times New Roman" w:cs="Times New Roman"/>
                <w:lang w:val="uk-UA"/>
              </w:rPr>
              <w:t>ні</w:t>
            </w:r>
            <w:r w:rsidRPr="00BA5C0A">
              <w:rPr>
                <w:rFonts w:ascii="Times New Roman" w:hAnsi="Times New Roman" w:cs="Times New Roman"/>
                <w:lang w:val="uk-UA"/>
              </w:rPr>
              <w:t xml:space="preserve"> схеми, не будуть схвал</w:t>
            </w:r>
            <w:r w:rsidR="00885DAA">
              <w:rPr>
                <w:rFonts w:ascii="Times New Roman" w:hAnsi="Times New Roman" w:cs="Times New Roman"/>
                <w:lang w:val="uk-UA"/>
              </w:rPr>
              <w:t>ені для цієї вікової групи (B1)</w:t>
            </w:r>
          </w:p>
        </w:tc>
      </w:tr>
    </w:tbl>
    <w:p w14:paraId="6DFB5AE9" w14:textId="77777777" w:rsidR="00BA5C0A" w:rsidRPr="00BA5C0A" w:rsidRDefault="00BA5C0A" w:rsidP="00BA5C0A">
      <w:pPr>
        <w:jc w:val="both"/>
        <w:rPr>
          <w:rFonts w:ascii="Times New Roman" w:hAnsi="Times New Roman" w:cs="Times New Roman"/>
          <w:b/>
          <w:color w:val="4472C4" w:themeColor="accent5"/>
          <w:sz w:val="36"/>
          <w:szCs w:val="36"/>
          <w:lang w:val="uk-UA"/>
        </w:rPr>
      </w:pPr>
    </w:p>
    <w:p w14:paraId="5EDB9C3F" w14:textId="45207351" w:rsidR="00BA5C0A" w:rsidRDefault="00BA5C0A" w:rsidP="00BA5C0A">
      <w:pPr>
        <w:jc w:val="both"/>
        <w:rPr>
          <w:rFonts w:ascii="Times New Roman" w:hAnsi="Times New Roman" w:cs="Times New Roman"/>
          <w:b/>
          <w:color w:val="4472C4" w:themeColor="accent5"/>
          <w:sz w:val="32"/>
          <w:szCs w:val="32"/>
          <w:lang w:val="uk-UA"/>
        </w:rPr>
      </w:pPr>
      <w:r w:rsidRPr="00D71B55">
        <w:rPr>
          <w:rFonts w:ascii="Times New Roman" w:hAnsi="Times New Roman" w:cs="Times New Roman"/>
          <w:b/>
          <w:color w:val="4472C4" w:themeColor="accent5"/>
          <w:sz w:val="32"/>
          <w:szCs w:val="32"/>
          <w:lang w:val="uk-UA"/>
        </w:rPr>
        <w:t xml:space="preserve">Повторне лікування пацієнтів, які не досягли СВВ </w:t>
      </w:r>
    </w:p>
    <w:p w14:paraId="08F4C64B" w14:textId="77777777" w:rsidR="00D71B55" w:rsidRPr="00D71B55" w:rsidRDefault="00D71B55" w:rsidP="00BA5C0A">
      <w:pPr>
        <w:jc w:val="both"/>
        <w:rPr>
          <w:rFonts w:ascii="Times New Roman" w:hAnsi="Times New Roman" w:cs="Times New Roman"/>
          <w:b/>
          <w:color w:val="4472C4" w:themeColor="accent5"/>
          <w:sz w:val="32"/>
          <w:szCs w:val="32"/>
          <w:lang w:val="uk-UA"/>
        </w:rPr>
      </w:pPr>
    </w:p>
    <w:p w14:paraId="2A06039D" w14:textId="5BF2A615" w:rsidR="00BA5C0A" w:rsidRPr="00BA5C0A" w:rsidRDefault="00BA5C0A" w:rsidP="00BA5C0A">
      <w:pPr>
        <w:jc w:val="both"/>
        <w:rPr>
          <w:rFonts w:ascii="Times New Roman" w:hAnsi="Times New Roman" w:cs="Times New Roman"/>
          <w:lang w:val="uk-UA"/>
        </w:rPr>
      </w:pPr>
      <w:r w:rsidRPr="00BA5C0A">
        <w:rPr>
          <w:rFonts w:ascii="Times New Roman" w:hAnsi="Times New Roman" w:cs="Times New Roman"/>
          <w:lang w:val="uk-UA"/>
        </w:rPr>
        <w:t>Повторне лікування пацієнтів, які зазнали невдачі після лікування комбінацією пегільованого IFN</w:t>
      </w:r>
      <w:r w:rsidR="00FC6D8A">
        <w:rPr>
          <w:rFonts w:ascii="Times New Roman" w:hAnsi="Times New Roman" w:cs="Times New Roman"/>
          <w:lang w:val="uk-UA"/>
        </w:rPr>
        <w:t>–</w:t>
      </w:r>
      <w:r w:rsidRPr="00BA5C0A">
        <w:rPr>
          <w:rFonts w:ascii="Times New Roman" w:hAnsi="Times New Roman" w:cs="Times New Roman"/>
          <w:lang w:val="uk-UA"/>
        </w:rPr>
        <w:t>a</w:t>
      </w:r>
      <w:r w:rsidR="00885DAA">
        <w:rPr>
          <w:rFonts w:ascii="Times New Roman" w:hAnsi="Times New Roman" w:cs="Times New Roman"/>
          <w:lang w:val="uk-UA"/>
        </w:rPr>
        <w:t>льфа</w:t>
      </w:r>
      <w:r w:rsidRPr="00BA5C0A">
        <w:rPr>
          <w:rFonts w:ascii="Times New Roman" w:hAnsi="Times New Roman" w:cs="Times New Roman"/>
          <w:lang w:val="uk-UA"/>
        </w:rPr>
        <w:t xml:space="preserve"> та рибавірину, комбінаці</w:t>
      </w:r>
      <w:r w:rsidR="00D71B55">
        <w:rPr>
          <w:rFonts w:ascii="Times New Roman" w:hAnsi="Times New Roman" w:cs="Times New Roman"/>
          <w:lang w:val="uk-UA"/>
        </w:rPr>
        <w:t>єю</w:t>
      </w:r>
      <w:r w:rsidRPr="00BA5C0A">
        <w:rPr>
          <w:rFonts w:ascii="Times New Roman" w:hAnsi="Times New Roman" w:cs="Times New Roman"/>
          <w:lang w:val="uk-UA"/>
        </w:rPr>
        <w:t xml:space="preserve"> пегільованого IFN</w:t>
      </w:r>
      <w:r w:rsidR="00FC6D8A">
        <w:rPr>
          <w:rFonts w:ascii="Times New Roman" w:hAnsi="Times New Roman" w:cs="Times New Roman"/>
          <w:lang w:val="uk-UA"/>
        </w:rPr>
        <w:t>–</w:t>
      </w:r>
      <w:r w:rsidRPr="00BA5C0A">
        <w:rPr>
          <w:rFonts w:ascii="Times New Roman" w:hAnsi="Times New Roman" w:cs="Times New Roman"/>
          <w:lang w:val="uk-UA"/>
        </w:rPr>
        <w:t>a</w:t>
      </w:r>
      <w:r w:rsidR="00885DAA">
        <w:rPr>
          <w:rFonts w:ascii="Times New Roman" w:hAnsi="Times New Roman" w:cs="Times New Roman"/>
          <w:lang w:val="uk-UA"/>
        </w:rPr>
        <w:t>льфа</w:t>
      </w:r>
      <w:r w:rsidRPr="00BA5C0A">
        <w:rPr>
          <w:rFonts w:ascii="Times New Roman" w:hAnsi="Times New Roman" w:cs="Times New Roman"/>
          <w:lang w:val="uk-UA"/>
        </w:rPr>
        <w:t>, рибавірину та софосбувіру або комбінаці</w:t>
      </w:r>
      <w:r w:rsidR="00D71B55">
        <w:rPr>
          <w:rFonts w:ascii="Times New Roman" w:hAnsi="Times New Roman" w:cs="Times New Roman"/>
          <w:lang w:val="uk-UA"/>
        </w:rPr>
        <w:t>єю</w:t>
      </w:r>
      <w:r w:rsidRPr="00BA5C0A">
        <w:rPr>
          <w:rFonts w:ascii="Times New Roman" w:hAnsi="Times New Roman" w:cs="Times New Roman"/>
          <w:lang w:val="uk-UA"/>
        </w:rPr>
        <w:t xml:space="preserve"> софосбувіру і рибавірину наведені вище ( табл. 7 та 8).</w:t>
      </w:r>
    </w:p>
    <w:p w14:paraId="43C57900" w14:textId="77777777" w:rsidR="00BA5C0A" w:rsidRPr="00BA5C0A" w:rsidRDefault="00BA5C0A" w:rsidP="00BA5C0A">
      <w:pPr>
        <w:jc w:val="both"/>
        <w:rPr>
          <w:rFonts w:ascii="Times New Roman" w:hAnsi="Times New Roman" w:cs="Times New Roman"/>
          <w:b/>
          <w:color w:val="4472C4" w:themeColor="accent5"/>
          <w:lang w:val="uk-UA"/>
        </w:rPr>
      </w:pPr>
    </w:p>
    <w:p w14:paraId="09BFBC1C" w14:textId="248B90A3" w:rsidR="00BA5C0A" w:rsidRPr="00BA5C0A" w:rsidRDefault="00BA5C0A" w:rsidP="00BA5C0A">
      <w:pPr>
        <w:jc w:val="both"/>
        <w:rPr>
          <w:rFonts w:ascii="Times New Roman" w:hAnsi="Times New Roman" w:cs="Times New Roman"/>
          <w:b/>
          <w:color w:val="4472C4" w:themeColor="accent5"/>
          <w:lang w:val="uk-UA"/>
        </w:rPr>
      </w:pPr>
      <w:bookmarkStart w:id="4" w:name="_Hlk5618747"/>
      <w:r w:rsidRPr="00BA5C0A">
        <w:rPr>
          <w:rFonts w:ascii="Times New Roman" w:hAnsi="Times New Roman" w:cs="Times New Roman"/>
          <w:b/>
          <w:color w:val="4472C4" w:themeColor="accent5"/>
          <w:lang w:val="uk-UA"/>
        </w:rPr>
        <w:t xml:space="preserve">Повторне лікування пацієнтів, які зазнали невдачі після терапії </w:t>
      </w:r>
      <w:r w:rsidR="00006EE8">
        <w:rPr>
          <w:rFonts w:ascii="Times New Roman" w:hAnsi="Times New Roman" w:cs="Times New Roman"/>
          <w:b/>
          <w:color w:val="4472C4" w:themeColor="accent5"/>
          <w:lang w:val="uk-UA"/>
        </w:rPr>
        <w:t>і</w:t>
      </w:r>
      <w:r w:rsidR="00A4254F">
        <w:rPr>
          <w:rFonts w:ascii="Times New Roman" w:hAnsi="Times New Roman" w:cs="Times New Roman"/>
          <w:b/>
          <w:color w:val="4472C4" w:themeColor="accent5"/>
          <w:lang w:val="uk-UA"/>
        </w:rPr>
        <w:t>з застосуванням інгібіторів</w:t>
      </w:r>
      <w:r w:rsidRPr="00BA5C0A">
        <w:rPr>
          <w:rFonts w:ascii="Times New Roman" w:hAnsi="Times New Roman" w:cs="Times New Roman"/>
          <w:b/>
          <w:color w:val="4472C4" w:themeColor="accent5"/>
          <w:lang w:val="uk-UA"/>
        </w:rPr>
        <w:t xml:space="preserve"> протеази та/або інгібіторів NS5A</w:t>
      </w:r>
    </w:p>
    <w:p w14:paraId="1BA0401C" w14:textId="77777777" w:rsidR="00BA5C0A" w:rsidRPr="00BA5C0A" w:rsidRDefault="00BA5C0A" w:rsidP="00BA5C0A">
      <w:pPr>
        <w:jc w:val="both"/>
        <w:rPr>
          <w:rFonts w:ascii="Times New Roman" w:hAnsi="Times New Roman" w:cs="Times New Roman"/>
          <w:b/>
          <w:color w:val="4472C4" w:themeColor="accent5"/>
          <w:lang w:val="uk-UA"/>
        </w:rPr>
      </w:pPr>
    </w:p>
    <w:p w14:paraId="6DC84604" w14:textId="5DB68800"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Попередні дані дозволяють припустити, що повторне лікування може бути оптимізованим на основі </w:t>
      </w:r>
      <w:r w:rsidR="007C2563">
        <w:rPr>
          <w:rFonts w:ascii="Times New Roman" w:hAnsi="Times New Roman" w:cs="Times New Roman"/>
          <w:color w:val="000000" w:themeColor="text1"/>
          <w:lang w:val="uk-UA"/>
        </w:rPr>
        <w:t>виявлення</w:t>
      </w:r>
      <w:r w:rsidRPr="00BA5C0A">
        <w:rPr>
          <w:rFonts w:ascii="Times New Roman" w:hAnsi="Times New Roman" w:cs="Times New Roman"/>
          <w:color w:val="000000" w:themeColor="text1"/>
          <w:lang w:val="uk-UA"/>
        </w:rPr>
        <w:t xml:space="preserve"> </w:t>
      </w:r>
      <w:r w:rsidRPr="000B795C">
        <w:rPr>
          <w:rFonts w:ascii="Times New Roman" w:hAnsi="Times New Roman" w:cs="Times New Roman"/>
          <w:color w:val="000000" w:themeColor="text1"/>
          <w:lang w:val="uk-UA"/>
        </w:rPr>
        <w:t>замін, пов’язан</w:t>
      </w:r>
      <w:r w:rsidR="007C2563">
        <w:rPr>
          <w:rFonts w:ascii="Times New Roman" w:hAnsi="Times New Roman" w:cs="Times New Roman"/>
          <w:color w:val="000000" w:themeColor="text1"/>
          <w:lang w:val="uk-UA"/>
        </w:rPr>
        <w:t>их</w:t>
      </w:r>
      <w:r w:rsidRPr="000B795C">
        <w:rPr>
          <w:rFonts w:ascii="Times New Roman" w:hAnsi="Times New Roman" w:cs="Times New Roman"/>
          <w:color w:val="000000" w:themeColor="text1"/>
          <w:lang w:val="uk-UA"/>
        </w:rPr>
        <w:t xml:space="preserve"> з резистентністю (</w:t>
      </w:r>
      <w:r w:rsidR="000B795C" w:rsidRPr="000B795C">
        <w:rPr>
          <w:rFonts w:ascii="Times New Roman" w:hAnsi="Times New Roman" w:cs="Times New Roman"/>
          <w:color w:val="000000" w:themeColor="text1"/>
          <w:lang w:val="uk-UA"/>
        </w:rPr>
        <w:t xml:space="preserve">Resistance Associated Substitution – </w:t>
      </w:r>
      <w:r w:rsidRPr="000B795C">
        <w:rPr>
          <w:rFonts w:ascii="Times New Roman" w:hAnsi="Times New Roman" w:cs="Times New Roman"/>
          <w:color w:val="000000" w:themeColor="text1"/>
          <w:lang w:val="en-US"/>
        </w:rPr>
        <w:t>RAS</w:t>
      </w:r>
      <w:r w:rsidRPr="000B795C">
        <w:rPr>
          <w:rFonts w:ascii="Times New Roman" w:hAnsi="Times New Roman" w:cs="Times New Roman"/>
          <w:color w:val="000000" w:themeColor="text1"/>
          <w:lang w:val="uk-UA"/>
        </w:rPr>
        <w:t>).</w:t>
      </w:r>
      <w:r w:rsidRPr="000B795C">
        <w:rPr>
          <w:rFonts w:ascii="Times New Roman" w:hAnsi="Times New Roman" w:cs="Times New Roman"/>
          <w:color w:val="000000" w:themeColor="text1"/>
          <w:vertAlign w:val="superscript"/>
          <w:lang w:val="uk-UA"/>
        </w:rPr>
        <w:t>263</w:t>
      </w:r>
      <w:r w:rsidRPr="000B795C">
        <w:rPr>
          <w:rFonts w:ascii="Times New Roman" w:hAnsi="Times New Roman" w:cs="Times New Roman"/>
          <w:color w:val="000000" w:themeColor="text1"/>
          <w:lang w:val="uk-UA"/>
        </w:rPr>
        <w:t xml:space="preserve"> У Таблиці 9 були підсумовані </w:t>
      </w:r>
      <w:r w:rsidRPr="000B795C">
        <w:rPr>
          <w:rFonts w:ascii="Times New Roman" w:hAnsi="Times New Roman" w:cs="Times New Roman"/>
          <w:color w:val="000000" w:themeColor="text1"/>
          <w:lang w:val="en-US"/>
        </w:rPr>
        <w:t>RAS</w:t>
      </w:r>
      <w:r w:rsidRPr="000B795C">
        <w:rPr>
          <w:rFonts w:ascii="Times New Roman" w:hAnsi="Times New Roman" w:cs="Times New Roman"/>
          <w:color w:val="000000" w:themeColor="text1"/>
          <w:lang w:val="uk-UA"/>
        </w:rPr>
        <w:t>, які, як показують, сприяють зниженню</w:t>
      </w:r>
      <w:r w:rsidRPr="00BA5C0A">
        <w:rPr>
          <w:rFonts w:ascii="Times New Roman" w:hAnsi="Times New Roman" w:cs="Times New Roman"/>
          <w:color w:val="000000" w:themeColor="text1"/>
          <w:lang w:val="uk-UA"/>
        </w:rPr>
        <w:t xml:space="preserve"> сприйнятливості до </w:t>
      </w:r>
      <w:r w:rsidRPr="00BA5C0A">
        <w:rPr>
          <w:rFonts w:ascii="Times New Roman" w:hAnsi="Times New Roman" w:cs="Times New Roman"/>
          <w:color w:val="000000" w:themeColor="text1"/>
          <w:lang w:val="uk-UA"/>
        </w:rPr>
        <w:lastRenderedPageBreak/>
        <w:t>відповідного класу лікарських засобів in vitro та/або які</w:t>
      </w:r>
      <w:r w:rsidR="00885DA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 відповідно до звітів, були обрані у якості безінтерферонових схем для пацієнтів, які не змогли досягти СВВ. </w:t>
      </w:r>
      <w:r w:rsidRPr="00BA5C0A">
        <w:rPr>
          <w:rFonts w:ascii="Times New Roman" w:hAnsi="Times New Roman" w:cs="Times New Roman"/>
          <w:color w:val="000000" w:themeColor="text1"/>
          <w:vertAlign w:val="superscript"/>
          <w:lang w:val="uk-UA"/>
        </w:rPr>
        <w:t>53, 264</w:t>
      </w:r>
      <w:r w:rsidRPr="00BA5C0A">
        <w:rPr>
          <w:rFonts w:ascii="Times New Roman" w:hAnsi="Times New Roman" w:cs="Times New Roman"/>
          <w:color w:val="000000" w:themeColor="text1"/>
          <w:lang w:val="uk-UA"/>
        </w:rPr>
        <w:t xml:space="preserve"> Ці </w:t>
      </w:r>
      <w:r w:rsidRPr="00BA5C0A">
        <w:rPr>
          <w:rFonts w:ascii="Times New Roman" w:hAnsi="Times New Roman" w:cs="Times New Roman"/>
          <w:color w:val="000000" w:themeColor="text1"/>
          <w:lang w:val="en-US"/>
        </w:rPr>
        <w:t>RAS</w:t>
      </w:r>
      <w:r w:rsidRPr="00BA5C0A">
        <w:rPr>
          <w:rFonts w:ascii="Times New Roman" w:hAnsi="Times New Roman" w:cs="Times New Roman"/>
          <w:color w:val="000000" w:themeColor="text1"/>
          <w:lang w:val="uk-UA"/>
        </w:rPr>
        <w:t xml:space="preserve"> та ряд альтернативних замін можуть бути присутніми перед повторним лікуванням у пацієнтів, які раніше лікувалися ПППД. Виходячи з сучасного стану знань, алгоритми для прийняття рішень для повторного лікування не можуть бути отримані внаслідок цих спостережень. Таким чином, під час повторного лікування слід к</w:t>
      </w:r>
      <w:r w:rsidR="00885DAA">
        <w:rPr>
          <w:rFonts w:ascii="Times New Roman" w:hAnsi="Times New Roman" w:cs="Times New Roman"/>
          <w:color w:val="000000" w:themeColor="text1"/>
          <w:lang w:val="uk-UA"/>
        </w:rPr>
        <w:t>еруватися як знаннями щодо лікарських засобів, які застосовувалися</w:t>
      </w:r>
      <w:r w:rsidRPr="00BA5C0A">
        <w:rPr>
          <w:rFonts w:ascii="Times New Roman" w:hAnsi="Times New Roman" w:cs="Times New Roman"/>
          <w:color w:val="000000" w:themeColor="text1"/>
          <w:lang w:val="uk-UA"/>
        </w:rPr>
        <w:t xml:space="preserve"> під час попередніх курсів лікування, за відсутності тесту на чутливість, та розраховуючи на ймовірність відповіді, відповідно до профілю резистентності та досвіду групи, що призначає лікування.</w:t>
      </w:r>
    </w:p>
    <w:p w14:paraId="3732EB1C" w14:textId="77777777" w:rsidR="00BA5C0A" w:rsidRPr="00BA5C0A" w:rsidRDefault="00BA5C0A" w:rsidP="00BA5C0A">
      <w:pPr>
        <w:jc w:val="both"/>
        <w:rPr>
          <w:rFonts w:ascii="Times New Roman" w:hAnsi="Times New Roman" w:cs="Times New Roman"/>
          <w:color w:val="000000" w:themeColor="text1"/>
          <w:lang w:val="uk-UA"/>
        </w:rPr>
      </w:pPr>
    </w:p>
    <w:p w14:paraId="37725B20" w14:textId="1CAC2595"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Два дослідження III фази, POLARIS</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1 та POLARIS</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4, продемонстрували безпечність та ефективність потрійної комбінації софосбувіру, велпатасвіру та воксілапревіру протягом 12 тижнів у пацієнтів, які не змогли досягти СВВ </w:t>
      </w:r>
      <w:r w:rsidR="00885DAA">
        <w:rPr>
          <w:rFonts w:ascii="Times New Roman" w:hAnsi="Times New Roman" w:cs="Times New Roman"/>
          <w:color w:val="000000" w:themeColor="text1"/>
          <w:lang w:val="uk-UA"/>
        </w:rPr>
        <w:t>при ви</w:t>
      </w:r>
      <w:r w:rsidR="007C2563">
        <w:rPr>
          <w:rFonts w:ascii="Times New Roman" w:hAnsi="Times New Roman" w:cs="Times New Roman"/>
          <w:color w:val="000000" w:themeColor="text1"/>
          <w:lang w:val="uk-UA"/>
        </w:rPr>
        <w:t>к</w:t>
      </w:r>
      <w:r w:rsidR="00885DAA">
        <w:rPr>
          <w:rFonts w:ascii="Times New Roman" w:hAnsi="Times New Roman" w:cs="Times New Roman"/>
          <w:color w:val="000000" w:themeColor="text1"/>
          <w:lang w:val="uk-UA"/>
        </w:rPr>
        <w:t>ористанні</w:t>
      </w:r>
      <w:r w:rsidRPr="00BA5C0A">
        <w:rPr>
          <w:rFonts w:ascii="Times New Roman" w:hAnsi="Times New Roman" w:cs="Times New Roman"/>
          <w:color w:val="000000" w:themeColor="text1"/>
          <w:lang w:val="uk-UA"/>
        </w:rPr>
        <w:t xml:space="preserve"> ПППД, у тому числі пацієнтів, які лікувалися інгібіторами NS5A</w:t>
      </w:r>
      <w:r w:rsidR="00770318" w:rsidRPr="00770318">
        <w:rPr>
          <w:rFonts w:ascii="Times New Roman" w:hAnsi="Times New Roman" w:cs="Times New Roman"/>
          <w:color w:val="000000" w:themeColor="text1"/>
          <w:lang w:val="uk-UA"/>
        </w:rPr>
        <w:t>.</w:t>
      </w:r>
      <w:r w:rsidRPr="00BA5C0A">
        <w:rPr>
          <w:rFonts w:ascii="Times New Roman" w:hAnsi="Times New Roman" w:cs="Times New Roman"/>
          <w:color w:val="000000" w:themeColor="text1"/>
          <w:vertAlign w:val="superscript"/>
          <w:lang w:val="uk-UA"/>
        </w:rPr>
        <w:t>265</w:t>
      </w:r>
      <w:r w:rsidRPr="00BA5C0A">
        <w:rPr>
          <w:rFonts w:ascii="Times New Roman" w:hAnsi="Times New Roman" w:cs="Times New Roman"/>
          <w:color w:val="000000" w:themeColor="text1"/>
          <w:lang w:val="uk-UA"/>
        </w:rPr>
        <w:t xml:space="preserve"> У POLARIS</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1 </w:t>
      </w:r>
      <w:r w:rsidR="00B0247D">
        <w:rPr>
          <w:rFonts w:ascii="Times New Roman" w:hAnsi="Times New Roman" w:cs="Times New Roman"/>
          <w:color w:val="000000" w:themeColor="text1"/>
          <w:lang w:val="uk-UA"/>
        </w:rPr>
        <w:t xml:space="preserve">у </w:t>
      </w:r>
      <w:r w:rsidRPr="00BA5C0A">
        <w:rPr>
          <w:rFonts w:ascii="Times New Roman" w:hAnsi="Times New Roman" w:cs="Times New Roman"/>
          <w:color w:val="000000" w:themeColor="text1"/>
          <w:lang w:val="uk-UA"/>
        </w:rPr>
        <w:t>пацієнт</w:t>
      </w:r>
      <w:r w:rsidR="00B0247D">
        <w:rPr>
          <w:rFonts w:ascii="Times New Roman" w:hAnsi="Times New Roman" w:cs="Times New Roman"/>
          <w:color w:val="000000" w:themeColor="text1"/>
          <w:lang w:val="uk-UA"/>
        </w:rPr>
        <w:t>ів</w:t>
      </w:r>
      <w:r w:rsidRPr="00BA5C0A">
        <w:rPr>
          <w:rFonts w:ascii="Times New Roman" w:hAnsi="Times New Roman" w:cs="Times New Roman"/>
          <w:color w:val="000000" w:themeColor="text1"/>
          <w:lang w:val="uk-UA"/>
        </w:rPr>
        <w:t xml:space="preserve">, </w:t>
      </w:r>
      <w:r w:rsidR="00B0247D" w:rsidRPr="00BA5C0A">
        <w:rPr>
          <w:rFonts w:ascii="Times New Roman" w:hAnsi="Times New Roman" w:cs="Times New Roman"/>
          <w:color w:val="000000" w:themeColor="text1"/>
          <w:lang w:val="uk-UA"/>
        </w:rPr>
        <w:t>які отримували софосбувір, велпатасвір та воксілапревір протягом 12 тижнів</w:t>
      </w:r>
      <w:r w:rsidR="00B0247D">
        <w:rPr>
          <w:rFonts w:ascii="Times New Roman" w:hAnsi="Times New Roman" w:cs="Times New Roman"/>
          <w:color w:val="000000" w:themeColor="text1"/>
          <w:lang w:val="uk-UA"/>
        </w:rPr>
        <w:t>,</w:t>
      </w:r>
      <w:r w:rsidR="00B0247D" w:rsidRPr="00BA5C0A">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у тому числі 46% з цирозом печінки</w:t>
      </w:r>
      <w:r w:rsidR="00B0247D">
        <w:rPr>
          <w:rFonts w:ascii="Times New Roman" w:hAnsi="Times New Roman" w:cs="Times New Roman"/>
          <w:color w:val="000000" w:themeColor="text1"/>
          <w:lang w:val="uk-UA"/>
        </w:rPr>
        <w:t xml:space="preserve"> та</w:t>
      </w:r>
      <w:r w:rsidRPr="00BA5C0A">
        <w:rPr>
          <w:rFonts w:ascii="Times New Roman" w:hAnsi="Times New Roman" w:cs="Times New Roman"/>
          <w:color w:val="000000" w:themeColor="text1"/>
          <w:lang w:val="uk-UA"/>
        </w:rPr>
        <w:t xml:space="preserve"> </w:t>
      </w:r>
      <w:r w:rsidR="00B0247D">
        <w:rPr>
          <w:rFonts w:ascii="Times New Roman" w:hAnsi="Times New Roman" w:cs="Times New Roman"/>
          <w:color w:val="000000" w:themeColor="text1"/>
          <w:lang w:val="uk-UA"/>
        </w:rPr>
        <w:t>мали</w:t>
      </w:r>
      <w:r w:rsidRPr="00BA5C0A">
        <w:rPr>
          <w:rFonts w:ascii="Times New Roman" w:hAnsi="Times New Roman" w:cs="Times New Roman"/>
          <w:color w:val="000000" w:themeColor="text1"/>
          <w:lang w:val="uk-UA"/>
        </w:rPr>
        <w:t xml:space="preserve"> досвід невдалого попереднього </w:t>
      </w:r>
      <w:r w:rsidRPr="000B795C">
        <w:rPr>
          <w:rFonts w:ascii="Times New Roman" w:hAnsi="Times New Roman" w:cs="Times New Roman"/>
          <w:color w:val="000000" w:themeColor="text1"/>
          <w:lang w:val="uk-UA"/>
        </w:rPr>
        <w:t>лікування інгібіторами, що міст</w:t>
      </w:r>
      <w:r w:rsidR="00B0247D" w:rsidRPr="000B795C">
        <w:rPr>
          <w:rFonts w:ascii="Times New Roman" w:hAnsi="Times New Roman" w:cs="Times New Roman"/>
          <w:color w:val="000000" w:themeColor="text1"/>
          <w:lang w:val="uk-UA"/>
        </w:rPr>
        <w:t>я</w:t>
      </w:r>
      <w:r w:rsidRPr="000B795C">
        <w:rPr>
          <w:rFonts w:ascii="Times New Roman" w:hAnsi="Times New Roman" w:cs="Times New Roman"/>
          <w:color w:val="000000" w:themeColor="text1"/>
          <w:lang w:val="uk-UA"/>
        </w:rPr>
        <w:t>ть NS5A, заг</w:t>
      </w:r>
      <w:r w:rsidRPr="00BA5C0A">
        <w:rPr>
          <w:rFonts w:ascii="Times New Roman" w:hAnsi="Times New Roman" w:cs="Times New Roman"/>
          <w:color w:val="000000" w:themeColor="text1"/>
          <w:lang w:val="uk-UA"/>
        </w:rPr>
        <w:t>альн</w:t>
      </w:r>
      <w:r w:rsidR="00B0247D">
        <w:rPr>
          <w:rFonts w:ascii="Times New Roman" w:hAnsi="Times New Roman" w:cs="Times New Roman"/>
          <w:color w:val="000000" w:themeColor="text1"/>
          <w:lang w:val="uk-UA"/>
        </w:rPr>
        <w:t>а</w:t>
      </w:r>
      <w:r w:rsidRPr="00BA5C0A">
        <w:rPr>
          <w:rFonts w:ascii="Times New Roman" w:hAnsi="Times New Roman" w:cs="Times New Roman"/>
          <w:color w:val="000000" w:themeColor="text1"/>
          <w:lang w:val="uk-UA"/>
        </w:rPr>
        <w:t xml:space="preserve"> частот</w:t>
      </w:r>
      <w:r w:rsidR="00B0247D">
        <w:rPr>
          <w:rFonts w:ascii="Times New Roman" w:hAnsi="Times New Roman" w:cs="Times New Roman"/>
          <w:color w:val="000000" w:themeColor="text1"/>
          <w:lang w:val="uk-UA"/>
        </w:rPr>
        <w:t>а</w:t>
      </w:r>
      <w:r w:rsidRPr="00BA5C0A">
        <w:rPr>
          <w:rFonts w:ascii="Times New Roman" w:hAnsi="Times New Roman" w:cs="Times New Roman"/>
          <w:color w:val="000000" w:themeColor="text1"/>
          <w:lang w:val="uk-UA"/>
        </w:rPr>
        <w:t xml:space="preserve"> СВВ </w:t>
      </w:r>
      <w:r w:rsidR="00B0247D">
        <w:rPr>
          <w:rFonts w:ascii="Times New Roman" w:hAnsi="Times New Roman" w:cs="Times New Roman"/>
          <w:color w:val="000000" w:themeColor="text1"/>
          <w:lang w:val="uk-UA"/>
        </w:rPr>
        <w:t xml:space="preserve">становила </w:t>
      </w:r>
      <w:r w:rsidRPr="00BA5C0A">
        <w:rPr>
          <w:rFonts w:ascii="Times New Roman" w:hAnsi="Times New Roman" w:cs="Times New Roman"/>
          <w:color w:val="000000" w:themeColor="text1"/>
          <w:lang w:val="uk-UA"/>
        </w:rPr>
        <w:t>96% (253/263)</w:t>
      </w:r>
      <w:r w:rsidR="00B0247D">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 Під час лікування було виявлено один вірус</w:t>
      </w:r>
      <w:r w:rsidR="000D3C3C">
        <w:rPr>
          <w:rFonts w:ascii="Times New Roman" w:hAnsi="Times New Roman" w:cs="Times New Roman"/>
          <w:color w:val="000000" w:themeColor="text1"/>
          <w:lang w:val="uk-UA"/>
        </w:rPr>
        <w:t xml:space="preserve">ологічний </w:t>
      </w:r>
      <w:r w:rsidRPr="00BA5C0A">
        <w:rPr>
          <w:rFonts w:ascii="Times New Roman" w:hAnsi="Times New Roman" w:cs="Times New Roman"/>
          <w:color w:val="000000" w:themeColor="text1"/>
          <w:lang w:val="uk-UA"/>
        </w:rPr>
        <w:t xml:space="preserve">прорив та 6 рецидивів після повторної терапії. СВВ була більш частою у пацієнтів без цирозу, ніж у тих, хто мав цироз (99% та 93% відповідно). Ні генотип ВГС, ні профіль RAS на початок лікування не впливали на відповідь. Серед 7 хворих з вірусологічною невдачею,  NS3 RAS (Q80K) були присутні у 2 випадках та NSSA RAS (у положенні 30 або 93) у 6 випадках на початок повторного лікування. Додаткові NS5A </w:t>
      </w:r>
      <w:r w:rsidR="000B795C" w:rsidRPr="00BA5C0A">
        <w:rPr>
          <w:rFonts w:ascii="Times New Roman" w:hAnsi="Times New Roman" w:cs="Times New Roman"/>
          <w:color w:val="000000" w:themeColor="text1"/>
          <w:lang w:val="uk-UA"/>
        </w:rPr>
        <w:t xml:space="preserve">RAS </w:t>
      </w:r>
      <w:r w:rsidRPr="00BA5C0A">
        <w:rPr>
          <w:rFonts w:ascii="Times New Roman" w:hAnsi="Times New Roman" w:cs="Times New Roman"/>
          <w:color w:val="000000" w:themeColor="text1"/>
          <w:lang w:val="uk-UA"/>
        </w:rPr>
        <w:t>були присутні при вірусологічній невдачі лише у двох з них.</w:t>
      </w:r>
      <w:r w:rsidRPr="00BA5C0A">
        <w:rPr>
          <w:rFonts w:ascii="Times New Roman" w:hAnsi="Times New Roman" w:cs="Times New Roman"/>
          <w:color w:val="000000" w:themeColor="text1"/>
          <w:vertAlign w:val="superscript"/>
          <w:lang w:val="uk-UA"/>
        </w:rPr>
        <w:t>265</w:t>
      </w:r>
    </w:p>
    <w:bookmarkEnd w:id="4"/>
    <w:p w14:paraId="391EBF2E" w14:textId="095A7BDD" w:rsidR="00BA5C0A" w:rsidRPr="00BA5C0A" w:rsidRDefault="00BA5C0A" w:rsidP="00BA5C0A">
      <w:pPr>
        <w:jc w:val="both"/>
        <w:rPr>
          <w:rFonts w:ascii="Times New Roman" w:hAnsi="Times New Roman" w:cs="Times New Roman"/>
          <w:color w:val="000000" w:themeColor="text1"/>
          <w:vertAlign w:val="superscript"/>
          <w:lang w:val="uk-UA"/>
        </w:rPr>
      </w:pPr>
      <w:r w:rsidRPr="00BA5C0A">
        <w:rPr>
          <w:rFonts w:ascii="Times New Roman" w:hAnsi="Times New Roman" w:cs="Times New Roman"/>
          <w:color w:val="000000" w:themeColor="text1"/>
          <w:lang w:val="uk-UA"/>
        </w:rPr>
        <w:t>POLARIS</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4 включав пацієнтів, які раніше не змогли досягти СВВ після курсу лікування на основі ПППД, без інгібіторів NS5A, 46% з яких мали цироз. Загальний показник СВВ12 становив 98% (178/182, один рецидив) у пацієнтів, рандомізованих для прийому софосбувіру, велпатасвіру та воксілапревіру протягом 12 тижнів, у порівнянні з 90% (136/151, один вірусологічний прорив, 14 рецидивів) у аналогічних пацієнтів, які лікувалися тільки софосбувіром і велпатасвіром у той же проміжок часу. Ні генотип ВГС, ні профіль RAS на початк</w:t>
      </w:r>
      <w:r w:rsidR="00B0247D">
        <w:rPr>
          <w:rFonts w:ascii="Times New Roman" w:hAnsi="Times New Roman" w:cs="Times New Roman"/>
          <w:color w:val="000000" w:themeColor="text1"/>
          <w:lang w:val="uk-UA"/>
        </w:rPr>
        <w:t>у</w:t>
      </w:r>
      <w:r w:rsidRPr="00BA5C0A">
        <w:rPr>
          <w:rFonts w:ascii="Times New Roman" w:hAnsi="Times New Roman" w:cs="Times New Roman"/>
          <w:color w:val="000000" w:themeColor="text1"/>
          <w:lang w:val="uk-UA"/>
        </w:rPr>
        <w:t xml:space="preserve"> лікування не впливали на відповідь у пацієнтів, які отримували потрійну комбінацію. СВВ було досягнуто у 98% (42/43) пацієнтів без виявлених </w:t>
      </w:r>
      <w:r w:rsidRPr="00BA5C0A">
        <w:rPr>
          <w:rFonts w:ascii="Times New Roman" w:hAnsi="Times New Roman" w:cs="Times New Roman"/>
          <w:color w:val="000000" w:themeColor="text1"/>
          <w:lang w:val="en-US"/>
        </w:rPr>
        <w:t>RAS</w:t>
      </w:r>
      <w:r w:rsidRPr="00BA5C0A">
        <w:rPr>
          <w:rFonts w:ascii="Times New Roman" w:hAnsi="Times New Roman" w:cs="Times New Roman"/>
          <w:color w:val="000000" w:themeColor="text1"/>
          <w:lang w:val="uk-UA"/>
        </w:rPr>
        <w:t xml:space="preserve"> та у 97% (199/205) пацієнтів з будь</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якими NS3 та/або NS5A RAS. Пацієнти, </w:t>
      </w:r>
      <w:r w:rsidR="00B0247D">
        <w:rPr>
          <w:rFonts w:ascii="Times New Roman" w:hAnsi="Times New Roman" w:cs="Times New Roman"/>
          <w:color w:val="000000" w:themeColor="text1"/>
          <w:lang w:val="uk-UA"/>
        </w:rPr>
        <w:t xml:space="preserve">у яких було виявлено рецидив, </w:t>
      </w:r>
      <w:r w:rsidRPr="00BA5C0A">
        <w:rPr>
          <w:rFonts w:ascii="Times New Roman" w:hAnsi="Times New Roman" w:cs="Times New Roman"/>
          <w:color w:val="000000" w:themeColor="text1"/>
          <w:lang w:val="uk-UA"/>
        </w:rPr>
        <w:t xml:space="preserve">не мали виявлених RAS на початковому рівні чи після вірусологічної невдачі. </w:t>
      </w:r>
      <w:r w:rsidRPr="00BA5C0A">
        <w:rPr>
          <w:rFonts w:ascii="Times New Roman" w:hAnsi="Times New Roman" w:cs="Times New Roman"/>
          <w:color w:val="000000" w:themeColor="text1"/>
          <w:vertAlign w:val="superscript"/>
          <w:lang w:val="uk-UA"/>
        </w:rPr>
        <w:t>265</w:t>
      </w:r>
    </w:p>
    <w:p w14:paraId="6B991868" w14:textId="77777777" w:rsidR="00BA5C0A" w:rsidRPr="00BA5C0A" w:rsidRDefault="00BA5C0A" w:rsidP="00BA5C0A">
      <w:pPr>
        <w:jc w:val="both"/>
        <w:rPr>
          <w:rFonts w:ascii="Times New Roman" w:hAnsi="Times New Roman" w:cs="Times New Roman"/>
          <w:color w:val="000000" w:themeColor="text1"/>
          <w:vertAlign w:val="superscript"/>
          <w:lang w:val="uk-UA"/>
        </w:rPr>
      </w:pPr>
    </w:p>
    <w:p w14:paraId="6B4A3FAC" w14:textId="77777777"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Таким чином, потрійна комбінація софосбувіру, велпатасвіру та воксілапревіру є терапією вибору для повторного лікування пацієнтів, які не змогли досягти СВВ після курсу лікування на основі ПППД, що не містить IFN.</w:t>
      </w:r>
    </w:p>
    <w:p w14:paraId="1A7986EC" w14:textId="77777777" w:rsidR="00BA5C0A" w:rsidRPr="00BA5C0A" w:rsidRDefault="00BA5C0A" w:rsidP="00BA5C0A">
      <w:pPr>
        <w:jc w:val="both"/>
        <w:rPr>
          <w:rFonts w:ascii="Times New Roman" w:hAnsi="Times New Roman" w:cs="Times New Roman"/>
          <w:color w:val="000000" w:themeColor="text1"/>
          <w:lang w:val="uk-UA"/>
        </w:rPr>
      </w:pPr>
    </w:p>
    <w:p w14:paraId="4339D2B1" w14:textId="12B1D281"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Дослідження MAGELLAN</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1 показало, що комбінація глікапревіру та пібрентасвіру не має достатньо високого бар'єру резистентності для досягнення оптимальних показників СВВ у пацієнтів, які раніше лікувалися інгібіторами NS5A.</w:t>
      </w:r>
      <w:r w:rsidRPr="00BA5C0A">
        <w:rPr>
          <w:rFonts w:ascii="Times New Roman" w:hAnsi="Times New Roman" w:cs="Times New Roman"/>
          <w:color w:val="000000" w:themeColor="text1"/>
          <w:vertAlign w:val="superscript"/>
          <w:lang w:val="uk-UA"/>
        </w:rPr>
        <w:t>266</w:t>
      </w:r>
      <w:r w:rsidRPr="00BA5C0A">
        <w:rPr>
          <w:rFonts w:ascii="Times New Roman" w:hAnsi="Times New Roman" w:cs="Times New Roman"/>
          <w:color w:val="000000" w:themeColor="text1"/>
          <w:lang w:val="uk-UA"/>
        </w:rPr>
        <w:t xml:space="preserve"> Таким чином, ця комбінація не показана для повторного лікування пацієнтів, які раніше зазнали невдачі, лікуючись ПППД</w:t>
      </w:r>
      <w:r w:rsidR="00ED7C6C">
        <w:rPr>
          <w:rFonts w:ascii="Times New Roman" w:hAnsi="Times New Roman" w:cs="Times New Roman"/>
          <w:color w:val="000000" w:themeColor="text1"/>
          <w:lang w:val="uk-UA"/>
        </w:rPr>
        <w:t>, особливо якщо ця схема містила</w:t>
      </w:r>
      <w:r w:rsidRPr="00BA5C0A">
        <w:rPr>
          <w:rFonts w:ascii="Times New Roman" w:hAnsi="Times New Roman" w:cs="Times New Roman"/>
          <w:color w:val="000000" w:themeColor="text1"/>
          <w:lang w:val="uk-UA"/>
        </w:rPr>
        <w:t xml:space="preserve"> інгібітор NS5А. </w:t>
      </w:r>
      <w:r w:rsidR="00ED7C6C">
        <w:rPr>
          <w:rFonts w:ascii="Times New Roman" w:hAnsi="Times New Roman" w:cs="Times New Roman"/>
          <w:color w:val="000000" w:themeColor="text1"/>
          <w:lang w:val="uk-UA"/>
        </w:rPr>
        <w:t>Водночас</w:t>
      </w:r>
      <w:r w:rsidRPr="00BA5C0A">
        <w:rPr>
          <w:rFonts w:ascii="Times New Roman" w:hAnsi="Times New Roman" w:cs="Times New Roman"/>
          <w:color w:val="000000" w:themeColor="text1"/>
          <w:lang w:val="uk-UA"/>
        </w:rPr>
        <w:t xml:space="preserve">, потрійна комбінація софосбувіру з інгібітором NS3 протеази та інгібітором NS5A, як видається, краще підходить для повторного лікування пацієнтів, які мали досвід лікування ПППД. Оскільки пібрентасвір має більш високий бар'єр резистентності, ніж всі інші затверджені інгібітори NS5A </w:t>
      </w:r>
      <w:r w:rsidRPr="00BA5C0A">
        <w:rPr>
          <w:rFonts w:ascii="Times New Roman" w:hAnsi="Times New Roman" w:cs="Times New Roman"/>
          <w:i/>
          <w:color w:val="000000" w:themeColor="text1"/>
          <w:lang w:val="uk-UA"/>
        </w:rPr>
        <w:t>in vitro</w:t>
      </w:r>
      <w:r w:rsidRPr="00BA5C0A">
        <w:rPr>
          <w:rFonts w:ascii="Times New Roman" w:hAnsi="Times New Roman" w:cs="Times New Roman"/>
          <w:color w:val="000000" w:themeColor="text1"/>
          <w:lang w:val="uk-UA"/>
        </w:rPr>
        <w:t>,</w:t>
      </w:r>
      <w:r w:rsidRPr="00BA5C0A">
        <w:rPr>
          <w:rFonts w:ascii="Times New Roman" w:hAnsi="Times New Roman" w:cs="Times New Roman"/>
          <w:color w:val="000000" w:themeColor="text1"/>
          <w:vertAlign w:val="superscript"/>
          <w:lang w:val="uk-UA"/>
        </w:rPr>
        <w:t>105</w:t>
      </w:r>
      <w:r w:rsidRPr="00BA5C0A">
        <w:rPr>
          <w:rFonts w:ascii="Times New Roman" w:hAnsi="Times New Roman" w:cs="Times New Roman"/>
          <w:color w:val="000000" w:themeColor="text1"/>
          <w:lang w:val="uk-UA"/>
        </w:rPr>
        <w:t xml:space="preserve"> потрійна комбінація софосбувіру та комбінація фіксованих доз глікапревіру та пібрентасвіру можуть бути альтернативою для повторного лікування “важких у лікуванні пацієнтів”, </w:t>
      </w:r>
      <w:r w:rsidR="00ED7C6C">
        <w:rPr>
          <w:rFonts w:ascii="Times New Roman" w:hAnsi="Times New Roman" w:cs="Times New Roman"/>
          <w:color w:val="000000" w:themeColor="text1"/>
          <w:lang w:val="uk-UA"/>
        </w:rPr>
        <w:t>зокрема таких,</w:t>
      </w:r>
      <w:r w:rsidRPr="00BA5C0A">
        <w:rPr>
          <w:rFonts w:ascii="Times New Roman" w:hAnsi="Times New Roman" w:cs="Times New Roman"/>
          <w:color w:val="000000" w:themeColor="text1"/>
          <w:lang w:val="uk-UA"/>
        </w:rPr>
        <w:t xml:space="preserve"> у кого виявляється скла</w:t>
      </w:r>
      <w:r w:rsidR="00ED7C6C">
        <w:rPr>
          <w:rFonts w:ascii="Times New Roman" w:hAnsi="Times New Roman" w:cs="Times New Roman"/>
          <w:color w:val="000000" w:themeColor="text1"/>
          <w:lang w:val="uk-UA"/>
        </w:rPr>
        <w:t xml:space="preserve">дна структура NS5A </w:t>
      </w:r>
      <w:r w:rsidR="000B795C">
        <w:rPr>
          <w:rFonts w:ascii="Times New Roman" w:hAnsi="Times New Roman" w:cs="Times New Roman"/>
          <w:color w:val="000000" w:themeColor="text1"/>
          <w:lang w:val="uk-UA"/>
        </w:rPr>
        <w:t xml:space="preserve">RAS </w:t>
      </w:r>
      <w:r w:rsidR="00ED7C6C">
        <w:rPr>
          <w:rFonts w:ascii="Times New Roman" w:hAnsi="Times New Roman" w:cs="Times New Roman"/>
          <w:color w:val="000000" w:themeColor="text1"/>
          <w:lang w:val="uk-UA"/>
        </w:rPr>
        <w:t>та/або тих</w:t>
      </w:r>
      <w:r w:rsidRPr="00BA5C0A">
        <w:rPr>
          <w:rFonts w:ascii="Times New Roman" w:hAnsi="Times New Roman" w:cs="Times New Roman"/>
          <w:color w:val="000000" w:themeColor="text1"/>
          <w:lang w:val="uk-UA"/>
        </w:rPr>
        <w:t xml:space="preserve">, хто має прогресуючі захворювання печінки (крім декомпенсованого цирозу), які зазнали декількох невдалих </w:t>
      </w:r>
      <w:r w:rsidR="00ED7C6C">
        <w:rPr>
          <w:rFonts w:ascii="Times New Roman" w:hAnsi="Times New Roman" w:cs="Times New Roman"/>
          <w:color w:val="000000" w:themeColor="text1"/>
          <w:lang w:val="uk-UA"/>
        </w:rPr>
        <w:t>спроб</w:t>
      </w:r>
      <w:r w:rsidRPr="00BA5C0A">
        <w:rPr>
          <w:rFonts w:ascii="Times New Roman" w:hAnsi="Times New Roman" w:cs="Times New Roman"/>
          <w:color w:val="000000" w:themeColor="text1"/>
          <w:lang w:val="uk-UA"/>
        </w:rPr>
        <w:t xml:space="preserve"> лікування. Спостерігалися окремі індивідуальні випадки успішного повторного лікування таких пацієнтів з комбінацією софосбувіру, глекапревіру та пібрентасвіру. Нещодавно були представлені </w:t>
      </w:r>
      <w:r w:rsidRPr="00BA5C0A">
        <w:rPr>
          <w:rFonts w:ascii="Times New Roman" w:hAnsi="Times New Roman" w:cs="Times New Roman"/>
          <w:color w:val="000000" w:themeColor="text1"/>
          <w:lang w:val="uk-UA"/>
        </w:rPr>
        <w:lastRenderedPageBreak/>
        <w:t xml:space="preserve">попередні результати безперервного клінічного випробування. Двадцять три пацієнти, які не змогли досягти СВВ через 8, 12 або 16 тижнів </w:t>
      </w:r>
      <w:r w:rsidR="00B0247D">
        <w:rPr>
          <w:rFonts w:ascii="Times New Roman" w:hAnsi="Times New Roman" w:cs="Times New Roman"/>
          <w:color w:val="000000" w:themeColor="text1"/>
          <w:lang w:val="uk-UA"/>
        </w:rPr>
        <w:t xml:space="preserve">прийому </w:t>
      </w:r>
      <w:r w:rsidRPr="00BA5C0A">
        <w:rPr>
          <w:rFonts w:ascii="Times New Roman" w:hAnsi="Times New Roman" w:cs="Times New Roman"/>
          <w:color w:val="000000" w:themeColor="text1"/>
          <w:lang w:val="uk-UA"/>
        </w:rPr>
        <w:t>комбінації</w:t>
      </w:r>
      <w:r w:rsidR="00ED7C6C">
        <w:rPr>
          <w:rFonts w:ascii="Times New Roman" w:hAnsi="Times New Roman" w:cs="Times New Roman"/>
          <w:color w:val="000000" w:themeColor="text1"/>
          <w:lang w:val="uk-UA"/>
        </w:rPr>
        <w:t xml:space="preserve"> глікапревіру та пібрентасвіру у</w:t>
      </w:r>
      <w:r w:rsidRPr="00BA5C0A">
        <w:rPr>
          <w:rFonts w:ascii="Times New Roman" w:hAnsi="Times New Roman" w:cs="Times New Roman"/>
          <w:color w:val="000000" w:themeColor="text1"/>
          <w:lang w:val="uk-UA"/>
        </w:rPr>
        <w:t xml:space="preserve"> дослідженнях фази II і III, пере</w:t>
      </w:r>
      <w:r w:rsidR="00B0247D">
        <w:rPr>
          <w:rFonts w:ascii="Times New Roman" w:hAnsi="Times New Roman" w:cs="Times New Roman"/>
          <w:color w:val="000000" w:themeColor="text1"/>
          <w:lang w:val="uk-UA"/>
        </w:rPr>
        <w:t>й</w:t>
      </w:r>
      <w:r w:rsidRPr="00BA5C0A">
        <w:rPr>
          <w:rFonts w:ascii="Times New Roman" w:hAnsi="Times New Roman" w:cs="Times New Roman"/>
          <w:color w:val="000000" w:themeColor="text1"/>
          <w:lang w:val="uk-UA"/>
        </w:rPr>
        <w:t xml:space="preserve">шли на комбінацію софосбувір, глекапревір та пібрентасвір з рибавірином протягом 12 (n = 2) або 16 (n = 21) тижнів. СВВ спостерігалося у 96% випадків (22/23; один рецидив). Комбінація була безпечною та добре переносилась. </w:t>
      </w:r>
      <w:r w:rsidRPr="00BA5C0A">
        <w:rPr>
          <w:rFonts w:ascii="Times New Roman" w:hAnsi="Times New Roman" w:cs="Times New Roman"/>
          <w:color w:val="000000" w:themeColor="text1"/>
          <w:vertAlign w:val="superscript"/>
          <w:lang w:val="uk-UA"/>
        </w:rPr>
        <w:t>267</w:t>
      </w:r>
    </w:p>
    <w:p w14:paraId="1C54AAAB" w14:textId="77777777" w:rsidR="00BA5C0A" w:rsidRPr="00BA5C0A" w:rsidRDefault="00BA5C0A" w:rsidP="00BA5C0A">
      <w:pPr>
        <w:jc w:val="both"/>
        <w:rPr>
          <w:rFonts w:ascii="Times New Roman" w:hAnsi="Times New Roman" w:cs="Times New Roman"/>
          <w:color w:val="000000" w:themeColor="text1"/>
          <w:lang w:val="uk-UA"/>
        </w:rPr>
      </w:pPr>
    </w:p>
    <w:p w14:paraId="772417D7" w14:textId="66D4C45C" w:rsidR="00BA5C0A" w:rsidRPr="00BA5C0A" w:rsidRDefault="00B0247D" w:rsidP="00BA5C0A">
      <w:pPr>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Для </w:t>
      </w:r>
      <w:r w:rsidR="00BA5C0A" w:rsidRPr="00BA5C0A">
        <w:rPr>
          <w:rFonts w:ascii="Times New Roman" w:hAnsi="Times New Roman" w:cs="Times New Roman"/>
          <w:color w:val="000000" w:themeColor="text1"/>
          <w:lang w:val="uk-UA"/>
        </w:rPr>
        <w:t xml:space="preserve">особливо “важких у лікуванні пацієнтів”, які раніше мали досвід лікування інгібіторами NS5A, </w:t>
      </w:r>
      <w:r>
        <w:rPr>
          <w:rFonts w:ascii="Times New Roman" w:hAnsi="Times New Roman" w:cs="Times New Roman"/>
          <w:color w:val="000000" w:themeColor="text1"/>
          <w:lang w:val="uk-UA"/>
        </w:rPr>
        <w:t xml:space="preserve">до </w:t>
      </w:r>
      <w:r w:rsidR="00BA5C0A" w:rsidRPr="00BA5C0A">
        <w:rPr>
          <w:rFonts w:ascii="Times New Roman" w:hAnsi="Times New Roman" w:cs="Times New Roman"/>
          <w:color w:val="000000" w:themeColor="text1"/>
          <w:lang w:val="uk-UA"/>
        </w:rPr>
        <w:t>комбінації софосбувіру, велпатасвіру та воксілапревіру, а також софосбувіру, глекапревіру та пібрентасвіру теоретично мож</w:t>
      </w:r>
      <w:r>
        <w:rPr>
          <w:rFonts w:ascii="Times New Roman" w:hAnsi="Times New Roman" w:cs="Times New Roman"/>
          <w:color w:val="000000" w:themeColor="text1"/>
          <w:lang w:val="uk-UA"/>
        </w:rPr>
        <w:t>е бути корисним д</w:t>
      </w:r>
      <w:r w:rsidR="00BA5C0A" w:rsidRPr="00BA5C0A">
        <w:rPr>
          <w:rFonts w:ascii="Times New Roman" w:hAnsi="Times New Roman" w:cs="Times New Roman"/>
          <w:color w:val="000000" w:themeColor="text1"/>
          <w:lang w:val="uk-UA"/>
        </w:rPr>
        <w:t xml:space="preserve">одавання рибавірину у дозуванні, розрахованому відповідно маси тілу та/або подовження тривалості лікування від 16 до 24 тижнів. Проте немає даних для підтвердження </w:t>
      </w:r>
      <w:r>
        <w:rPr>
          <w:rFonts w:ascii="Times New Roman" w:hAnsi="Times New Roman" w:cs="Times New Roman"/>
          <w:color w:val="000000" w:themeColor="text1"/>
          <w:lang w:val="uk-UA"/>
        </w:rPr>
        <w:t xml:space="preserve">ефективності </w:t>
      </w:r>
      <w:r w:rsidR="00BA5C0A" w:rsidRPr="00BA5C0A">
        <w:rPr>
          <w:rFonts w:ascii="Times New Roman" w:hAnsi="Times New Roman" w:cs="Times New Roman"/>
          <w:color w:val="000000" w:themeColor="text1"/>
          <w:lang w:val="uk-UA"/>
        </w:rPr>
        <w:t>цього режиму лікування</w:t>
      </w:r>
      <w:r>
        <w:rPr>
          <w:rFonts w:ascii="Times New Roman" w:hAnsi="Times New Roman" w:cs="Times New Roman"/>
          <w:color w:val="000000" w:themeColor="text1"/>
          <w:lang w:val="uk-UA"/>
        </w:rPr>
        <w:t>. К</w:t>
      </w:r>
      <w:r w:rsidR="00BA5C0A" w:rsidRPr="00BA5C0A">
        <w:rPr>
          <w:rFonts w:ascii="Times New Roman" w:hAnsi="Times New Roman" w:cs="Times New Roman"/>
          <w:color w:val="000000" w:themeColor="text1"/>
          <w:lang w:val="uk-UA"/>
        </w:rPr>
        <w:t>інцеве рішення повинно прийматися</w:t>
      </w:r>
      <w:r w:rsidR="00ED7C6C">
        <w:rPr>
          <w:rFonts w:ascii="Times New Roman" w:hAnsi="Times New Roman" w:cs="Times New Roman"/>
          <w:color w:val="000000" w:themeColor="text1"/>
          <w:lang w:val="uk-UA"/>
        </w:rPr>
        <w:t xml:space="preserve"> щодо кожного хворого індивідуально</w:t>
      </w:r>
      <w:r w:rsidR="00BA5C0A" w:rsidRPr="00BA5C0A">
        <w:rPr>
          <w:rFonts w:ascii="Times New Roman" w:hAnsi="Times New Roman" w:cs="Times New Roman"/>
          <w:color w:val="000000" w:themeColor="text1"/>
          <w:lang w:val="uk-UA"/>
        </w:rPr>
        <w:t xml:space="preserve"> експертними міждисциплінарними групами, </w:t>
      </w:r>
      <w:r w:rsidR="00ED7C6C">
        <w:rPr>
          <w:rFonts w:ascii="Times New Roman" w:hAnsi="Times New Roman" w:cs="Times New Roman"/>
          <w:color w:val="000000" w:themeColor="text1"/>
          <w:lang w:val="uk-UA"/>
        </w:rPr>
        <w:t>враховуючи тяжкість захворювання печінки та/або позапечінкових проявів</w:t>
      </w:r>
      <w:r w:rsidR="00BA5C0A" w:rsidRPr="00BA5C0A">
        <w:rPr>
          <w:rFonts w:ascii="Times New Roman" w:hAnsi="Times New Roman" w:cs="Times New Roman"/>
          <w:color w:val="000000" w:themeColor="text1"/>
          <w:lang w:val="uk-UA"/>
        </w:rPr>
        <w:t>, попередні</w:t>
      </w:r>
      <w:r w:rsidR="00ED7C6C">
        <w:rPr>
          <w:rFonts w:ascii="Times New Roman" w:hAnsi="Times New Roman" w:cs="Times New Roman"/>
          <w:color w:val="000000" w:themeColor="text1"/>
          <w:lang w:val="uk-UA"/>
        </w:rPr>
        <w:t>х невдалих курсів</w:t>
      </w:r>
      <w:r w:rsidR="00BA5C0A" w:rsidRPr="00BA5C0A">
        <w:rPr>
          <w:rFonts w:ascii="Times New Roman" w:hAnsi="Times New Roman" w:cs="Times New Roman"/>
          <w:color w:val="000000" w:themeColor="text1"/>
          <w:lang w:val="uk-UA"/>
        </w:rPr>
        <w:t xml:space="preserve"> лікування, профілі</w:t>
      </w:r>
      <w:r w:rsidR="00ED7C6C">
        <w:rPr>
          <w:rFonts w:ascii="Times New Roman" w:hAnsi="Times New Roman" w:cs="Times New Roman"/>
          <w:color w:val="000000" w:themeColor="text1"/>
          <w:lang w:val="uk-UA"/>
        </w:rPr>
        <w:t>в</w:t>
      </w:r>
      <w:r w:rsidR="00BA5C0A" w:rsidRPr="00BA5C0A">
        <w:rPr>
          <w:rFonts w:ascii="Times New Roman" w:hAnsi="Times New Roman" w:cs="Times New Roman"/>
          <w:color w:val="000000" w:themeColor="text1"/>
          <w:lang w:val="uk-UA"/>
        </w:rPr>
        <w:t xml:space="preserve"> RAS і т. д. Наявність декомпенсованого цирозу передбачає відмову від застосування схем на основі інгібіторів протеаз, не відміняючи необхідності якнайшвидшого початку повторного лікування.</w:t>
      </w:r>
    </w:p>
    <w:p w14:paraId="3EB39C60" w14:textId="77777777" w:rsidR="00BA5C0A" w:rsidRPr="00BA5C0A" w:rsidRDefault="00BA5C0A" w:rsidP="00BA5C0A">
      <w:pPr>
        <w:jc w:val="both"/>
        <w:rPr>
          <w:rFonts w:ascii="Times New Roman" w:hAnsi="Times New Roman" w:cs="Times New Roman"/>
          <w:lang w:val="uk-UA"/>
        </w:rPr>
      </w:pPr>
    </w:p>
    <w:tbl>
      <w:tblPr>
        <w:tblW w:w="983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BA5C0A" w:rsidRPr="0080595E" w14:paraId="2CA4AEA6" w14:textId="77777777" w:rsidTr="00D669CB">
        <w:trPr>
          <w:trHeight w:val="544"/>
        </w:trPr>
        <w:tc>
          <w:tcPr>
            <w:tcW w:w="9836" w:type="dxa"/>
            <w:shd w:val="clear" w:color="auto" w:fill="BDD6EE" w:themeFill="accent1" w:themeFillTint="66"/>
          </w:tcPr>
          <w:p w14:paraId="0B82DFBA" w14:textId="5D6D224B" w:rsidR="00BA5C0A" w:rsidRDefault="00BA5C0A" w:rsidP="00BA5C0A">
            <w:pPr>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Рекомендації</w:t>
            </w:r>
          </w:p>
          <w:p w14:paraId="3EC97548" w14:textId="77777777" w:rsidR="00D669CB" w:rsidRPr="00BA5C0A" w:rsidRDefault="00D669CB" w:rsidP="00BA5C0A">
            <w:pPr>
              <w:jc w:val="both"/>
              <w:rPr>
                <w:rFonts w:ascii="Times New Roman" w:hAnsi="Times New Roman" w:cs="Times New Roman"/>
                <w:b/>
                <w:color w:val="4472C4" w:themeColor="accent5"/>
                <w:lang w:val="uk-UA"/>
              </w:rPr>
            </w:pPr>
          </w:p>
          <w:p w14:paraId="36CD95AC" w14:textId="79A56FBD" w:rsidR="00BA5C0A" w:rsidRPr="00BA5C0A" w:rsidRDefault="00BA5C0A" w:rsidP="00015E3B">
            <w:pPr>
              <w:numPr>
                <w:ilvl w:val="0"/>
                <w:numId w:val="51"/>
              </w:numPr>
              <w:contextualSpacing/>
              <w:jc w:val="both"/>
              <w:rPr>
                <w:rFonts w:ascii="Times New Roman" w:hAnsi="Times New Roman" w:cs="Times New Roman"/>
                <w:lang w:val="uk-UA"/>
              </w:rPr>
            </w:pPr>
            <w:r w:rsidRPr="00BA5C0A">
              <w:rPr>
                <w:rFonts w:ascii="Times New Roman" w:hAnsi="Times New Roman" w:cs="Times New Roman"/>
                <w:lang w:val="uk-UA"/>
              </w:rPr>
              <w:t>Пацієнти, які зазнали невдачі після проходження терапії, заснованої на      пегільованому IFN</w:t>
            </w:r>
            <w:r w:rsidR="00FC6D8A">
              <w:rPr>
                <w:rFonts w:ascii="Times New Roman" w:hAnsi="Times New Roman" w:cs="Times New Roman"/>
                <w:lang w:val="uk-UA"/>
              </w:rPr>
              <w:t>–</w:t>
            </w:r>
            <w:r w:rsidRPr="00BA5C0A">
              <w:rPr>
                <w:rFonts w:ascii="Times New Roman" w:hAnsi="Times New Roman" w:cs="Times New Roman"/>
                <w:lang w:val="uk-UA"/>
              </w:rPr>
              <w:t>a</w:t>
            </w:r>
            <w:r w:rsidR="00ED7C6C">
              <w:rPr>
                <w:rFonts w:ascii="Times New Roman" w:hAnsi="Times New Roman" w:cs="Times New Roman"/>
                <w:lang w:val="uk-UA"/>
              </w:rPr>
              <w:t>льфі</w:t>
            </w:r>
            <w:r w:rsidRPr="00BA5C0A">
              <w:rPr>
                <w:rFonts w:ascii="Times New Roman" w:hAnsi="Times New Roman" w:cs="Times New Roman"/>
                <w:lang w:val="uk-UA"/>
              </w:rPr>
              <w:t xml:space="preserve"> і рибавірині, пегільованому IFN</w:t>
            </w:r>
            <w:r w:rsidR="00FC6D8A">
              <w:rPr>
                <w:rFonts w:ascii="Times New Roman" w:hAnsi="Times New Roman" w:cs="Times New Roman"/>
                <w:lang w:val="uk-UA"/>
              </w:rPr>
              <w:t>–</w:t>
            </w:r>
            <w:r w:rsidRPr="00BA5C0A">
              <w:rPr>
                <w:rFonts w:ascii="Times New Roman" w:hAnsi="Times New Roman" w:cs="Times New Roman"/>
                <w:lang w:val="uk-UA"/>
              </w:rPr>
              <w:t>a</w:t>
            </w:r>
            <w:r w:rsidR="00ED7C6C">
              <w:rPr>
                <w:rFonts w:ascii="Times New Roman" w:hAnsi="Times New Roman" w:cs="Times New Roman"/>
                <w:lang w:val="uk-UA"/>
              </w:rPr>
              <w:t>льфі</w:t>
            </w:r>
            <w:r w:rsidRPr="00BA5C0A">
              <w:rPr>
                <w:rFonts w:ascii="Times New Roman" w:hAnsi="Times New Roman" w:cs="Times New Roman"/>
                <w:lang w:val="uk-UA"/>
              </w:rPr>
              <w:t>, рибавірині та софосбувірі або комбінованому лікуванні софосбувіру та рибавірину, повинні пройти повторне лікування відповідно до вище</w:t>
            </w:r>
            <w:r w:rsidR="00B0247D">
              <w:rPr>
                <w:rFonts w:ascii="Times New Roman" w:hAnsi="Times New Roman" w:cs="Times New Roman"/>
                <w:lang w:val="uk-UA"/>
              </w:rPr>
              <w:t>наведени</w:t>
            </w:r>
            <w:r w:rsidRPr="00BA5C0A">
              <w:rPr>
                <w:rFonts w:ascii="Times New Roman" w:hAnsi="Times New Roman" w:cs="Times New Roman"/>
                <w:lang w:val="uk-UA"/>
              </w:rPr>
              <w:t>х рекомендацій для пацієнтів із «досвідом лікування» з огляду на генотип ВГС (A1)</w:t>
            </w:r>
            <w:r w:rsidR="00D669CB">
              <w:rPr>
                <w:rFonts w:ascii="Times New Roman" w:hAnsi="Times New Roman" w:cs="Times New Roman"/>
                <w:lang w:val="uk-UA"/>
              </w:rPr>
              <w:t>.</w:t>
            </w:r>
          </w:p>
          <w:p w14:paraId="07F3BCAE" w14:textId="68F56129" w:rsidR="00BA5C0A" w:rsidRPr="00BA5C0A" w:rsidRDefault="00BA5C0A" w:rsidP="00015E3B">
            <w:pPr>
              <w:numPr>
                <w:ilvl w:val="0"/>
                <w:numId w:val="51"/>
              </w:numPr>
              <w:contextualSpacing/>
              <w:jc w:val="both"/>
              <w:rPr>
                <w:rFonts w:ascii="Times New Roman" w:hAnsi="Times New Roman" w:cs="Times New Roman"/>
                <w:lang w:val="uk-UA"/>
              </w:rPr>
            </w:pPr>
            <w:r w:rsidRPr="00BA5C0A">
              <w:rPr>
                <w:rFonts w:ascii="Times New Roman" w:hAnsi="Times New Roman" w:cs="Times New Roman"/>
                <w:lang w:val="uk-UA"/>
              </w:rPr>
              <w:t>Тест на ВГС</w:t>
            </w:r>
            <w:r w:rsidR="00FC6D8A">
              <w:rPr>
                <w:rFonts w:ascii="Times New Roman" w:hAnsi="Times New Roman" w:cs="Times New Roman"/>
                <w:lang w:val="uk-UA"/>
              </w:rPr>
              <w:t>–</w:t>
            </w:r>
            <w:r w:rsidRPr="00BA5C0A">
              <w:rPr>
                <w:rFonts w:ascii="Times New Roman" w:hAnsi="Times New Roman" w:cs="Times New Roman"/>
                <w:lang w:val="uk-UA"/>
              </w:rPr>
              <w:t>резистентність перед повторним лікуванням у пацієнтів, які зазнали невдачі після будь</w:t>
            </w:r>
            <w:r w:rsidR="00FC6D8A">
              <w:rPr>
                <w:rFonts w:ascii="Times New Roman" w:hAnsi="Times New Roman" w:cs="Times New Roman"/>
                <w:lang w:val="uk-UA"/>
              </w:rPr>
              <w:t>–</w:t>
            </w:r>
            <w:r w:rsidRPr="00BA5C0A">
              <w:rPr>
                <w:rFonts w:ascii="Times New Roman" w:hAnsi="Times New Roman" w:cs="Times New Roman"/>
                <w:lang w:val="uk-UA"/>
              </w:rPr>
              <w:t>якої схеми лікування, заснованої на ПППД, є корисним для оцінки ймовірності відповіді на повторну терапію відповідно до профілю резистентності. Кожний окрем</w:t>
            </w:r>
            <w:r w:rsidR="00D669CB">
              <w:rPr>
                <w:rFonts w:ascii="Times New Roman" w:hAnsi="Times New Roman" w:cs="Times New Roman"/>
                <w:lang w:val="uk-UA"/>
              </w:rPr>
              <w:t>и</w:t>
            </w:r>
            <w:r w:rsidRPr="00BA5C0A">
              <w:rPr>
                <w:rFonts w:ascii="Times New Roman" w:hAnsi="Times New Roman" w:cs="Times New Roman"/>
                <w:lang w:val="uk-UA"/>
              </w:rPr>
              <w:t>й випадок розглядається в рамках міждисциплінарної команди, що включає досвідчених лікарів та вірусологів (B2) .</w:t>
            </w:r>
          </w:p>
          <w:p w14:paraId="2C9A26D8" w14:textId="16AC1CBD" w:rsidR="00BA5C0A" w:rsidRPr="00BA5C0A" w:rsidRDefault="00ED7C6C" w:rsidP="00015E3B">
            <w:pPr>
              <w:numPr>
                <w:ilvl w:val="0"/>
                <w:numId w:val="51"/>
              </w:numPr>
              <w:contextualSpacing/>
              <w:jc w:val="both"/>
              <w:rPr>
                <w:rFonts w:ascii="Times New Roman" w:hAnsi="Times New Roman" w:cs="Times New Roman"/>
                <w:lang w:val="uk-UA"/>
              </w:rPr>
            </w:pPr>
            <w:r>
              <w:rPr>
                <w:rFonts w:ascii="Times New Roman" w:hAnsi="Times New Roman" w:cs="Times New Roman"/>
                <w:lang w:val="uk-UA"/>
              </w:rPr>
              <w:t>Пацієнти без цирозу</w:t>
            </w:r>
            <w:r w:rsidR="00BA5C0A" w:rsidRPr="00BA5C0A">
              <w:rPr>
                <w:rFonts w:ascii="Times New Roman" w:hAnsi="Times New Roman" w:cs="Times New Roman"/>
                <w:lang w:val="uk-UA"/>
              </w:rPr>
              <w:t xml:space="preserve"> печінки або з компенсованим (Child</w:t>
            </w:r>
            <w:r w:rsidR="00FC6D8A">
              <w:rPr>
                <w:rFonts w:ascii="Times New Roman" w:hAnsi="Times New Roman" w:cs="Times New Roman"/>
                <w:lang w:val="uk-UA"/>
              </w:rPr>
              <w:t>–</w:t>
            </w:r>
            <w:r w:rsidR="00BA5C0A" w:rsidRPr="00BA5C0A">
              <w:rPr>
                <w:rFonts w:ascii="Times New Roman" w:hAnsi="Times New Roman" w:cs="Times New Roman"/>
                <w:lang w:val="uk-UA"/>
              </w:rPr>
              <w:t xml:space="preserve">Pugh A) цирозом, які зазнали невдачі після </w:t>
            </w:r>
            <w:r w:rsidR="00B0247D">
              <w:rPr>
                <w:rFonts w:ascii="Times New Roman" w:hAnsi="Times New Roman" w:cs="Times New Roman"/>
                <w:lang w:val="uk-UA"/>
              </w:rPr>
              <w:t>лікування</w:t>
            </w:r>
            <w:r w:rsidR="00BA5C0A" w:rsidRPr="00BA5C0A">
              <w:rPr>
                <w:rFonts w:ascii="Times New Roman" w:hAnsi="Times New Roman" w:cs="Times New Roman"/>
                <w:lang w:val="uk-UA"/>
              </w:rPr>
              <w:t xml:space="preserve"> ПППД (інгібітор протеаз та/або інгібітор NS5A), повинні отримувати комбінацію з фіксованою дозою софосбувіру, велпатасвіру та воксілапревіру протягом 12 тижнів</w:t>
            </w:r>
            <w:r w:rsidR="00D669CB">
              <w:rPr>
                <w:rFonts w:ascii="Times New Roman" w:hAnsi="Times New Roman" w:cs="Times New Roman"/>
                <w:lang w:val="uk-UA"/>
              </w:rPr>
              <w:t>.</w:t>
            </w:r>
            <w:r w:rsidR="00BA5C0A" w:rsidRPr="00BA5C0A">
              <w:rPr>
                <w:rFonts w:ascii="Times New Roman" w:hAnsi="Times New Roman" w:cs="Times New Roman"/>
                <w:lang w:val="uk-UA"/>
              </w:rPr>
              <w:t xml:space="preserve"> </w:t>
            </w:r>
            <w:r w:rsidR="00D669CB">
              <w:rPr>
                <w:rFonts w:ascii="Times New Roman" w:hAnsi="Times New Roman" w:cs="Times New Roman"/>
                <w:lang w:val="uk-UA"/>
              </w:rPr>
              <w:t>Б</w:t>
            </w:r>
            <w:r w:rsidR="00BA5C0A" w:rsidRPr="00BA5C0A">
              <w:rPr>
                <w:rFonts w:ascii="Times New Roman" w:hAnsi="Times New Roman" w:cs="Times New Roman"/>
                <w:lang w:val="uk-UA"/>
              </w:rPr>
              <w:t>ажано, щоб кожний окремй випадок розглядався в рамках міждисциплінарної команди, що включає досвідчених лікарів та вірусологів (A1).</w:t>
            </w:r>
          </w:p>
          <w:p w14:paraId="30D0F8D2" w14:textId="4831F702" w:rsidR="00BA5C0A" w:rsidRPr="00BA5C0A" w:rsidRDefault="00BA5C0A" w:rsidP="00015E3B">
            <w:pPr>
              <w:numPr>
                <w:ilvl w:val="0"/>
                <w:numId w:val="51"/>
              </w:numPr>
              <w:contextualSpacing/>
              <w:jc w:val="both"/>
              <w:rPr>
                <w:rFonts w:ascii="Times New Roman" w:hAnsi="Times New Roman" w:cs="Times New Roman"/>
                <w:lang w:val="uk-UA"/>
              </w:rPr>
            </w:pPr>
            <w:r w:rsidRPr="00BA5C0A">
              <w:rPr>
                <w:rFonts w:ascii="Times New Roman" w:hAnsi="Times New Roman" w:cs="Times New Roman"/>
                <w:lang w:val="uk-UA"/>
              </w:rPr>
              <w:t>Пацієнти без цироз</w:t>
            </w:r>
            <w:r w:rsidR="00D669CB">
              <w:rPr>
                <w:rFonts w:ascii="Times New Roman" w:hAnsi="Times New Roman" w:cs="Times New Roman"/>
                <w:lang w:val="uk-UA"/>
              </w:rPr>
              <w:t>у</w:t>
            </w:r>
            <w:r w:rsidRPr="00BA5C0A">
              <w:rPr>
                <w:rFonts w:ascii="Times New Roman" w:hAnsi="Times New Roman" w:cs="Times New Roman"/>
                <w:lang w:val="uk-UA"/>
              </w:rPr>
              <w:t xml:space="preserve"> печінки або з компенсованим (Child</w:t>
            </w:r>
            <w:r w:rsidR="00FC6D8A">
              <w:rPr>
                <w:rFonts w:ascii="Times New Roman" w:hAnsi="Times New Roman" w:cs="Times New Roman"/>
                <w:lang w:val="uk-UA"/>
              </w:rPr>
              <w:t>–</w:t>
            </w:r>
            <w:r w:rsidRPr="00BA5C0A">
              <w:rPr>
                <w:rFonts w:ascii="Times New Roman" w:hAnsi="Times New Roman" w:cs="Times New Roman"/>
                <w:lang w:val="uk-UA"/>
              </w:rPr>
              <w:t xml:space="preserve">Pugh A) цирозом, які зазнали невдачі після </w:t>
            </w:r>
            <w:r w:rsidR="00B0247D">
              <w:rPr>
                <w:rFonts w:ascii="Times New Roman" w:hAnsi="Times New Roman" w:cs="Times New Roman"/>
                <w:lang w:val="uk-UA"/>
              </w:rPr>
              <w:t>лікування</w:t>
            </w:r>
            <w:r w:rsidRPr="00BA5C0A">
              <w:rPr>
                <w:rFonts w:ascii="Times New Roman" w:hAnsi="Times New Roman" w:cs="Times New Roman"/>
                <w:lang w:val="uk-UA"/>
              </w:rPr>
              <w:t xml:space="preserve"> ПППД (</w:t>
            </w:r>
            <w:r w:rsidR="00B0247D">
              <w:rPr>
                <w:rFonts w:ascii="Times New Roman" w:hAnsi="Times New Roman" w:cs="Times New Roman"/>
                <w:lang w:val="uk-UA"/>
              </w:rPr>
              <w:t>і</w:t>
            </w:r>
            <w:r w:rsidRPr="00BA5C0A">
              <w:rPr>
                <w:rFonts w:ascii="Times New Roman" w:hAnsi="Times New Roman" w:cs="Times New Roman"/>
                <w:lang w:val="uk-UA"/>
              </w:rPr>
              <w:t>нгібітор протеаз і/або інгібітор NS5A), і мають прогностичні чинники гіршої відповіді (розвинена хвороба печінки, кілька курсів ПППД, NS5A</w:t>
            </w:r>
            <w:r w:rsidR="000B795C">
              <w:rPr>
                <w:rFonts w:ascii="Times New Roman" w:hAnsi="Times New Roman" w:cs="Times New Roman"/>
                <w:lang w:val="uk-UA"/>
              </w:rPr>
              <w:t xml:space="preserve"> </w:t>
            </w:r>
            <w:r w:rsidR="000B795C">
              <w:rPr>
                <w:rFonts w:ascii="Times New Roman" w:hAnsi="Times New Roman" w:cs="Times New Roman"/>
                <w:lang w:val="en-US"/>
              </w:rPr>
              <w:t>RAS</w:t>
            </w:r>
            <w:r w:rsidR="007C2563" w:rsidRPr="007C2563">
              <w:rPr>
                <w:rFonts w:ascii="Times New Roman" w:hAnsi="Times New Roman" w:cs="Times New Roman"/>
                <w:lang w:val="uk-UA"/>
              </w:rPr>
              <w:t>)</w:t>
            </w:r>
            <w:r w:rsidRPr="00BA5C0A">
              <w:rPr>
                <w:rFonts w:ascii="Times New Roman" w:hAnsi="Times New Roman" w:cs="Times New Roman"/>
                <w:lang w:val="uk-UA"/>
              </w:rPr>
              <w:t xml:space="preserve"> можуть отримувати комбінацію фіксованої дози софосбувіру, глекапревіру та пібрентасвіру протягом 12 тижнів на підставі рішення прийнятого багатопрофільною командою, що включає досвідчених лікарів та вірусологів (В2).</w:t>
            </w:r>
          </w:p>
          <w:p w14:paraId="5BE66DA6" w14:textId="5E5A1400" w:rsidR="00BA5C0A" w:rsidRPr="00BA5C0A" w:rsidRDefault="00BA5C0A" w:rsidP="00015E3B">
            <w:pPr>
              <w:numPr>
                <w:ilvl w:val="0"/>
                <w:numId w:val="51"/>
              </w:numPr>
              <w:contextualSpacing/>
              <w:jc w:val="both"/>
              <w:rPr>
                <w:rFonts w:ascii="Times New Roman" w:hAnsi="Times New Roman" w:cs="Times New Roman"/>
                <w:lang w:val="uk-UA"/>
              </w:rPr>
            </w:pPr>
            <w:r w:rsidRPr="00BA5C0A">
              <w:rPr>
                <w:rFonts w:ascii="Times New Roman" w:hAnsi="Times New Roman" w:cs="Times New Roman"/>
                <w:lang w:val="uk-UA"/>
              </w:rPr>
              <w:t xml:space="preserve">У групі пацієнтів, у яких лікування </w:t>
            </w:r>
            <w:r w:rsidR="00D669CB">
              <w:rPr>
                <w:rFonts w:ascii="Times New Roman" w:hAnsi="Times New Roman" w:cs="Times New Roman"/>
                <w:lang w:val="uk-UA"/>
              </w:rPr>
              <w:t>п</w:t>
            </w:r>
            <w:r w:rsidRPr="00BA5C0A">
              <w:rPr>
                <w:rFonts w:ascii="Times New Roman" w:hAnsi="Times New Roman" w:cs="Times New Roman"/>
                <w:lang w:val="uk-UA"/>
              </w:rPr>
              <w:t xml:space="preserve">роходить важко (пацієнти з NS5A RAS, які двічі не змогли досягти СВВ після </w:t>
            </w:r>
            <w:r w:rsidR="00ED7C6C">
              <w:rPr>
                <w:rFonts w:ascii="Times New Roman" w:hAnsi="Times New Roman" w:cs="Times New Roman"/>
                <w:lang w:val="uk-UA"/>
              </w:rPr>
              <w:t xml:space="preserve">використання </w:t>
            </w:r>
            <w:r w:rsidRPr="00BA5C0A">
              <w:rPr>
                <w:rFonts w:ascii="Times New Roman" w:hAnsi="Times New Roman" w:cs="Times New Roman"/>
                <w:lang w:val="uk-UA"/>
              </w:rPr>
              <w:t xml:space="preserve">схем лікування, які включали </w:t>
            </w:r>
            <w:r w:rsidR="00ED7C6C">
              <w:rPr>
                <w:rFonts w:ascii="Times New Roman" w:hAnsi="Times New Roman" w:cs="Times New Roman"/>
                <w:lang w:val="uk-UA"/>
              </w:rPr>
              <w:t xml:space="preserve">інгібітори </w:t>
            </w:r>
            <w:r w:rsidRPr="00BA5C0A">
              <w:rPr>
                <w:rFonts w:ascii="Times New Roman" w:hAnsi="Times New Roman" w:cs="Times New Roman"/>
                <w:lang w:val="uk-UA"/>
              </w:rPr>
              <w:t>протеази та/або інгібітор</w:t>
            </w:r>
            <w:r w:rsidR="00ED7C6C">
              <w:rPr>
                <w:rFonts w:ascii="Times New Roman" w:hAnsi="Times New Roman" w:cs="Times New Roman"/>
                <w:lang w:val="uk-UA"/>
              </w:rPr>
              <w:t>и</w:t>
            </w:r>
            <w:r w:rsidRPr="00BA5C0A">
              <w:rPr>
                <w:rFonts w:ascii="Times New Roman" w:hAnsi="Times New Roman" w:cs="Times New Roman"/>
                <w:lang w:val="uk-UA"/>
              </w:rPr>
              <w:t xml:space="preserve"> NS5A), до потрійної комбінації софосбувіру, велпатасвіру та воксілапревіру або комбінації софосбувіру, глекапревіру та пібрентасвіру протягом 12 т</w:t>
            </w:r>
            <w:r w:rsidR="00ED7C6C">
              <w:rPr>
                <w:rFonts w:ascii="Times New Roman" w:hAnsi="Times New Roman" w:cs="Times New Roman"/>
                <w:lang w:val="uk-UA"/>
              </w:rPr>
              <w:t>ижнів можна додавати рибавірин у</w:t>
            </w:r>
            <w:r w:rsidRPr="00BA5C0A">
              <w:rPr>
                <w:rFonts w:ascii="Times New Roman" w:hAnsi="Times New Roman" w:cs="Times New Roman"/>
                <w:lang w:val="uk-UA"/>
              </w:rPr>
              <w:t xml:space="preserve"> дозуванні розрахованому згідно маси тіла (1000 або 1200 мг у пацієнтів &lt;75 кг або ≥75 кг відповідно) і/або подовжувати лікування до 16</w:t>
            </w:r>
            <w:r w:rsidR="00FC6D8A">
              <w:rPr>
                <w:rFonts w:ascii="Times New Roman" w:hAnsi="Times New Roman" w:cs="Times New Roman"/>
                <w:lang w:val="uk-UA"/>
              </w:rPr>
              <w:t>–</w:t>
            </w:r>
            <w:r w:rsidRPr="00BA5C0A">
              <w:rPr>
                <w:rFonts w:ascii="Times New Roman" w:hAnsi="Times New Roman" w:cs="Times New Roman"/>
                <w:lang w:val="uk-UA"/>
              </w:rPr>
              <w:t>24 тижнів, на підставі рішення прийнятого багатопрофільною командою, що включає досвідчених лікарів та вірусологів (C2).</w:t>
            </w:r>
          </w:p>
          <w:p w14:paraId="32095F95" w14:textId="5791DF8C" w:rsidR="00BA5C0A" w:rsidRPr="00BA5C0A" w:rsidRDefault="00BA5C0A" w:rsidP="00ED7C6C">
            <w:pPr>
              <w:numPr>
                <w:ilvl w:val="0"/>
                <w:numId w:val="51"/>
              </w:numPr>
              <w:contextualSpacing/>
              <w:jc w:val="both"/>
              <w:rPr>
                <w:rFonts w:ascii="Times New Roman" w:hAnsi="Times New Roman" w:cs="Times New Roman"/>
                <w:lang w:val="uk-UA"/>
              </w:rPr>
            </w:pPr>
            <w:r w:rsidRPr="00BA5C0A">
              <w:rPr>
                <w:rFonts w:ascii="Times New Roman" w:hAnsi="Times New Roman" w:cs="Times New Roman"/>
                <w:lang w:val="uk-UA"/>
              </w:rPr>
              <w:t>Пацієнти з декомпенсованим цирозом (Child</w:t>
            </w:r>
            <w:r w:rsidR="00FC6D8A">
              <w:rPr>
                <w:rFonts w:ascii="Times New Roman" w:hAnsi="Times New Roman" w:cs="Times New Roman"/>
                <w:lang w:val="uk-UA"/>
              </w:rPr>
              <w:t>–</w:t>
            </w:r>
            <w:r w:rsidRPr="00BA5C0A">
              <w:rPr>
                <w:rFonts w:ascii="Times New Roman" w:hAnsi="Times New Roman" w:cs="Times New Roman"/>
                <w:lang w:val="uk-UA"/>
              </w:rPr>
              <w:t xml:space="preserve">Pugh B або C), які зазнали невдачі після лікування ПППД (інгібітор протеази та/або інгібітор NS5A), мають протипоказання до </w:t>
            </w:r>
            <w:r w:rsidRPr="00BA5C0A">
              <w:rPr>
                <w:rFonts w:ascii="Times New Roman" w:hAnsi="Times New Roman" w:cs="Times New Roman"/>
                <w:lang w:val="uk-UA"/>
              </w:rPr>
              <w:lastRenderedPageBreak/>
              <w:t xml:space="preserve">застосування інгібіторів протеази, і тому вони повинні проходити повторне лікування комбінацією з фіксованою дозою софосбувіру і велпатасвіру із фіксованою дозою рибавірину, розрахованому </w:t>
            </w:r>
            <w:r w:rsidR="00ED7C6C">
              <w:rPr>
                <w:rFonts w:ascii="Times New Roman" w:hAnsi="Times New Roman" w:cs="Times New Roman"/>
                <w:lang w:val="uk-UA"/>
              </w:rPr>
              <w:t>відповідно до</w:t>
            </w:r>
            <w:r w:rsidRPr="00BA5C0A">
              <w:rPr>
                <w:rFonts w:ascii="Times New Roman" w:hAnsi="Times New Roman" w:cs="Times New Roman"/>
                <w:lang w:val="uk-UA"/>
              </w:rPr>
              <w:t xml:space="preserve"> маси тіла (1000 або 1200 мг у пацієнтів &lt;75 кг або ≥75 кг, відповідно) протягом 24 тижнів на підставі рішення прийнятого багатопрофільною командою, що включає досвідче</w:t>
            </w:r>
            <w:r w:rsidR="00ED7C6C">
              <w:rPr>
                <w:rFonts w:ascii="Times New Roman" w:hAnsi="Times New Roman" w:cs="Times New Roman"/>
                <w:lang w:val="uk-UA"/>
              </w:rPr>
              <w:t>них лікарів та вірусологів (B2)</w:t>
            </w:r>
          </w:p>
        </w:tc>
      </w:tr>
    </w:tbl>
    <w:p w14:paraId="6DB8FB8E" w14:textId="5F17EF10" w:rsidR="008D650D" w:rsidRDefault="008D650D" w:rsidP="00BA5C0A">
      <w:pPr>
        <w:jc w:val="both"/>
        <w:rPr>
          <w:rFonts w:ascii="Times New Roman" w:hAnsi="Times New Roman" w:cs="Times New Roman"/>
          <w:b/>
          <w:color w:val="4472C4" w:themeColor="accent5"/>
          <w:lang w:val="uk-UA"/>
        </w:rPr>
      </w:pPr>
    </w:p>
    <w:p w14:paraId="47B51011" w14:textId="20528E61" w:rsidR="00BA5C0A" w:rsidRPr="008D650D" w:rsidRDefault="00BA5C0A" w:rsidP="00BA5C0A">
      <w:pPr>
        <w:jc w:val="both"/>
        <w:rPr>
          <w:rFonts w:ascii="Times New Roman" w:hAnsi="Times New Roman" w:cs="Times New Roman"/>
          <w:b/>
          <w:lang w:val="uk-UA"/>
        </w:rPr>
      </w:pPr>
      <w:r w:rsidRPr="008D650D">
        <w:rPr>
          <w:rFonts w:ascii="Times New Roman" w:hAnsi="Times New Roman" w:cs="Times New Roman"/>
          <w:b/>
          <w:lang w:val="uk-UA"/>
        </w:rPr>
        <w:t xml:space="preserve">Таблиця 9. </w:t>
      </w:r>
      <w:r w:rsidR="00A4254F" w:rsidRPr="008D650D">
        <w:rPr>
          <w:rFonts w:ascii="Times New Roman" w:hAnsi="Times New Roman" w:cs="Times New Roman"/>
          <w:b/>
          <w:lang w:val="uk-UA"/>
        </w:rPr>
        <w:t xml:space="preserve">Комплекс </w:t>
      </w:r>
      <w:r w:rsidR="007C2563" w:rsidRPr="007C2563">
        <w:rPr>
          <w:rFonts w:ascii="Times New Roman" w:hAnsi="Times New Roman" w:cs="Times New Roman"/>
          <w:b/>
          <w:lang w:val="uk-UA"/>
        </w:rPr>
        <w:t xml:space="preserve">замін, пов’язаних з резистентністю </w:t>
      </w:r>
      <w:r w:rsidR="00A4254F" w:rsidRPr="007C2563">
        <w:rPr>
          <w:rFonts w:ascii="Times New Roman" w:hAnsi="Times New Roman" w:cs="Times New Roman"/>
          <w:b/>
          <w:lang w:val="uk-UA"/>
        </w:rPr>
        <w:t>(RAS</w:t>
      </w:r>
      <w:r w:rsidR="00A4254F" w:rsidRPr="008D650D">
        <w:rPr>
          <w:rFonts w:ascii="Times New Roman" w:hAnsi="Times New Roman" w:cs="Times New Roman"/>
          <w:b/>
          <w:lang w:val="uk-UA"/>
        </w:rPr>
        <w:t>)</w:t>
      </w:r>
      <w:r w:rsidRPr="008D650D">
        <w:rPr>
          <w:rFonts w:ascii="Times New Roman" w:hAnsi="Times New Roman" w:cs="Times New Roman"/>
          <w:b/>
          <w:lang w:val="uk-UA"/>
        </w:rPr>
        <w:t>, що призводять до зменшення сприйнятливості до відповідних класів лікарських засобів, визначених у аналізах in vitro та/або у пацієнтів, які не змогли досягти СВВ, на безінтерферованих схемах ПППД (за винятком інгібіторів протеаз першого покоління телапревіру і боцепревіру).</w:t>
      </w:r>
    </w:p>
    <w:p w14:paraId="7A8A1DDE" w14:textId="1FA8D56C" w:rsidR="0076459D" w:rsidRDefault="0076459D" w:rsidP="00BA5C0A">
      <w:pPr>
        <w:jc w:val="both"/>
        <w:rPr>
          <w:rFonts w:ascii="Times New Roman" w:hAnsi="Times New Roman" w:cs="Times New Roman"/>
          <w:b/>
          <w:color w:val="4472C4" w:themeColor="accent5"/>
          <w:lang w:val="uk-UA"/>
        </w:rPr>
      </w:pPr>
    </w:p>
    <w:tbl>
      <w:tblPr>
        <w:tblStyle w:val="-41"/>
        <w:tblW w:w="0" w:type="auto"/>
        <w:tblLayout w:type="fixed"/>
        <w:tblLook w:val="04A0" w:firstRow="1" w:lastRow="0" w:firstColumn="1" w:lastColumn="0" w:noHBand="0" w:noVBand="1"/>
      </w:tblPr>
      <w:tblGrid>
        <w:gridCol w:w="1015"/>
        <w:gridCol w:w="1248"/>
        <w:gridCol w:w="1276"/>
        <w:gridCol w:w="1276"/>
        <w:gridCol w:w="1134"/>
        <w:gridCol w:w="992"/>
        <w:gridCol w:w="992"/>
        <w:gridCol w:w="930"/>
        <w:gridCol w:w="1043"/>
      </w:tblGrid>
      <w:tr w:rsidR="000645CE" w:rsidRPr="00D005A1" w14:paraId="50984556" w14:textId="77777777" w:rsidTr="00D00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vMerge w:val="restart"/>
          </w:tcPr>
          <w:p w14:paraId="6ADECFED" w14:textId="20CA67D8" w:rsidR="0076459D" w:rsidRPr="00D005A1" w:rsidRDefault="0076459D" w:rsidP="00D005A1">
            <w:pPr>
              <w:rPr>
                <w:rFonts w:ascii="Times New Roman" w:hAnsi="Times New Roman" w:cs="Times New Roman"/>
                <w:sz w:val="20"/>
                <w:szCs w:val="20"/>
              </w:rPr>
            </w:pPr>
            <w:r w:rsidRPr="00D005A1">
              <w:rPr>
                <w:rFonts w:ascii="Times New Roman" w:hAnsi="Times New Roman" w:cs="Times New Roman"/>
                <w:sz w:val="20"/>
                <w:szCs w:val="20"/>
                <w:lang w:val="uk-UA"/>
              </w:rPr>
              <w:t>Клас лікарських препаратів (частка геному)</w:t>
            </w:r>
          </w:p>
        </w:tc>
        <w:tc>
          <w:tcPr>
            <w:tcW w:w="1248" w:type="dxa"/>
            <w:vMerge w:val="restart"/>
          </w:tcPr>
          <w:p w14:paraId="00DBA240" w14:textId="482616A7" w:rsidR="0076459D" w:rsidRPr="00D005A1" w:rsidRDefault="0076459D" w:rsidP="00D005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r w:rsidRPr="00D005A1">
              <w:rPr>
                <w:rFonts w:ascii="Times New Roman" w:hAnsi="Times New Roman" w:cs="Times New Roman"/>
                <w:sz w:val="20"/>
                <w:szCs w:val="20"/>
                <w:lang w:val="uk-UA"/>
              </w:rPr>
              <w:t>Розташування амінокислоти</w:t>
            </w:r>
          </w:p>
        </w:tc>
        <w:tc>
          <w:tcPr>
            <w:tcW w:w="7643" w:type="dxa"/>
            <w:gridSpan w:val="7"/>
          </w:tcPr>
          <w:p w14:paraId="0A9D537B" w14:textId="448369A8" w:rsidR="0076459D" w:rsidRPr="00D005A1" w:rsidRDefault="0076459D" w:rsidP="00D005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r w:rsidRPr="00D005A1">
              <w:rPr>
                <w:rFonts w:ascii="Times New Roman" w:hAnsi="Times New Roman" w:cs="Times New Roman"/>
                <w:sz w:val="20"/>
                <w:szCs w:val="20"/>
                <w:lang w:val="uk-UA"/>
              </w:rPr>
              <w:t>Генотип/підтип</w:t>
            </w:r>
          </w:p>
        </w:tc>
      </w:tr>
      <w:tr w:rsidR="00830AE3" w:rsidRPr="00D005A1" w14:paraId="48E3B09E" w14:textId="77777777" w:rsidTr="00D00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vMerge/>
          </w:tcPr>
          <w:p w14:paraId="7CA8E229" w14:textId="77777777" w:rsidR="0076459D" w:rsidRPr="00D005A1" w:rsidRDefault="0076459D" w:rsidP="00D005A1">
            <w:pPr>
              <w:rPr>
                <w:rFonts w:ascii="Times New Roman" w:hAnsi="Times New Roman" w:cs="Times New Roman"/>
                <w:sz w:val="20"/>
                <w:szCs w:val="20"/>
                <w:lang w:val="uk-UA"/>
              </w:rPr>
            </w:pPr>
          </w:p>
        </w:tc>
        <w:tc>
          <w:tcPr>
            <w:tcW w:w="1248" w:type="dxa"/>
            <w:vMerge/>
          </w:tcPr>
          <w:p w14:paraId="75F92AA3" w14:textId="77777777" w:rsidR="0076459D" w:rsidRPr="00D005A1" w:rsidRDefault="0076459D"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uk-UA"/>
              </w:rPr>
            </w:pPr>
          </w:p>
        </w:tc>
        <w:tc>
          <w:tcPr>
            <w:tcW w:w="1276" w:type="dxa"/>
          </w:tcPr>
          <w:p w14:paraId="72E5B735" w14:textId="465ADBBD" w:rsidR="0076459D" w:rsidRPr="00D005A1" w:rsidRDefault="0076459D"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D005A1">
              <w:rPr>
                <w:rFonts w:ascii="Times New Roman" w:hAnsi="Times New Roman" w:cs="Times New Roman"/>
                <w:b/>
                <w:sz w:val="20"/>
                <w:szCs w:val="20"/>
                <w:lang w:val="en-US"/>
              </w:rPr>
              <w:t>1a</w:t>
            </w:r>
          </w:p>
        </w:tc>
        <w:tc>
          <w:tcPr>
            <w:tcW w:w="1276" w:type="dxa"/>
          </w:tcPr>
          <w:p w14:paraId="71B2602A" w14:textId="4E3FBC81" w:rsidR="0076459D" w:rsidRPr="00D005A1" w:rsidRDefault="0076459D"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D005A1">
              <w:rPr>
                <w:rFonts w:ascii="Times New Roman" w:hAnsi="Times New Roman" w:cs="Times New Roman"/>
                <w:b/>
                <w:sz w:val="20"/>
                <w:szCs w:val="20"/>
                <w:lang w:val="en-US"/>
              </w:rPr>
              <w:t>1b</w:t>
            </w:r>
          </w:p>
        </w:tc>
        <w:tc>
          <w:tcPr>
            <w:tcW w:w="1134" w:type="dxa"/>
          </w:tcPr>
          <w:p w14:paraId="63202B75" w14:textId="7E2F711C" w:rsidR="0076459D" w:rsidRPr="00D005A1" w:rsidRDefault="0076459D"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D005A1">
              <w:rPr>
                <w:rFonts w:ascii="Times New Roman" w:hAnsi="Times New Roman" w:cs="Times New Roman"/>
                <w:b/>
                <w:sz w:val="20"/>
                <w:szCs w:val="20"/>
                <w:lang w:val="en-US"/>
              </w:rPr>
              <w:t>2</w:t>
            </w:r>
          </w:p>
        </w:tc>
        <w:tc>
          <w:tcPr>
            <w:tcW w:w="992" w:type="dxa"/>
          </w:tcPr>
          <w:p w14:paraId="64301F9D" w14:textId="7D132D9D" w:rsidR="0076459D" w:rsidRPr="00D005A1" w:rsidRDefault="0076459D"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D005A1">
              <w:rPr>
                <w:rFonts w:ascii="Times New Roman" w:hAnsi="Times New Roman" w:cs="Times New Roman"/>
                <w:b/>
                <w:sz w:val="20"/>
                <w:szCs w:val="20"/>
                <w:lang w:val="en-US"/>
              </w:rPr>
              <w:t>3</w:t>
            </w:r>
          </w:p>
        </w:tc>
        <w:tc>
          <w:tcPr>
            <w:tcW w:w="992" w:type="dxa"/>
          </w:tcPr>
          <w:p w14:paraId="2539AA65" w14:textId="5C19EC12" w:rsidR="0076459D" w:rsidRPr="00D005A1" w:rsidRDefault="0076459D"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D005A1">
              <w:rPr>
                <w:rFonts w:ascii="Times New Roman" w:hAnsi="Times New Roman" w:cs="Times New Roman"/>
                <w:b/>
                <w:sz w:val="20"/>
                <w:szCs w:val="20"/>
                <w:lang w:val="en-US"/>
              </w:rPr>
              <w:t>4</w:t>
            </w:r>
          </w:p>
        </w:tc>
        <w:tc>
          <w:tcPr>
            <w:tcW w:w="930" w:type="dxa"/>
          </w:tcPr>
          <w:p w14:paraId="304AAECC" w14:textId="698253EA" w:rsidR="0076459D" w:rsidRPr="00D005A1" w:rsidRDefault="0076459D"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D005A1">
              <w:rPr>
                <w:rFonts w:ascii="Times New Roman" w:hAnsi="Times New Roman" w:cs="Times New Roman"/>
                <w:b/>
                <w:sz w:val="20"/>
                <w:szCs w:val="20"/>
                <w:lang w:val="en-US"/>
              </w:rPr>
              <w:t>5</w:t>
            </w:r>
          </w:p>
        </w:tc>
        <w:tc>
          <w:tcPr>
            <w:tcW w:w="1043" w:type="dxa"/>
          </w:tcPr>
          <w:p w14:paraId="3C20943D" w14:textId="47DA2EFE" w:rsidR="0076459D" w:rsidRPr="00D005A1" w:rsidRDefault="0076459D"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D005A1">
              <w:rPr>
                <w:rFonts w:ascii="Times New Roman" w:hAnsi="Times New Roman" w:cs="Times New Roman"/>
                <w:b/>
                <w:sz w:val="20"/>
                <w:szCs w:val="20"/>
                <w:lang w:val="en-US"/>
              </w:rPr>
              <w:t>6</w:t>
            </w:r>
          </w:p>
        </w:tc>
      </w:tr>
      <w:tr w:rsidR="00A676B7" w:rsidRPr="00D005A1" w14:paraId="1CAB336A" w14:textId="77777777" w:rsidTr="00D005A1">
        <w:tc>
          <w:tcPr>
            <w:cnfStyle w:val="001000000000" w:firstRow="0" w:lastRow="0" w:firstColumn="1" w:lastColumn="0" w:oddVBand="0" w:evenVBand="0" w:oddHBand="0" w:evenHBand="0" w:firstRowFirstColumn="0" w:firstRowLastColumn="0" w:lastRowFirstColumn="0" w:lastRowLastColumn="0"/>
            <w:tcW w:w="9906" w:type="dxa"/>
            <w:gridSpan w:val="9"/>
          </w:tcPr>
          <w:p w14:paraId="5752C061" w14:textId="4C991418" w:rsidR="00A676B7" w:rsidRPr="00D005A1" w:rsidRDefault="00A676B7" w:rsidP="00D005A1">
            <w:pPr>
              <w:rPr>
                <w:rFonts w:ascii="Times New Roman" w:hAnsi="Times New Roman" w:cs="Times New Roman"/>
                <w:sz w:val="20"/>
                <w:szCs w:val="20"/>
                <w:lang w:val="uk-UA"/>
              </w:rPr>
            </w:pPr>
            <w:r w:rsidRPr="00D005A1">
              <w:rPr>
                <w:rFonts w:ascii="Times New Roman" w:hAnsi="Times New Roman" w:cs="Times New Roman"/>
                <w:sz w:val="20"/>
                <w:szCs w:val="20"/>
                <w:lang w:val="uk-UA"/>
              </w:rPr>
              <w:t>Нуклеотидні аналоги</w:t>
            </w:r>
            <w:r w:rsidRPr="00D005A1">
              <w:rPr>
                <w:rFonts w:ascii="Times New Roman" w:hAnsi="Times New Roman" w:cs="Times New Roman"/>
                <w:sz w:val="20"/>
                <w:szCs w:val="20"/>
                <w:lang w:val="en-US"/>
              </w:rPr>
              <w:t xml:space="preserve"> (NS5B)</w:t>
            </w:r>
          </w:p>
        </w:tc>
      </w:tr>
      <w:tr w:rsidR="00830AE3" w:rsidRPr="00D005A1" w14:paraId="7BC07C21" w14:textId="77777777" w:rsidTr="00D00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57A8C921" w14:textId="77777777" w:rsidR="00A676B7" w:rsidRPr="00D005A1" w:rsidRDefault="00A676B7" w:rsidP="00D005A1">
            <w:pPr>
              <w:rPr>
                <w:rFonts w:ascii="Times New Roman" w:hAnsi="Times New Roman" w:cs="Times New Roman"/>
                <w:b w:val="0"/>
                <w:sz w:val="20"/>
                <w:szCs w:val="20"/>
                <w:lang w:val="uk-UA"/>
              </w:rPr>
            </w:pPr>
          </w:p>
        </w:tc>
        <w:tc>
          <w:tcPr>
            <w:tcW w:w="1248" w:type="dxa"/>
          </w:tcPr>
          <w:p w14:paraId="0138D22E" w14:textId="42769D31"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159</w:t>
            </w:r>
          </w:p>
        </w:tc>
        <w:tc>
          <w:tcPr>
            <w:tcW w:w="1276" w:type="dxa"/>
          </w:tcPr>
          <w:p w14:paraId="7BE3E45B" w14:textId="5B794A73"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L159F</w:t>
            </w:r>
          </w:p>
        </w:tc>
        <w:tc>
          <w:tcPr>
            <w:tcW w:w="1276" w:type="dxa"/>
          </w:tcPr>
          <w:p w14:paraId="70BC795C" w14:textId="5729FBF6"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L159F</w:t>
            </w:r>
          </w:p>
        </w:tc>
        <w:tc>
          <w:tcPr>
            <w:tcW w:w="1134" w:type="dxa"/>
          </w:tcPr>
          <w:p w14:paraId="09889F02" w14:textId="00B3F293"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L159F</w:t>
            </w:r>
          </w:p>
        </w:tc>
        <w:tc>
          <w:tcPr>
            <w:tcW w:w="992" w:type="dxa"/>
          </w:tcPr>
          <w:p w14:paraId="5948C872" w14:textId="126D9B9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L159F</w:t>
            </w:r>
          </w:p>
        </w:tc>
        <w:tc>
          <w:tcPr>
            <w:tcW w:w="992" w:type="dxa"/>
          </w:tcPr>
          <w:p w14:paraId="583EAA82"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930" w:type="dxa"/>
          </w:tcPr>
          <w:p w14:paraId="7720290C"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1043" w:type="dxa"/>
          </w:tcPr>
          <w:p w14:paraId="27D399D0"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r>
      <w:tr w:rsidR="000645CE" w:rsidRPr="00D005A1" w14:paraId="5F835E73" w14:textId="77777777" w:rsidTr="00D005A1">
        <w:tc>
          <w:tcPr>
            <w:cnfStyle w:val="001000000000" w:firstRow="0" w:lastRow="0" w:firstColumn="1" w:lastColumn="0" w:oddVBand="0" w:evenVBand="0" w:oddHBand="0" w:evenHBand="0" w:firstRowFirstColumn="0" w:firstRowLastColumn="0" w:lastRowFirstColumn="0" w:lastRowLastColumn="0"/>
            <w:tcW w:w="1015" w:type="dxa"/>
          </w:tcPr>
          <w:p w14:paraId="6EE02BBE" w14:textId="77777777" w:rsidR="00A676B7" w:rsidRPr="00D005A1" w:rsidRDefault="00A676B7" w:rsidP="00D005A1">
            <w:pPr>
              <w:rPr>
                <w:rFonts w:ascii="Times New Roman" w:hAnsi="Times New Roman" w:cs="Times New Roman"/>
                <w:b w:val="0"/>
                <w:sz w:val="20"/>
                <w:szCs w:val="20"/>
                <w:lang w:val="uk-UA"/>
              </w:rPr>
            </w:pPr>
          </w:p>
        </w:tc>
        <w:tc>
          <w:tcPr>
            <w:tcW w:w="1248" w:type="dxa"/>
          </w:tcPr>
          <w:p w14:paraId="28FB07BE" w14:textId="57627E81"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282</w:t>
            </w:r>
          </w:p>
        </w:tc>
        <w:tc>
          <w:tcPr>
            <w:tcW w:w="1276" w:type="dxa"/>
          </w:tcPr>
          <w:p w14:paraId="4164D745" w14:textId="2D34600A"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 xml:space="preserve">S282T/R </w:t>
            </w:r>
          </w:p>
        </w:tc>
        <w:tc>
          <w:tcPr>
            <w:tcW w:w="1276" w:type="dxa"/>
          </w:tcPr>
          <w:p w14:paraId="54A34456" w14:textId="12390EB5"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r w:rsidRPr="00D005A1">
              <w:rPr>
                <w:rFonts w:ascii="Times New Roman" w:hAnsi="Times New Roman" w:cs="Times New Roman"/>
                <w:sz w:val="20"/>
                <w:szCs w:val="20"/>
                <w:lang w:val="en-US"/>
              </w:rPr>
              <w:t>S282T</w:t>
            </w:r>
          </w:p>
        </w:tc>
        <w:tc>
          <w:tcPr>
            <w:tcW w:w="1134" w:type="dxa"/>
          </w:tcPr>
          <w:p w14:paraId="16818205" w14:textId="55292649"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r w:rsidRPr="00D005A1">
              <w:rPr>
                <w:rFonts w:ascii="Times New Roman" w:hAnsi="Times New Roman" w:cs="Times New Roman"/>
                <w:sz w:val="20"/>
                <w:szCs w:val="20"/>
                <w:lang w:val="en-US"/>
              </w:rPr>
              <w:t>S282T</w:t>
            </w:r>
          </w:p>
        </w:tc>
        <w:tc>
          <w:tcPr>
            <w:tcW w:w="992" w:type="dxa"/>
          </w:tcPr>
          <w:p w14:paraId="0165A714" w14:textId="2F46238A"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r w:rsidRPr="00D005A1">
              <w:rPr>
                <w:rFonts w:ascii="Times New Roman" w:hAnsi="Times New Roman" w:cs="Times New Roman"/>
                <w:sz w:val="20"/>
                <w:szCs w:val="20"/>
                <w:lang w:val="en-US"/>
              </w:rPr>
              <w:t>S282T</w:t>
            </w:r>
          </w:p>
        </w:tc>
        <w:tc>
          <w:tcPr>
            <w:tcW w:w="992" w:type="dxa"/>
          </w:tcPr>
          <w:p w14:paraId="33C752A7" w14:textId="4D3FDA22"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r w:rsidRPr="00D005A1">
              <w:rPr>
                <w:rFonts w:ascii="Times New Roman" w:hAnsi="Times New Roman" w:cs="Times New Roman"/>
                <w:sz w:val="20"/>
                <w:szCs w:val="20"/>
                <w:lang w:val="en-US"/>
              </w:rPr>
              <w:t>S282C/T</w:t>
            </w:r>
          </w:p>
        </w:tc>
        <w:tc>
          <w:tcPr>
            <w:tcW w:w="930" w:type="dxa"/>
          </w:tcPr>
          <w:p w14:paraId="00BAA6D7" w14:textId="2253803F"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r w:rsidRPr="00D005A1">
              <w:rPr>
                <w:rFonts w:ascii="Times New Roman" w:hAnsi="Times New Roman" w:cs="Times New Roman"/>
                <w:sz w:val="20"/>
                <w:szCs w:val="20"/>
                <w:lang w:val="en-US"/>
              </w:rPr>
              <w:t>S282T</w:t>
            </w:r>
          </w:p>
        </w:tc>
        <w:tc>
          <w:tcPr>
            <w:tcW w:w="1043" w:type="dxa"/>
          </w:tcPr>
          <w:p w14:paraId="139F40BD" w14:textId="09B19F1F"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r w:rsidRPr="00D005A1">
              <w:rPr>
                <w:rFonts w:ascii="Times New Roman" w:hAnsi="Times New Roman" w:cs="Times New Roman"/>
                <w:sz w:val="20"/>
                <w:szCs w:val="20"/>
                <w:lang w:val="en-US"/>
              </w:rPr>
              <w:t>S282T</w:t>
            </w:r>
          </w:p>
        </w:tc>
      </w:tr>
      <w:tr w:rsidR="00830AE3" w:rsidRPr="00D005A1" w14:paraId="430405DD" w14:textId="77777777" w:rsidTr="00D00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4DCB4FEC" w14:textId="77777777" w:rsidR="00A676B7" w:rsidRPr="00D005A1" w:rsidRDefault="00A676B7" w:rsidP="00D005A1">
            <w:pPr>
              <w:rPr>
                <w:rFonts w:ascii="Times New Roman" w:hAnsi="Times New Roman" w:cs="Times New Roman"/>
                <w:b w:val="0"/>
                <w:sz w:val="20"/>
                <w:szCs w:val="20"/>
                <w:lang w:val="uk-UA"/>
              </w:rPr>
            </w:pPr>
          </w:p>
        </w:tc>
        <w:tc>
          <w:tcPr>
            <w:tcW w:w="1248" w:type="dxa"/>
          </w:tcPr>
          <w:p w14:paraId="0BC5EB07" w14:textId="58D3103E"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316</w:t>
            </w:r>
          </w:p>
        </w:tc>
        <w:tc>
          <w:tcPr>
            <w:tcW w:w="1276" w:type="dxa"/>
          </w:tcPr>
          <w:p w14:paraId="42D61A4C" w14:textId="7E321DD5"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r w:rsidRPr="00D005A1">
              <w:rPr>
                <w:rFonts w:ascii="Times New Roman" w:hAnsi="Times New Roman" w:cs="Times New Roman"/>
                <w:sz w:val="20"/>
                <w:szCs w:val="20"/>
                <w:lang w:val="en-US"/>
              </w:rPr>
              <w:t>C316F</w:t>
            </w:r>
          </w:p>
        </w:tc>
        <w:tc>
          <w:tcPr>
            <w:tcW w:w="1276" w:type="dxa"/>
          </w:tcPr>
          <w:p w14:paraId="2ABBBCA3" w14:textId="149F3693"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r w:rsidRPr="00D005A1">
              <w:rPr>
                <w:rFonts w:ascii="Times New Roman" w:hAnsi="Times New Roman" w:cs="Times New Roman"/>
                <w:sz w:val="20"/>
                <w:szCs w:val="20"/>
                <w:lang w:val="en-US"/>
              </w:rPr>
              <w:t>C316N/F</w:t>
            </w:r>
          </w:p>
        </w:tc>
        <w:tc>
          <w:tcPr>
            <w:tcW w:w="1134" w:type="dxa"/>
          </w:tcPr>
          <w:p w14:paraId="7F4089AF"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992" w:type="dxa"/>
          </w:tcPr>
          <w:p w14:paraId="69EF01EC"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992" w:type="dxa"/>
          </w:tcPr>
          <w:p w14:paraId="1129A49C"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930" w:type="dxa"/>
          </w:tcPr>
          <w:p w14:paraId="059CC167"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1043" w:type="dxa"/>
          </w:tcPr>
          <w:p w14:paraId="69B43FE4"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r>
      <w:tr w:rsidR="000645CE" w:rsidRPr="00D005A1" w14:paraId="0E877E45" w14:textId="77777777" w:rsidTr="00D005A1">
        <w:tc>
          <w:tcPr>
            <w:cnfStyle w:val="001000000000" w:firstRow="0" w:lastRow="0" w:firstColumn="1" w:lastColumn="0" w:oddVBand="0" w:evenVBand="0" w:oddHBand="0" w:evenHBand="0" w:firstRowFirstColumn="0" w:firstRowLastColumn="0" w:lastRowFirstColumn="0" w:lastRowLastColumn="0"/>
            <w:tcW w:w="1015" w:type="dxa"/>
          </w:tcPr>
          <w:p w14:paraId="0C61C8AE" w14:textId="77777777" w:rsidR="00A676B7" w:rsidRPr="00D005A1" w:rsidRDefault="00A676B7" w:rsidP="00D005A1">
            <w:pPr>
              <w:rPr>
                <w:rFonts w:ascii="Times New Roman" w:hAnsi="Times New Roman" w:cs="Times New Roman"/>
                <w:b w:val="0"/>
                <w:sz w:val="20"/>
                <w:szCs w:val="20"/>
                <w:lang w:val="uk-UA"/>
              </w:rPr>
            </w:pPr>
          </w:p>
        </w:tc>
        <w:tc>
          <w:tcPr>
            <w:tcW w:w="1248" w:type="dxa"/>
          </w:tcPr>
          <w:p w14:paraId="1E5C6313" w14:textId="74830F53"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320</w:t>
            </w:r>
          </w:p>
        </w:tc>
        <w:tc>
          <w:tcPr>
            <w:tcW w:w="1276" w:type="dxa"/>
          </w:tcPr>
          <w:p w14:paraId="59519BA7" w14:textId="383336B9"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L320I/F/V</w:t>
            </w:r>
          </w:p>
        </w:tc>
        <w:tc>
          <w:tcPr>
            <w:tcW w:w="1276" w:type="dxa"/>
          </w:tcPr>
          <w:p w14:paraId="2ACD4803"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1134" w:type="dxa"/>
          </w:tcPr>
          <w:p w14:paraId="2050559C"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992" w:type="dxa"/>
          </w:tcPr>
          <w:p w14:paraId="44F11631"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992" w:type="dxa"/>
          </w:tcPr>
          <w:p w14:paraId="6FED2B71"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930" w:type="dxa"/>
          </w:tcPr>
          <w:p w14:paraId="78A87F7D"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1043" w:type="dxa"/>
          </w:tcPr>
          <w:p w14:paraId="732FDEE9"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r>
      <w:tr w:rsidR="00830AE3" w:rsidRPr="00D005A1" w14:paraId="67717301" w14:textId="77777777" w:rsidTr="00D00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7F03C6A6" w14:textId="77777777" w:rsidR="00A676B7" w:rsidRPr="00D005A1" w:rsidRDefault="00A676B7" w:rsidP="00D005A1">
            <w:pPr>
              <w:rPr>
                <w:rFonts w:ascii="Times New Roman" w:hAnsi="Times New Roman" w:cs="Times New Roman"/>
                <w:b w:val="0"/>
                <w:sz w:val="20"/>
                <w:szCs w:val="20"/>
                <w:lang w:val="uk-UA"/>
              </w:rPr>
            </w:pPr>
          </w:p>
        </w:tc>
        <w:tc>
          <w:tcPr>
            <w:tcW w:w="1248" w:type="dxa"/>
          </w:tcPr>
          <w:p w14:paraId="4EE8C73D" w14:textId="54079740"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321</w:t>
            </w:r>
          </w:p>
        </w:tc>
        <w:tc>
          <w:tcPr>
            <w:tcW w:w="1276" w:type="dxa"/>
          </w:tcPr>
          <w:p w14:paraId="53304F98" w14:textId="2EB2F966"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V321A</w:t>
            </w:r>
          </w:p>
        </w:tc>
        <w:tc>
          <w:tcPr>
            <w:tcW w:w="1276" w:type="dxa"/>
          </w:tcPr>
          <w:p w14:paraId="7F6A4B4A"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1134" w:type="dxa"/>
          </w:tcPr>
          <w:p w14:paraId="2BD74441"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992" w:type="dxa"/>
          </w:tcPr>
          <w:p w14:paraId="7C623A84" w14:textId="47CB4839"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r w:rsidRPr="00D005A1">
              <w:rPr>
                <w:rFonts w:ascii="Times New Roman" w:hAnsi="Times New Roman" w:cs="Times New Roman"/>
                <w:sz w:val="20"/>
                <w:szCs w:val="20"/>
                <w:lang w:val="en-US"/>
              </w:rPr>
              <w:t>V321A</w:t>
            </w:r>
          </w:p>
        </w:tc>
        <w:tc>
          <w:tcPr>
            <w:tcW w:w="992" w:type="dxa"/>
          </w:tcPr>
          <w:p w14:paraId="5F6BD00A"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930" w:type="dxa"/>
          </w:tcPr>
          <w:p w14:paraId="4618F3A9"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1043" w:type="dxa"/>
          </w:tcPr>
          <w:p w14:paraId="4648870A"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r>
      <w:tr w:rsidR="00A676B7" w:rsidRPr="00D005A1" w14:paraId="10AC1191" w14:textId="77777777" w:rsidTr="00D005A1">
        <w:tc>
          <w:tcPr>
            <w:cnfStyle w:val="001000000000" w:firstRow="0" w:lastRow="0" w:firstColumn="1" w:lastColumn="0" w:oddVBand="0" w:evenVBand="0" w:oddHBand="0" w:evenHBand="0" w:firstRowFirstColumn="0" w:firstRowLastColumn="0" w:lastRowFirstColumn="0" w:lastRowLastColumn="0"/>
            <w:tcW w:w="9906" w:type="dxa"/>
            <w:gridSpan w:val="9"/>
          </w:tcPr>
          <w:p w14:paraId="5449075B" w14:textId="6A38CD3E" w:rsidR="00A676B7" w:rsidRPr="00D005A1" w:rsidRDefault="00A676B7" w:rsidP="00D005A1">
            <w:pPr>
              <w:rPr>
                <w:rFonts w:ascii="Times New Roman" w:hAnsi="Times New Roman" w:cs="Times New Roman"/>
                <w:sz w:val="20"/>
                <w:szCs w:val="20"/>
                <w:lang w:val="uk-UA"/>
              </w:rPr>
            </w:pPr>
            <w:r w:rsidRPr="00D005A1">
              <w:rPr>
                <w:rFonts w:ascii="Times New Roman" w:hAnsi="Times New Roman" w:cs="Times New Roman"/>
                <w:sz w:val="20"/>
                <w:szCs w:val="20"/>
                <w:lang w:val="en-US"/>
              </w:rPr>
              <w:t xml:space="preserve">NS5A </w:t>
            </w:r>
            <w:r w:rsidRPr="00D005A1">
              <w:rPr>
                <w:rFonts w:ascii="Times New Roman" w:hAnsi="Times New Roman" w:cs="Times New Roman"/>
                <w:sz w:val="20"/>
                <w:szCs w:val="20"/>
                <w:lang w:val="uk-UA"/>
              </w:rPr>
              <w:t>інгібітори (</w:t>
            </w:r>
            <w:r w:rsidRPr="00D005A1">
              <w:rPr>
                <w:rFonts w:ascii="Times New Roman" w:hAnsi="Times New Roman" w:cs="Times New Roman"/>
                <w:sz w:val="20"/>
                <w:szCs w:val="20"/>
                <w:lang w:val="en-US"/>
              </w:rPr>
              <w:t>NS5A</w:t>
            </w:r>
            <w:r w:rsidRPr="00D005A1">
              <w:rPr>
                <w:rFonts w:ascii="Times New Roman" w:hAnsi="Times New Roman" w:cs="Times New Roman"/>
                <w:sz w:val="20"/>
                <w:szCs w:val="20"/>
                <w:lang w:val="uk-UA"/>
              </w:rPr>
              <w:t>)</w:t>
            </w:r>
          </w:p>
        </w:tc>
      </w:tr>
      <w:tr w:rsidR="00830AE3" w:rsidRPr="00D005A1" w14:paraId="48681DDB" w14:textId="77777777" w:rsidTr="00D00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342AA38B" w14:textId="77777777" w:rsidR="00A676B7" w:rsidRPr="00D005A1" w:rsidRDefault="00A676B7" w:rsidP="00D005A1">
            <w:pPr>
              <w:rPr>
                <w:rFonts w:ascii="Times New Roman" w:hAnsi="Times New Roman" w:cs="Times New Roman"/>
                <w:b w:val="0"/>
                <w:sz w:val="20"/>
                <w:szCs w:val="20"/>
                <w:lang w:val="uk-UA"/>
              </w:rPr>
            </w:pPr>
          </w:p>
        </w:tc>
        <w:tc>
          <w:tcPr>
            <w:tcW w:w="1248" w:type="dxa"/>
          </w:tcPr>
          <w:p w14:paraId="62D0EA5A" w14:textId="074CC97C"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24</w:t>
            </w:r>
          </w:p>
        </w:tc>
        <w:tc>
          <w:tcPr>
            <w:tcW w:w="1276" w:type="dxa"/>
          </w:tcPr>
          <w:p w14:paraId="03BB7D41" w14:textId="4B63BA48"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K24G/N/R</w:t>
            </w:r>
          </w:p>
        </w:tc>
        <w:tc>
          <w:tcPr>
            <w:tcW w:w="1276" w:type="dxa"/>
          </w:tcPr>
          <w:p w14:paraId="4AC0D212"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1134" w:type="dxa"/>
          </w:tcPr>
          <w:p w14:paraId="6247E3DD" w14:textId="752A06AC"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T24A/S</w:t>
            </w:r>
          </w:p>
        </w:tc>
        <w:tc>
          <w:tcPr>
            <w:tcW w:w="992" w:type="dxa"/>
          </w:tcPr>
          <w:p w14:paraId="7AFD81A1" w14:textId="77692DBC"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S24F</w:t>
            </w:r>
          </w:p>
        </w:tc>
        <w:tc>
          <w:tcPr>
            <w:tcW w:w="992" w:type="dxa"/>
          </w:tcPr>
          <w:p w14:paraId="6A62F05A"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930" w:type="dxa"/>
          </w:tcPr>
          <w:p w14:paraId="70AB9811"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1043" w:type="dxa"/>
          </w:tcPr>
          <w:p w14:paraId="01F5A92F" w14:textId="754003B0"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Q24H</w:t>
            </w:r>
          </w:p>
        </w:tc>
      </w:tr>
      <w:tr w:rsidR="000645CE" w:rsidRPr="00D005A1" w14:paraId="63F9DE22" w14:textId="77777777" w:rsidTr="00D005A1">
        <w:tc>
          <w:tcPr>
            <w:cnfStyle w:val="001000000000" w:firstRow="0" w:lastRow="0" w:firstColumn="1" w:lastColumn="0" w:oddVBand="0" w:evenVBand="0" w:oddHBand="0" w:evenHBand="0" w:firstRowFirstColumn="0" w:firstRowLastColumn="0" w:lastRowFirstColumn="0" w:lastRowLastColumn="0"/>
            <w:tcW w:w="1015" w:type="dxa"/>
          </w:tcPr>
          <w:p w14:paraId="5D4E33B9" w14:textId="77777777" w:rsidR="00A676B7" w:rsidRPr="00D005A1" w:rsidRDefault="00A676B7" w:rsidP="00D005A1">
            <w:pPr>
              <w:rPr>
                <w:rFonts w:ascii="Times New Roman" w:hAnsi="Times New Roman" w:cs="Times New Roman"/>
                <w:b w:val="0"/>
                <w:sz w:val="20"/>
                <w:szCs w:val="20"/>
                <w:lang w:val="uk-UA"/>
              </w:rPr>
            </w:pPr>
          </w:p>
        </w:tc>
        <w:tc>
          <w:tcPr>
            <w:tcW w:w="1248" w:type="dxa"/>
          </w:tcPr>
          <w:p w14:paraId="1C2336E5" w14:textId="7A89DA1E"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26</w:t>
            </w:r>
          </w:p>
        </w:tc>
        <w:tc>
          <w:tcPr>
            <w:tcW w:w="1276" w:type="dxa"/>
          </w:tcPr>
          <w:p w14:paraId="0DFDBE3E" w14:textId="5CCBDF10"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K26E</w:t>
            </w:r>
          </w:p>
        </w:tc>
        <w:tc>
          <w:tcPr>
            <w:tcW w:w="1276" w:type="dxa"/>
          </w:tcPr>
          <w:p w14:paraId="5A781C33"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1134" w:type="dxa"/>
          </w:tcPr>
          <w:p w14:paraId="4CDEBBE6"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992" w:type="dxa"/>
          </w:tcPr>
          <w:p w14:paraId="17DB4B90"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992" w:type="dxa"/>
          </w:tcPr>
          <w:p w14:paraId="52EE8118"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930" w:type="dxa"/>
          </w:tcPr>
          <w:p w14:paraId="22DB4EE3"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1043" w:type="dxa"/>
          </w:tcPr>
          <w:p w14:paraId="526E13C9"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r>
      <w:tr w:rsidR="00830AE3" w:rsidRPr="00D005A1" w14:paraId="3D399156" w14:textId="77777777" w:rsidTr="00D00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03CBAF92" w14:textId="77777777" w:rsidR="00A676B7" w:rsidRPr="00D005A1" w:rsidRDefault="00A676B7" w:rsidP="00D005A1">
            <w:pPr>
              <w:rPr>
                <w:rFonts w:ascii="Times New Roman" w:hAnsi="Times New Roman" w:cs="Times New Roman"/>
                <w:b w:val="0"/>
                <w:sz w:val="20"/>
                <w:szCs w:val="20"/>
                <w:lang w:val="uk-UA"/>
              </w:rPr>
            </w:pPr>
          </w:p>
        </w:tc>
        <w:tc>
          <w:tcPr>
            <w:tcW w:w="1248" w:type="dxa"/>
          </w:tcPr>
          <w:p w14:paraId="381B3920" w14:textId="2CBE9565"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28</w:t>
            </w:r>
          </w:p>
        </w:tc>
        <w:tc>
          <w:tcPr>
            <w:tcW w:w="1276" w:type="dxa"/>
          </w:tcPr>
          <w:p w14:paraId="076B463D" w14:textId="771D7A80"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M28A/G/T/</w:t>
            </w:r>
            <w:r w:rsidR="00FC6D8A">
              <w:rPr>
                <w:rFonts w:ascii="Times New Roman" w:hAnsi="Times New Roman" w:cs="Times New Roman"/>
                <w:sz w:val="20"/>
                <w:szCs w:val="20"/>
                <w:lang w:val="en-US"/>
              </w:rPr>
              <w:t>–</w:t>
            </w:r>
            <w:r w:rsidRPr="00D005A1">
              <w:rPr>
                <w:rFonts w:ascii="Times New Roman" w:hAnsi="Times New Roman" w:cs="Times New Roman"/>
                <w:sz w:val="20"/>
                <w:szCs w:val="20"/>
                <w:lang w:val="en-US"/>
              </w:rPr>
              <w:t>/V</w:t>
            </w:r>
          </w:p>
        </w:tc>
        <w:tc>
          <w:tcPr>
            <w:tcW w:w="1276" w:type="dxa"/>
          </w:tcPr>
          <w:p w14:paraId="39723BD2" w14:textId="3807543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L28M/T</w:t>
            </w:r>
          </w:p>
        </w:tc>
        <w:tc>
          <w:tcPr>
            <w:tcW w:w="1134" w:type="dxa"/>
          </w:tcPr>
          <w:p w14:paraId="6E6DC0D3" w14:textId="4D03108D"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L/F28C/S</w:t>
            </w:r>
          </w:p>
        </w:tc>
        <w:tc>
          <w:tcPr>
            <w:tcW w:w="992" w:type="dxa"/>
          </w:tcPr>
          <w:p w14:paraId="038B612E" w14:textId="5880A21B"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M28T/K</w:t>
            </w:r>
          </w:p>
        </w:tc>
        <w:tc>
          <w:tcPr>
            <w:tcW w:w="992" w:type="dxa"/>
          </w:tcPr>
          <w:p w14:paraId="151BE560" w14:textId="7F350CF2"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L28M/S/V</w:t>
            </w:r>
          </w:p>
        </w:tc>
        <w:tc>
          <w:tcPr>
            <w:tcW w:w="930" w:type="dxa"/>
          </w:tcPr>
          <w:p w14:paraId="6A3B482C" w14:textId="7F3512A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L281</w:t>
            </w:r>
          </w:p>
        </w:tc>
        <w:tc>
          <w:tcPr>
            <w:tcW w:w="1043" w:type="dxa"/>
          </w:tcPr>
          <w:p w14:paraId="7F4CB7F1" w14:textId="6ED1BC81"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F281/L/M/V</w:t>
            </w:r>
          </w:p>
        </w:tc>
      </w:tr>
      <w:tr w:rsidR="000645CE" w:rsidRPr="00D005A1" w14:paraId="297131B0" w14:textId="77777777" w:rsidTr="00D005A1">
        <w:tc>
          <w:tcPr>
            <w:cnfStyle w:val="001000000000" w:firstRow="0" w:lastRow="0" w:firstColumn="1" w:lastColumn="0" w:oddVBand="0" w:evenVBand="0" w:oddHBand="0" w:evenHBand="0" w:firstRowFirstColumn="0" w:firstRowLastColumn="0" w:lastRowFirstColumn="0" w:lastRowLastColumn="0"/>
            <w:tcW w:w="1015" w:type="dxa"/>
          </w:tcPr>
          <w:p w14:paraId="64896296" w14:textId="77777777" w:rsidR="00A676B7" w:rsidRPr="00D005A1" w:rsidRDefault="00A676B7" w:rsidP="00D005A1">
            <w:pPr>
              <w:rPr>
                <w:rFonts w:ascii="Times New Roman" w:hAnsi="Times New Roman" w:cs="Times New Roman"/>
                <w:b w:val="0"/>
                <w:sz w:val="20"/>
                <w:szCs w:val="20"/>
                <w:lang w:val="uk-UA"/>
              </w:rPr>
            </w:pPr>
          </w:p>
        </w:tc>
        <w:tc>
          <w:tcPr>
            <w:tcW w:w="1248" w:type="dxa"/>
          </w:tcPr>
          <w:p w14:paraId="0598063D" w14:textId="1C54DC36"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29</w:t>
            </w:r>
          </w:p>
        </w:tc>
        <w:tc>
          <w:tcPr>
            <w:tcW w:w="1276" w:type="dxa"/>
          </w:tcPr>
          <w:p w14:paraId="3433FB4C"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1276" w:type="dxa"/>
          </w:tcPr>
          <w:p w14:paraId="493C61BC" w14:textId="2E067894"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P29S</w:t>
            </w:r>
          </w:p>
        </w:tc>
        <w:tc>
          <w:tcPr>
            <w:tcW w:w="1134" w:type="dxa"/>
          </w:tcPr>
          <w:p w14:paraId="2C7E3BF2" w14:textId="7B100B71"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r w:rsidRPr="00D005A1">
              <w:rPr>
                <w:rFonts w:ascii="Times New Roman" w:hAnsi="Times New Roman" w:cs="Times New Roman"/>
                <w:sz w:val="20"/>
                <w:szCs w:val="20"/>
                <w:lang w:val="en-US"/>
              </w:rPr>
              <w:t>P29S</w:t>
            </w:r>
          </w:p>
        </w:tc>
        <w:tc>
          <w:tcPr>
            <w:tcW w:w="992" w:type="dxa"/>
          </w:tcPr>
          <w:p w14:paraId="01CE73CE"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992" w:type="dxa"/>
          </w:tcPr>
          <w:p w14:paraId="683D64D9"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930" w:type="dxa"/>
          </w:tcPr>
          <w:p w14:paraId="1652CFD3"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1043" w:type="dxa"/>
          </w:tcPr>
          <w:p w14:paraId="01FB86DB"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r>
      <w:tr w:rsidR="00830AE3" w:rsidRPr="00D005A1" w14:paraId="12DA305B" w14:textId="77777777" w:rsidTr="00D00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768BF445" w14:textId="77777777" w:rsidR="00A676B7" w:rsidRPr="00D005A1" w:rsidRDefault="00A676B7" w:rsidP="00D005A1">
            <w:pPr>
              <w:rPr>
                <w:rFonts w:ascii="Times New Roman" w:hAnsi="Times New Roman" w:cs="Times New Roman"/>
                <w:b w:val="0"/>
                <w:sz w:val="20"/>
                <w:szCs w:val="20"/>
                <w:lang w:val="uk-UA"/>
              </w:rPr>
            </w:pPr>
          </w:p>
        </w:tc>
        <w:tc>
          <w:tcPr>
            <w:tcW w:w="1248" w:type="dxa"/>
          </w:tcPr>
          <w:p w14:paraId="7226E8E9" w14:textId="1159BF0F"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30</w:t>
            </w:r>
          </w:p>
        </w:tc>
        <w:tc>
          <w:tcPr>
            <w:tcW w:w="1276" w:type="dxa"/>
          </w:tcPr>
          <w:p w14:paraId="59C21792" w14:textId="7DE182B1"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Q30C/D/E/G/H/I/K/L/</w:t>
            </w:r>
            <w:r w:rsidR="000645CE" w:rsidRPr="00D005A1">
              <w:rPr>
                <w:rFonts w:ascii="Times New Roman" w:hAnsi="Times New Roman" w:cs="Times New Roman"/>
                <w:sz w:val="20"/>
                <w:szCs w:val="20"/>
                <w:lang w:val="en-US"/>
              </w:rPr>
              <w:t>N/Q/R/S/T/Y</w:t>
            </w:r>
          </w:p>
        </w:tc>
        <w:tc>
          <w:tcPr>
            <w:tcW w:w="1276" w:type="dxa"/>
          </w:tcPr>
          <w:p w14:paraId="060F2FA8" w14:textId="5A59EB2A" w:rsidR="00A676B7" w:rsidRPr="00D005A1" w:rsidRDefault="000645CE"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R30G\H\P\Q\R\S</w:t>
            </w:r>
          </w:p>
        </w:tc>
        <w:tc>
          <w:tcPr>
            <w:tcW w:w="1134" w:type="dxa"/>
          </w:tcPr>
          <w:p w14:paraId="0FA3FDED" w14:textId="1DAE70BB" w:rsidR="00A676B7" w:rsidRPr="00D005A1" w:rsidRDefault="000645CE"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L30H\S</w:t>
            </w:r>
          </w:p>
        </w:tc>
        <w:tc>
          <w:tcPr>
            <w:tcW w:w="992" w:type="dxa"/>
          </w:tcPr>
          <w:p w14:paraId="215121ED" w14:textId="005C3B45" w:rsidR="00A676B7" w:rsidRPr="00D005A1" w:rsidRDefault="000645CE"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A30K\S</w:t>
            </w:r>
          </w:p>
        </w:tc>
        <w:tc>
          <w:tcPr>
            <w:tcW w:w="992" w:type="dxa"/>
          </w:tcPr>
          <w:p w14:paraId="408F36BF" w14:textId="3845A867" w:rsidR="00A676B7" w:rsidRPr="00D005A1" w:rsidRDefault="000645CE"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L30G\H\R\S</w:t>
            </w:r>
          </w:p>
        </w:tc>
        <w:tc>
          <w:tcPr>
            <w:tcW w:w="930" w:type="dxa"/>
          </w:tcPr>
          <w:p w14:paraId="51341953" w14:textId="032B8CC0" w:rsidR="00A676B7" w:rsidRPr="00D005A1" w:rsidRDefault="000645CE"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Q30H</w:t>
            </w:r>
          </w:p>
        </w:tc>
        <w:tc>
          <w:tcPr>
            <w:tcW w:w="1043" w:type="dxa"/>
          </w:tcPr>
          <w:p w14:paraId="56BC5A1F" w14:textId="19FD5757" w:rsidR="00A676B7" w:rsidRPr="00D005A1" w:rsidRDefault="000645CE"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R30H</w:t>
            </w:r>
          </w:p>
        </w:tc>
      </w:tr>
      <w:tr w:rsidR="000645CE" w:rsidRPr="00D005A1" w14:paraId="6A2BA270" w14:textId="77777777" w:rsidTr="00D005A1">
        <w:tc>
          <w:tcPr>
            <w:cnfStyle w:val="001000000000" w:firstRow="0" w:lastRow="0" w:firstColumn="1" w:lastColumn="0" w:oddVBand="0" w:evenVBand="0" w:oddHBand="0" w:evenHBand="0" w:firstRowFirstColumn="0" w:firstRowLastColumn="0" w:lastRowFirstColumn="0" w:lastRowLastColumn="0"/>
            <w:tcW w:w="1015" w:type="dxa"/>
          </w:tcPr>
          <w:p w14:paraId="577DC569" w14:textId="77777777" w:rsidR="00A676B7" w:rsidRPr="00D005A1" w:rsidRDefault="00A676B7" w:rsidP="00D005A1">
            <w:pPr>
              <w:rPr>
                <w:rFonts w:ascii="Times New Roman" w:hAnsi="Times New Roman" w:cs="Times New Roman"/>
                <w:b w:val="0"/>
                <w:sz w:val="20"/>
                <w:szCs w:val="20"/>
                <w:lang w:val="uk-UA"/>
              </w:rPr>
            </w:pPr>
          </w:p>
        </w:tc>
        <w:tc>
          <w:tcPr>
            <w:tcW w:w="1248" w:type="dxa"/>
          </w:tcPr>
          <w:p w14:paraId="0F0B2962" w14:textId="0871C8E1"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31</w:t>
            </w:r>
          </w:p>
        </w:tc>
        <w:tc>
          <w:tcPr>
            <w:tcW w:w="1276" w:type="dxa"/>
          </w:tcPr>
          <w:p w14:paraId="3A3F5F15" w14:textId="6490165F" w:rsidR="00A676B7" w:rsidRPr="00D005A1" w:rsidRDefault="000645CE"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L311/F/M/P/V</w:t>
            </w:r>
          </w:p>
        </w:tc>
        <w:tc>
          <w:tcPr>
            <w:tcW w:w="1276" w:type="dxa"/>
          </w:tcPr>
          <w:p w14:paraId="2C2F713C" w14:textId="367AED69" w:rsidR="00A676B7" w:rsidRPr="00D005A1" w:rsidRDefault="000645CE"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L31F/I/M/V</w:t>
            </w:r>
          </w:p>
        </w:tc>
        <w:tc>
          <w:tcPr>
            <w:tcW w:w="1134" w:type="dxa"/>
          </w:tcPr>
          <w:p w14:paraId="3317E503" w14:textId="00D881BA" w:rsidR="00A676B7" w:rsidRPr="00D005A1" w:rsidRDefault="000645CE"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L31I/M/V</w:t>
            </w:r>
          </w:p>
        </w:tc>
        <w:tc>
          <w:tcPr>
            <w:tcW w:w="992" w:type="dxa"/>
          </w:tcPr>
          <w:p w14:paraId="36B9723E" w14:textId="3BFD59C1" w:rsidR="00A676B7" w:rsidRPr="00D005A1" w:rsidRDefault="000645CE"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L31F/I/M/V</w:t>
            </w:r>
          </w:p>
        </w:tc>
        <w:tc>
          <w:tcPr>
            <w:tcW w:w="992" w:type="dxa"/>
          </w:tcPr>
          <w:p w14:paraId="03607950" w14:textId="545767FD" w:rsidR="00A676B7" w:rsidRPr="00D005A1" w:rsidRDefault="000645CE"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M/L31I/V</w:t>
            </w:r>
          </w:p>
        </w:tc>
        <w:tc>
          <w:tcPr>
            <w:tcW w:w="930" w:type="dxa"/>
          </w:tcPr>
          <w:p w14:paraId="271A9BCD" w14:textId="4FEFEEDB" w:rsidR="00A676B7" w:rsidRPr="00D005A1" w:rsidRDefault="000645CE"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L31F/I/V</w:t>
            </w:r>
          </w:p>
        </w:tc>
        <w:tc>
          <w:tcPr>
            <w:tcW w:w="1043" w:type="dxa"/>
          </w:tcPr>
          <w:p w14:paraId="42D7C19E" w14:textId="7665854B" w:rsidR="00A676B7" w:rsidRPr="00D005A1" w:rsidRDefault="000645CE"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L31M/V</w:t>
            </w:r>
          </w:p>
        </w:tc>
      </w:tr>
      <w:tr w:rsidR="00830AE3" w:rsidRPr="00D005A1" w14:paraId="103D799E" w14:textId="77777777" w:rsidTr="00D00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27038CF0" w14:textId="77777777" w:rsidR="00A676B7" w:rsidRPr="00D005A1" w:rsidRDefault="00A676B7" w:rsidP="00D005A1">
            <w:pPr>
              <w:rPr>
                <w:rFonts w:ascii="Times New Roman" w:hAnsi="Times New Roman" w:cs="Times New Roman"/>
                <w:b w:val="0"/>
                <w:sz w:val="20"/>
                <w:szCs w:val="20"/>
                <w:lang w:val="uk-UA"/>
              </w:rPr>
            </w:pPr>
          </w:p>
        </w:tc>
        <w:tc>
          <w:tcPr>
            <w:tcW w:w="1248" w:type="dxa"/>
          </w:tcPr>
          <w:p w14:paraId="4E429C64" w14:textId="33EB0E4D"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r w:rsidRPr="00D005A1">
              <w:rPr>
                <w:rFonts w:ascii="Times New Roman" w:hAnsi="Times New Roman" w:cs="Times New Roman"/>
                <w:sz w:val="20"/>
                <w:szCs w:val="20"/>
                <w:lang w:val="uk-UA"/>
              </w:rPr>
              <w:t>32</w:t>
            </w:r>
          </w:p>
        </w:tc>
        <w:tc>
          <w:tcPr>
            <w:tcW w:w="1276" w:type="dxa"/>
          </w:tcPr>
          <w:p w14:paraId="6C7693EC" w14:textId="0FD61B92" w:rsidR="00A676B7" w:rsidRPr="00D005A1" w:rsidRDefault="000645CE"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P32L/S</w:t>
            </w:r>
          </w:p>
        </w:tc>
        <w:tc>
          <w:tcPr>
            <w:tcW w:w="1276" w:type="dxa"/>
          </w:tcPr>
          <w:p w14:paraId="1C15BEA5" w14:textId="4FAC32DC" w:rsidR="00A676B7" w:rsidRPr="00D005A1" w:rsidRDefault="000645CE"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P32F/L/S</w:t>
            </w:r>
          </w:p>
        </w:tc>
        <w:tc>
          <w:tcPr>
            <w:tcW w:w="1134" w:type="dxa"/>
          </w:tcPr>
          <w:p w14:paraId="093F87CD"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992" w:type="dxa"/>
          </w:tcPr>
          <w:p w14:paraId="65497E5D"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992" w:type="dxa"/>
          </w:tcPr>
          <w:p w14:paraId="4F81AD25"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930" w:type="dxa"/>
          </w:tcPr>
          <w:p w14:paraId="3CDC4BD8" w14:textId="480AE83F" w:rsidR="00A676B7" w:rsidRPr="00D005A1" w:rsidRDefault="000645CE"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P32L</w:t>
            </w:r>
          </w:p>
        </w:tc>
        <w:tc>
          <w:tcPr>
            <w:tcW w:w="1043" w:type="dxa"/>
          </w:tcPr>
          <w:p w14:paraId="6A566A6B" w14:textId="43F824C3" w:rsidR="00A676B7" w:rsidRPr="00D005A1" w:rsidRDefault="000645CE"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P32L/S</w:t>
            </w:r>
          </w:p>
        </w:tc>
      </w:tr>
      <w:tr w:rsidR="000645CE" w:rsidRPr="00D005A1" w14:paraId="6B761BF0" w14:textId="77777777" w:rsidTr="00D005A1">
        <w:tc>
          <w:tcPr>
            <w:cnfStyle w:val="001000000000" w:firstRow="0" w:lastRow="0" w:firstColumn="1" w:lastColumn="0" w:oddVBand="0" w:evenVBand="0" w:oddHBand="0" w:evenHBand="0" w:firstRowFirstColumn="0" w:firstRowLastColumn="0" w:lastRowFirstColumn="0" w:lastRowLastColumn="0"/>
            <w:tcW w:w="1015" w:type="dxa"/>
          </w:tcPr>
          <w:p w14:paraId="216F67B6" w14:textId="77777777" w:rsidR="00A676B7" w:rsidRPr="00D005A1" w:rsidRDefault="00A676B7" w:rsidP="00D005A1">
            <w:pPr>
              <w:rPr>
                <w:rFonts w:ascii="Times New Roman" w:hAnsi="Times New Roman" w:cs="Times New Roman"/>
                <w:b w:val="0"/>
                <w:sz w:val="20"/>
                <w:szCs w:val="20"/>
                <w:lang w:val="uk-UA"/>
              </w:rPr>
            </w:pPr>
          </w:p>
        </w:tc>
        <w:tc>
          <w:tcPr>
            <w:tcW w:w="1248" w:type="dxa"/>
          </w:tcPr>
          <w:p w14:paraId="49EA6544" w14:textId="4F8FBE64"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r w:rsidRPr="00D005A1">
              <w:rPr>
                <w:rFonts w:ascii="Times New Roman" w:hAnsi="Times New Roman" w:cs="Times New Roman"/>
                <w:sz w:val="20"/>
                <w:szCs w:val="20"/>
                <w:lang w:val="uk-UA"/>
              </w:rPr>
              <w:t>38</w:t>
            </w:r>
          </w:p>
        </w:tc>
        <w:tc>
          <w:tcPr>
            <w:tcW w:w="1276" w:type="dxa"/>
          </w:tcPr>
          <w:p w14:paraId="403BCBBA" w14:textId="520C7FAC" w:rsidR="00A676B7" w:rsidRPr="00D005A1" w:rsidRDefault="000645CE"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S38F</w:t>
            </w:r>
          </w:p>
        </w:tc>
        <w:tc>
          <w:tcPr>
            <w:tcW w:w="1276" w:type="dxa"/>
          </w:tcPr>
          <w:p w14:paraId="5103793C"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1134" w:type="dxa"/>
          </w:tcPr>
          <w:p w14:paraId="0D4EC466"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992" w:type="dxa"/>
          </w:tcPr>
          <w:p w14:paraId="21D1291D"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992" w:type="dxa"/>
          </w:tcPr>
          <w:p w14:paraId="70230FE1"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930" w:type="dxa"/>
          </w:tcPr>
          <w:p w14:paraId="0C251C7C"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1043" w:type="dxa"/>
          </w:tcPr>
          <w:p w14:paraId="06C26A56"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r>
      <w:tr w:rsidR="00830AE3" w:rsidRPr="00D005A1" w14:paraId="6CC6EF5D" w14:textId="77777777" w:rsidTr="00D00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2D1AB6F5" w14:textId="77777777" w:rsidR="00A676B7" w:rsidRPr="00D005A1" w:rsidRDefault="00A676B7" w:rsidP="00D005A1">
            <w:pPr>
              <w:rPr>
                <w:rFonts w:ascii="Times New Roman" w:hAnsi="Times New Roman" w:cs="Times New Roman"/>
                <w:b w:val="0"/>
                <w:sz w:val="20"/>
                <w:szCs w:val="20"/>
                <w:lang w:val="uk-UA"/>
              </w:rPr>
            </w:pPr>
          </w:p>
        </w:tc>
        <w:tc>
          <w:tcPr>
            <w:tcW w:w="1248" w:type="dxa"/>
          </w:tcPr>
          <w:p w14:paraId="74E996B7" w14:textId="6F94A99A"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r w:rsidRPr="00D005A1">
              <w:rPr>
                <w:rFonts w:ascii="Times New Roman" w:hAnsi="Times New Roman" w:cs="Times New Roman"/>
                <w:sz w:val="20"/>
                <w:szCs w:val="20"/>
                <w:lang w:val="uk-UA"/>
              </w:rPr>
              <w:t>58</w:t>
            </w:r>
          </w:p>
        </w:tc>
        <w:tc>
          <w:tcPr>
            <w:tcW w:w="1276" w:type="dxa"/>
          </w:tcPr>
          <w:p w14:paraId="4047CFC9" w14:textId="131665A0" w:rsidR="00A676B7" w:rsidRPr="00D005A1" w:rsidRDefault="000645CE"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H58D/L/R</w:t>
            </w:r>
          </w:p>
        </w:tc>
        <w:tc>
          <w:tcPr>
            <w:tcW w:w="1276" w:type="dxa"/>
          </w:tcPr>
          <w:p w14:paraId="1DFB1BAD" w14:textId="59DD2FC2" w:rsidR="00A676B7" w:rsidRPr="00D005A1" w:rsidRDefault="000645CE"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P58D/S/R/T</w:t>
            </w:r>
          </w:p>
        </w:tc>
        <w:tc>
          <w:tcPr>
            <w:tcW w:w="1134" w:type="dxa"/>
          </w:tcPr>
          <w:p w14:paraId="45618487"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992" w:type="dxa"/>
          </w:tcPr>
          <w:p w14:paraId="4926103A"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992" w:type="dxa"/>
          </w:tcPr>
          <w:p w14:paraId="54494B19" w14:textId="0BA3C89A" w:rsidR="00A676B7" w:rsidRPr="00D005A1" w:rsidRDefault="000645CE"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T58P/S</w:t>
            </w:r>
          </w:p>
        </w:tc>
        <w:tc>
          <w:tcPr>
            <w:tcW w:w="930" w:type="dxa"/>
          </w:tcPr>
          <w:p w14:paraId="1AD2E99B"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1043" w:type="dxa"/>
          </w:tcPr>
          <w:p w14:paraId="2858ABE3" w14:textId="5DC7341B" w:rsidR="00A676B7" w:rsidRPr="00D005A1" w:rsidRDefault="000645CE"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T58A/N/S</w:t>
            </w:r>
          </w:p>
        </w:tc>
      </w:tr>
      <w:tr w:rsidR="000645CE" w:rsidRPr="00D005A1" w14:paraId="5219D198" w14:textId="77777777" w:rsidTr="00D005A1">
        <w:tc>
          <w:tcPr>
            <w:cnfStyle w:val="001000000000" w:firstRow="0" w:lastRow="0" w:firstColumn="1" w:lastColumn="0" w:oddVBand="0" w:evenVBand="0" w:oddHBand="0" w:evenHBand="0" w:firstRowFirstColumn="0" w:firstRowLastColumn="0" w:lastRowFirstColumn="0" w:lastRowLastColumn="0"/>
            <w:tcW w:w="1015" w:type="dxa"/>
          </w:tcPr>
          <w:p w14:paraId="26D9C310" w14:textId="77777777" w:rsidR="00A676B7" w:rsidRPr="00D005A1" w:rsidRDefault="00A676B7" w:rsidP="00D005A1">
            <w:pPr>
              <w:rPr>
                <w:rFonts w:ascii="Times New Roman" w:hAnsi="Times New Roman" w:cs="Times New Roman"/>
                <w:b w:val="0"/>
                <w:sz w:val="20"/>
                <w:szCs w:val="20"/>
                <w:lang w:val="uk-UA"/>
              </w:rPr>
            </w:pPr>
          </w:p>
        </w:tc>
        <w:tc>
          <w:tcPr>
            <w:tcW w:w="1248" w:type="dxa"/>
          </w:tcPr>
          <w:p w14:paraId="0B1D1575" w14:textId="4164E970"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r w:rsidRPr="00D005A1">
              <w:rPr>
                <w:rFonts w:ascii="Times New Roman" w:hAnsi="Times New Roman" w:cs="Times New Roman"/>
                <w:sz w:val="20"/>
                <w:szCs w:val="20"/>
                <w:lang w:val="uk-UA"/>
              </w:rPr>
              <w:t>62</w:t>
            </w:r>
          </w:p>
        </w:tc>
        <w:tc>
          <w:tcPr>
            <w:tcW w:w="1276" w:type="dxa"/>
          </w:tcPr>
          <w:p w14:paraId="75CCD868"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1276" w:type="dxa"/>
          </w:tcPr>
          <w:p w14:paraId="4E9702BE" w14:textId="6E9EF36F" w:rsidR="00A676B7" w:rsidRPr="00D005A1" w:rsidRDefault="000645CE"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Q/E62D</w:t>
            </w:r>
          </w:p>
        </w:tc>
        <w:tc>
          <w:tcPr>
            <w:tcW w:w="1134" w:type="dxa"/>
          </w:tcPr>
          <w:p w14:paraId="125121B2"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992" w:type="dxa"/>
          </w:tcPr>
          <w:p w14:paraId="4D866801" w14:textId="02661B06" w:rsidR="00A676B7" w:rsidRPr="00D005A1" w:rsidRDefault="000645CE"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S62L</w:t>
            </w:r>
          </w:p>
        </w:tc>
        <w:tc>
          <w:tcPr>
            <w:tcW w:w="992" w:type="dxa"/>
          </w:tcPr>
          <w:p w14:paraId="3850CD00"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930" w:type="dxa"/>
          </w:tcPr>
          <w:p w14:paraId="0ED53C4A"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c>
          <w:tcPr>
            <w:tcW w:w="1043" w:type="dxa"/>
          </w:tcPr>
          <w:p w14:paraId="25769AB5" w14:textId="77777777"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p>
        </w:tc>
      </w:tr>
      <w:tr w:rsidR="00830AE3" w:rsidRPr="00D005A1" w14:paraId="006E7938" w14:textId="77777777" w:rsidTr="00D00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438A84C4" w14:textId="77777777" w:rsidR="00A676B7" w:rsidRPr="00D005A1" w:rsidRDefault="00A676B7" w:rsidP="00D005A1">
            <w:pPr>
              <w:rPr>
                <w:rFonts w:ascii="Times New Roman" w:hAnsi="Times New Roman" w:cs="Times New Roman"/>
                <w:b w:val="0"/>
                <w:sz w:val="20"/>
                <w:szCs w:val="20"/>
                <w:lang w:val="uk-UA"/>
              </w:rPr>
            </w:pPr>
          </w:p>
        </w:tc>
        <w:tc>
          <w:tcPr>
            <w:tcW w:w="1248" w:type="dxa"/>
          </w:tcPr>
          <w:p w14:paraId="34143729" w14:textId="08E6469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r w:rsidRPr="00D005A1">
              <w:rPr>
                <w:rFonts w:ascii="Times New Roman" w:hAnsi="Times New Roman" w:cs="Times New Roman"/>
                <w:sz w:val="20"/>
                <w:szCs w:val="20"/>
                <w:lang w:val="uk-UA"/>
              </w:rPr>
              <w:t>92</w:t>
            </w:r>
          </w:p>
        </w:tc>
        <w:tc>
          <w:tcPr>
            <w:tcW w:w="1276" w:type="dxa"/>
          </w:tcPr>
          <w:p w14:paraId="0694DF36" w14:textId="3BEC2A46" w:rsidR="00A676B7" w:rsidRPr="00D005A1" w:rsidRDefault="000645CE"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A92K/T</w:t>
            </w:r>
          </w:p>
        </w:tc>
        <w:tc>
          <w:tcPr>
            <w:tcW w:w="1276" w:type="dxa"/>
          </w:tcPr>
          <w:p w14:paraId="1843E0C1" w14:textId="25F32FC7" w:rsidR="00A676B7" w:rsidRPr="00D005A1" w:rsidRDefault="000645CE"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r w:rsidRPr="00D005A1">
              <w:rPr>
                <w:rFonts w:ascii="Times New Roman" w:hAnsi="Times New Roman" w:cs="Times New Roman"/>
                <w:sz w:val="20"/>
                <w:szCs w:val="20"/>
                <w:lang w:val="en-US"/>
              </w:rPr>
              <w:t>A92K/T</w:t>
            </w:r>
          </w:p>
        </w:tc>
        <w:tc>
          <w:tcPr>
            <w:tcW w:w="1134" w:type="dxa"/>
          </w:tcPr>
          <w:p w14:paraId="7F12002F" w14:textId="758BD043" w:rsidR="00A676B7" w:rsidRPr="00D005A1" w:rsidRDefault="000645CE"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C92R/S/T/W</w:t>
            </w:r>
          </w:p>
        </w:tc>
        <w:tc>
          <w:tcPr>
            <w:tcW w:w="992" w:type="dxa"/>
          </w:tcPr>
          <w:p w14:paraId="709E147D" w14:textId="011826AC" w:rsidR="00A676B7" w:rsidRPr="00D005A1" w:rsidRDefault="000645CE"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E92K</w:t>
            </w:r>
          </w:p>
        </w:tc>
        <w:tc>
          <w:tcPr>
            <w:tcW w:w="992" w:type="dxa"/>
          </w:tcPr>
          <w:p w14:paraId="7B8504B4"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930" w:type="dxa"/>
          </w:tcPr>
          <w:p w14:paraId="391272FD"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1043" w:type="dxa"/>
          </w:tcPr>
          <w:p w14:paraId="13D228A8" w14:textId="77777777" w:rsidR="00A676B7" w:rsidRPr="00D005A1" w:rsidRDefault="00A676B7"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r>
      <w:tr w:rsidR="000645CE" w:rsidRPr="00D005A1" w14:paraId="65C11030" w14:textId="77777777" w:rsidTr="00D005A1">
        <w:tc>
          <w:tcPr>
            <w:cnfStyle w:val="001000000000" w:firstRow="0" w:lastRow="0" w:firstColumn="1" w:lastColumn="0" w:oddVBand="0" w:evenVBand="0" w:oddHBand="0" w:evenHBand="0" w:firstRowFirstColumn="0" w:firstRowLastColumn="0" w:lastRowFirstColumn="0" w:lastRowLastColumn="0"/>
            <w:tcW w:w="1015" w:type="dxa"/>
          </w:tcPr>
          <w:p w14:paraId="292D180F" w14:textId="77777777" w:rsidR="00A676B7" w:rsidRPr="00D005A1" w:rsidRDefault="00A676B7" w:rsidP="00D005A1">
            <w:pPr>
              <w:rPr>
                <w:rFonts w:ascii="Times New Roman" w:hAnsi="Times New Roman" w:cs="Times New Roman"/>
                <w:b w:val="0"/>
                <w:sz w:val="20"/>
                <w:szCs w:val="20"/>
                <w:lang w:val="uk-UA"/>
              </w:rPr>
            </w:pPr>
          </w:p>
        </w:tc>
        <w:tc>
          <w:tcPr>
            <w:tcW w:w="1248" w:type="dxa"/>
          </w:tcPr>
          <w:p w14:paraId="4200D290" w14:textId="6FD911EB" w:rsidR="00A676B7" w:rsidRPr="00D005A1" w:rsidRDefault="00A676B7"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r w:rsidRPr="00D005A1">
              <w:rPr>
                <w:rFonts w:ascii="Times New Roman" w:hAnsi="Times New Roman" w:cs="Times New Roman"/>
                <w:sz w:val="20"/>
                <w:szCs w:val="20"/>
                <w:lang w:val="uk-UA"/>
              </w:rPr>
              <w:t>93</w:t>
            </w:r>
          </w:p>
        </w:tc>
        <w:tc>
          <w:tcPr>
            <w:tcW w:w="1276" w:type="dxa"/>
          </w:tcPr>
          <w:p w14:paraId="349ABEDC" w14:textId="19E04F6E" w:rsidR="00A676B7" w:rsidRPr="00D005A1" w:rsidRDefault="000645CE"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Y93C/F/H/L/N/R/S/T/W</w:t>
            </w:r>
          </w:p>
        </w:tc>
        <w:tc>
          <w:tcPr>
            <w:tcW w:w="1276" w:type="dxa"/>
          </w:tcPr>
          <w:p w14:paraId="2F98C64E" w14:textId="292BAC3B" w:rsidR="00A676B7" w:rsidRPr="00D005A1" w:rsidRDefault="000645CE"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Y93C/H/N/S/T</w:t>
            </w:r>
          </w:p>
        </w:tc>
        <w:tc>
          <w:tcPr>
            <w:tcW w:w="1134" w:type="dxa"/>
          </w:tcPr>
          <w:p w14:paraId="12FC63A6" w14:textId="726DEFEB" w:rsidR="00A676B7" w:rsidRPr="00D005A1" w:rsidRDefault="000645CE"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Y93H</w:t>
            </w:r>
          </w:p>
        </w:tc>
        <w:tc>
          <w:tcPr>
            <w:tcW w:w="992" w:type="dxa"/>
          </w:tcPr>
          <w:p w14:paraId="77878B74" w14:textId="5C901583" w:rsidR="00A676B7" w:rsidRPr="00D005A1" w:rsidRDefault="000645CE"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Y93H</w:t>
            </w:r>
          </w:p>
        </w:tc>
        <w:tc>
          <w:tcPr>
            <w:tcW w:w="992" w:type="dxa"/>
          </w:tcPr>
          <w:p w14:paraId="25FDCB2B" w14:textId="5EE5D1CE" w:rsidR="00A676B7" w:rsidRPr="00D005A1" w:rsidRDefault="000645CE"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Y93C/H/N/S/R/W</w:t>
            </w:r>
          </w:p>
        </w:tc>
        <w:tc>
          <w:tcPr>
            <w:tcW w:w="930" w:type="dxa"/>
          </w:tcPr>
          <w:p w14:paraId="1467E500" w14:textId="5326A677" w:rsidR="00A676B7" w:rsidRPr="00D005A1" w:rsidRDefault="000645CE"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T93H</w:t>
            </w:r>
          </w:p>
        </w:tc>
        <w:tc>
          <w:tcPr>
            <w:tcW w:w="1043" w:type="dxa"/>
          </w:tcPr>
          <w:p w14:paraId="70C8E333" w14:textId="036C815E" w:rsidR="00A676B7" w:rsidRPr="00D005A1" w:rsidRDefault="000645CE"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005A1">
              <w:rPr>
                <w:rFonts w:ascii="Times New Roman" w:hAnsi="Times New Roman" w:cs="Times New Roman"/>
                <w:sz w:val="20"/>
                <w:szCs w:val="20"/>
                <w:lang w:val="en-US"/>
              </w:rPr>
              <w:t>T93H/S</w:t>
            </w:r>
          </w:p>
        </w:tc>
      </w:tr>
    </w:tbl>
    <w:p w14:paraId="1A45E08C" w14:textId="77777777" w:rsidR="0010783C" w:rsidRDefault="0010783C"/>
    <w:tbl>
      <w:tblPr>
        <w:tblStyle w:val="-41"/>
        <w:tblW w:w="0" w:type="auto"/>
        <w:tblLayout w:type="fixed"/>
        <w:tblLook w:val="04A0" w:firstRow="1" w:lastRow="0" w:firstColumn="1" w:lastColumn="0" w:noHBand="0" w:noVBand="1"/>
      </w:tblPr>
      <w:tblGrid>
        <w:gridCol w:w="1015"/>
        <w:gridCol w:w="1248"/>
        <w:gridCol w:w="1276"/>
        <w:gridCol w:w="1276"/>
        <w:gridCol w:w="1134"/>
        <w:gridCol w:w="992"/>
        <w:gridCol w:w="992"/>
        <w:gridCol w:w="930"/>
        <w:gridCol w:w="1043"/>
      </w:tblGrid>
      <w:tr w:rsidR="00830AE3" w:rsidRPr="00D005A1" w14:paraId="6BA8F215" w14:textId="77777777" w:rsidTr="00D00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6" w:type="dxa"/>
            <w:gridSpan w:val="9"/>
          </w:tcPr>
          <w:p w14:paraId="4104AE8B" w14:textId="7C93D740" w:rsidR="00830AE3" w:rsidRPr="00D005A1" w:rsidRDefault="009258E1" w:rsidP="007F3A6E">
            <w:pPr>
              <w:rPr>
                <w:rFonts w:ascii="Times New Roman" w:hAnsi="Times New Roman" w:cs="Times New Roman"/>
                <w:sz w:val="20"/>
                <w:szCs w:val="20"/>
                <w:lang w:val="uk-UA"/>
              </w:rPr>
            </w:pPr>
            <w:r>
              <w:rPr>
                <w:rFonts w:ascii="Times New Roman" w:hAnsi="Times New Roman" w:cs="Times New Roman"/>
                <w:sz w:val="20"/>
                <w:szCs w:val="20"/>
                <w:lang w:val="uk-UA"/>
              </w:rPr>
              <w:t>Інгібітори протеаз (</w:t>
            </w:r>
            <w:r>
              <w:rPr>
                <w:rFonts w:ascii="Times New Roman" w:hAnsi="Times New Roman" w:cs="Times New Roman"/>
                <w:sz w:val="20"/>
                <w:szCs w:val="20"/>
                <w:lang w:val="en-US"/>
              </w:rPr>
              <w:t>NS3</w:t>
            </w:r>
            <w:r>
              <w:rPr>
                <w:rFonts w:ascii="Times New Roman" w:hAnsi="Times New Roman" w:cs="Times New Roman"/>
                <w:sz w:val="20"/>
                <w:szCs w:val="20"/>
                <w:lang w:val="uk-UA"/>
              </w:rPr>
              <w:t>)</w:t>
            </w:r>
          </w:p>
        </w:tc>
      </w:tr>
      <w:tr w:rsidR="009258E1" w:rsidRPr="00D005A1" w14:paraId="43F81F42" w14:textId="77777777" w:rsidTr="0083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5AFE06CE" w14:textId="77777777" w:rsidR="009258E1" w:rsidRPr="00D005A1" w:rsidRDefault="009258E1" w:rsidP="009258E1">
            <w:pPr>
              <w:rPr>
                <w:rFonts w:ascii="Times New Roman" w:hAnsi="Times New Roman" w:cs="Times New Roman"/>
                <w:sz w:val="20"/>
                <w:szCs w:val="20"/>
                <w:lang w:val="uk-UA"/>
              </w:rPr>
            </w:pPr>
          </w:p>
        </w:tc>
        <w:tc>
          <w:tcPr>
            <w:tcW w:w="1248" w:type="dxa"/>
          </w:tcPr>
          <w:p w14:paraId="5E57E579" w14:textId="014F2E42" w:rsidR="009258E1" w:rsidRPr="00D005A1"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36</w:t>
            </w:r>
          </w:p>
        </w:tc>
        <w:tc>
          <w:tcPr>
            <w:tcW w:w="1276" w:type="dxa"/>
          </w:tcPr>
          <w:p w14:paraId="6D0B4E96" w14:textId="5C2C7D73" w:rsidR="009258E1" w:rsidRPr="00D005A1"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V36A/C/G/L/M</w:t>
            </w:r>
          </w:p>
        </w:tc>
        <w:tc>
          <w:tcPr>
            <w:tcW w:w="1276" w:type="dxa"/>
          </w:tcPr>
          <w:p w14:paraId="65D2C574" w14:textId="35E2B46C" w:rsidR="009258E1" w:rsidRPr="00D005A1"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V36A/C/G/L/M</w:t>
            </w:r>
          </w:p>
        </w:tc>
        <w:tc>
          <w:tcPr>
            <w:tcW w:w="1134" w:type="dxa"/>
          </w:tcPr>
          <w:p w14:paraId="61EDE1CF" w14:textId="77777777" w:rsidR="009258E1" w:rsidRPr="00D005A1"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7DFCA6E6" w14:textId="77777777" w:rsidR="009258E1" w:rsidRPr="00D005A1"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609BCA8D" w14:textId="77777777" w:rsidR="009258E1" w:rsidRPr="00D005A1"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30" w:type="dxa"/>
          </w:tcPr>
          <w:p w14:paraId="53B66CF2" w14:textId="77777777" w:rsidR="009258E1" w:rsidRPr="00D005A1"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3" w:type="dxa"/>
          </w:tcPr>
          <w:p w14:paraId="187E6512" w14:textId="733E7A9C" w:rsidR="009258E1" w:rsidRPr="00D005A1"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r>
              <w:rPr>
                <w:rFonts w:ascii="Times New Roman" w:hAnsi="Times New Roman" w:cs="Times New Roman"/>
                <w:sz w:val="20"/>
                <w:szCs w:val="20"/>
                <w:lang w:val="en-US"/>
              </w:rPr>
              <w:t>V36I</w:t>
            </w:r>
          </w:p>
        </w:tc>
      </w:tr>
      <w:tr w:rsidR="0010783C" w:rsidRPr="008A2FA5" w14:paraId="49F42730" w14:textId="77777777" w:rsidTr="00830AE3">
        <w:tc>
          <w:tcPr>
            <w:cnfStyle w:val="001000000000" w:firstRow="0" w:lastRow="0" w:firstColumn="1" w:lastColumn="0" w:oddVBand="0" w:evenVBand="0" w:oddHBand="0" w:evenHBand="0" w:firstRowFirstColumn="0" w:firstRowLastColumn="0" w:lastRowFirstColumn="0" w:lastRowLastColumn="0"/>
            <w:tcW w:w="1015" w:type="dxa"/>
          </w:tcPr>
          <w:p w14:paraId="1D91ECAD" w14:textId="77777777" w:rsidR="009258E1" w:rsidRPr="008A2FA5" w:rsidRDefault="009258E1" w:rsidP="009258E1">
            <w:pPr>
              <w:rPr>
                <w:rFonts w:ascii="Times New Roman" w:hAnsi="Times New Roman" w:cs="Times New Roman"/>
                <w:sz w:val="20"/>
                <w:szCs w:val="20"/>
                <w:lang w:val="uk-UA"/>
              </w:rPr>
            </w:pPr>
          </w:p>
        </w:tc>
        <w:tc>
          <w:tcPr>
            <w:tcW w:w="1248" w:type="dxa"/>
          </w:tcPr>
          <w:p w14:paraId="02316A0B" w14:textId="1AA1CF88" w:rsidR="009258E1" w:rsidRPr="00D005A1" w:rsidRDefault="009258E1"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41</w:t>
            </w:r>
          </w:p>
        </w:tc>
        <w:tc>
          <w:tcPr>
            <w:tcW w:w="1276" w:type="dxa"/>
          </w:tcPr>
          <w:p w14:paraId="3CBDCD29" w14:textId="77777777" w:rsidR="009258E1" w:rsidRPr="008A2FA5" w:rsidRDefault="009258E1"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276" w:type="dxa"/>
          </w:tcPr>
          <w:p w14:paraId="58747B55" w14:textId="604F9734" w:rsidR="009258E1" w:rsidRPr="008A2FA5" w:rsidRDefault="00392BEA"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Q41R</w:t>
            </w:r>
          </w:p>
        </w:tc>
        <w:tc>
          <w:tcPr>
            <w:tcW w:w="1134" w:type="dxa"/>
          </w:tcPr>
          <w:p w14:paraId="07AC49C5" w14:textId="77777777" w:rsidR="009258E1" w:rsidRPr="008A2FA5" w:rsidRDefault="009258E1"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7796AE87" w14:textId="77777777" w:rsidR="009258E1" w:rsidRPr="008A2FA5" w:rsidRDefault="009258E1"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6AB27870" w14:textId="77777777" w:rsidR="009258E1" w:rsidRPr="008A2FA5" w:rsidRDefault="009258E1"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30" w:type="dxa"/>
          </w:tcPr>
          <w:p w14:paraId="5BC34338" w14:textId="77777777" w:rsidR="009258E1" w:rsidRPr="008A2FA5" w:rsidRDefault="009258E1"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3" w:type="dxa"/>
          </w:tcPr>
          <w:p w14:paraId="6CF68FB6" w14:textId="77777777" w:rsidR="009258E1" w:rsidRPr="008A2FA5" w:rsidRDefault="009258E1"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9258E1" w:rsidRPr="008A2FA5" w14:paraId="5105D245" w14:textId="77777777" w:rsidTr="0083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36902FD5" w14:textId="77777777" w:rsidR="009258E1" w:rsidRPr="008A2FA5" w:rsidRDefault="009258E1" w:rsidP="009258E1">
            <w:pPr>
              <w:rPr>
                <w:rFonts w:ascii="Times New Roman" w:hAnsi="Times New Roman" w:cs="Times New Roman"/>
                <w:sz w:val="20"/>
                <w:szCs w:val="20"/>
                <w:lang w:val="uk-UA"/>
              </w:rPr>
            </w:pPr>
          </w:p>
        </w:tc>
        <w:tc>
          <w:tcPr>
            <w:tcW w:w="1248" w:type="dxa"/>
          </w:tcPr>
          <w:p w14:paraId="5487DE96" w14:textId="322896D2" w:rsidR="009258E1" w:rsidRPr="00D005A1"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43</w:t>
            </w:r>
          </w:p>
        </w:tc>
        <w:tc>
          <w:tcPr>
            <w:tcW w:w="1276" w:type="dxa"/>
          </w:tcPr>
          <w:p w14:paraId="7B730305" w14:textId="77777777" w:rsidR="009258E1" w:rsidRPr="008A2FA5"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276" w:type="dxa"/>
          </w:tcPr>
          <w:p w14:paraId="0647D18E" w14:textId="73FAEF36" w:rsidR="009258E1" w:rsidRPr="008A2FA5" w:rsidRDefault="00392BEA"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F43I/S/V</w:t>
            </w:r>
          </w:p>
        </w:tc>
        <w:tc>
          <w:tcPr>
            <w:tcW w:w="1134" w:type="dxa"/>
          </w:tcPr>
          <w:p w14:paraId="0C3ED615" w14:textId="77777777" w:rsidR="009258E1" w:rsidRPr="008A2FA5"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61A79E85" w14:textId="77777777" w:rsidR="009258E1" w:rsidRPr="008A2FA5"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76794BAD" w14:textId="77777777" w:rsidR="009258E1" w:rsidRPr="008A2FA5"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30" w:type="dxa"/>
          </w:tcPr>
          <w:p w14:paraId="26591340" w14:textId="77777777" w:rsidR="009258E1" w:rsidRPr="008A2FA5"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3" w:type="dxa"/>
          </w:tcPr>
          <w:p w14:paraId="42444B34" w14:textId="77777777" w:rsidR="009258E1" w:rsidRPr="008A2FA5"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10783C" w:rsidRPr="008A2FA5" w14:paraId="2FA00B89" w14:textId="77777777" w:rsidTr="00830AE3">
        <w:tc>
          <w:tcPr>
            <w:cnfStyle w:val="001000000000" w:firstRow="0" w:lastRow="0" w:firstColumn="1" w:lastColumn="0" w:oddVBand="0" w:evenVBand="0" w:oddHBand="0" w:evenHBand="0" w:firstRowFirstColumn="0" w:firstRowLastColumn="0" w:lastRowFirstColumn="0" w:lastRowLastColumn="0"/>
            <w:tcW w:w="1015" w:type="dxa"/>
          </w:tcPr>
          <w:p w14:paraId="67608CBC" w14:textId="77777777" w:rsidR="009258E1" w:rsidRPr="008A2FA5" w:rsidRDefault="009258E1" w:rsidP="009258E1">
            <w:pPr>
              <w:rPr>
                <w:rFonts w:ascii="Times New Roman" w:hAnsi="Times New Roman" w:cs="Times New Roman"/>
                <w:sz w:val="20"/>
                <w:szCs w:val="20"/>
                <w:lang w:val="uk-UA"/>
              </w:rPr>
            </w:pPr>
          </w:p>
        </w:tc>
        <w:tc>
          <w:tcPr>
            <w:tcW w:w="1248" w:type="dxa"/>
          </w:tcPr>
          <w:p w14:paraId="7E04092C" w14:textId="51AB4B62" w:rsidR="009258E1" w:rsidRPr="00D005A1" w:rsidRDefault="009258E1"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54</w:t>
            </w:r>
          </w:p>
        </w:tc>
        <w:tc>
          <w:tcPr>
            <w:tcW w:w="1276" w:type="dxa"/>
          </w:tcPr>
          <w:p w14:paraId="7BE0C701" w14:textId="59FFD667" w:rsidR="009258E1" w:rsidRPr="008A2FA5" w:rsidRDefault="00392BEA"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T54A/S</w:t>
            </w:r>
          </w:p>
        </w:tc>
        <w:tc>
          <w:tcPr>
            <w:tcW w:w="1276" w:type="dxa"/>
          </w:tcPr>
          <w:p w14:paraId="793F7276" w14:textId="2E8E7961" w:rsidR="009258E1" w:rsidRPr="008A2FA5" w:rsidRDefault="00392BEA"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T54A/C/G/S</w:t>
            </w:r>
          </w:p>
        </w:tc>
        <w:tc>
          <w:tcPr>
            <w:tcW w:w="1134" w:type="dxa"/>
          </w:tcPr>
          <w:p w14:paraId="121717E0" w14:textId="77777777" w:rsidR="009258E1" w:rsidRPr="008A2FA5" w:rsidRDefault="009258E1"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1AFB9B5C" w14:textId="77777777" w:rsidR="009258E1" w:rsidRPr="008A2FA5" w:rsidRDefault="009258E1"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4183C7A0" w14:textId="77777777" w:rsidR="009258E1" w:rsidRPr="008A2FA5" w:rsidRDefault="009258E1"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30" w:type="dxa"/>
          </w:tcPr>
          <w:p w14:paraId="778E2F98" w14:textId="77777777" w:rsidR="009258E1" w:rsidRPr="008A2FA5" w:rsidRDefault="009258E1"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3" w:type="dxa"/>
          </w:tcPr>
          <w:p w14:paraId="24C4DEB2" w14:textId="77777777" w:rsidR="009258E1" w:rsidRPr="008A2FA5" w:rsidRDefault="009258E1"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9258E1" w:rsidRPr="008A2FA5" w14:paraId="01F21E53" w14:textId="77777777" w:rsidTr="0083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29E75B71" w14:textId="77777777" w:rsidR="009258E1" w:rsidRPr="008A2FA5" w:rsidRDefault="009258E1" w:rsidP="009258E1">
            <w:pPr>
              <w:rPr>
                <w:rFonts w:ascii="Times New Roman" w:hAnsi="Times New Roman" w:cs="Times New Roman"/>
                <w:sz w:val="20"/>
                <w:szCs w:val="20"/>
                <w:lang w:val="uk-UA"/>
              </w:rPr>
            </w:pPr>
          </w:p>
        </w:tc>
        <w:tc>
          <w:tcPr>
            <w:tcW w:w="1248" w:type="dxa"/>
          </w:tcPr>
          <w:p w14:paraId="2BABBB45" w14:textId="15F8213A" w:rsidR="009258E1" w:rsidRPr="00D005A1"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55</w:t>
            </w:r>
          </w:p>
        </w:tc>
        <w:tc>
          <w:tcPr>
            <w:tcW w:w="1276" w:type="dxa"/>
          </w:tcPr>
          <w:p w14:paraId="763C08E6" w14:textId="77777777" w:rsidR="009258E1" w:rsidRPr="008A2FA5"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276" w:type="dxa"/>
          </w:tcPr>
          <w:p w14:paraId="782E60A7" w14:textId="38A2BAD9" w:rsidR="009258E1" w:rsidRPr="008A2FA5" w:rsidRDefault="00392BEA"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V55A</w:t>
            </w:r>
          </w:p>
        </w:tc>
        <w:tc>
          <w:tcPr>
            <w:tcW w:w="1134" w:type="dxa"/>
          </w:tcPr>
          <w:p w14:paraId="263EE5AC" w14:textId="77777777" w:rsidR="009258E1" w:rsidRPr="008A2FA5"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55FDCCD4" w14:textId="77777777" w:rsidR="009258E1" w:rsidRPr="008A2FA5"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04A7B696" w14:textId="77777777" w:rsidR="009258E1" w:rsidRPr="008A2FA5"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30" w:type="dxa"/>
          </w:tcPr>
          <w:p w14:paraId="31145C9A" w14:textId="77777777" w:rsidR="009258E1" w:rsidRPr="008A2FA5"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3" w:type="dxa"/>
          </w:tcPr>
          <w:p w14:paraId="75315E0D" w14:textId="77777777" w:rsidR="009258E1" w:rsidRPr="008A2FA5" w:rsidRDefault="009258E1" w:rsidP="009258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10783C" w:rsidRPr="008A2FA5" w14:paraId="5C69AF5A" w14:textId="77777777" w:rsidTr="00830AE3">
        <w:tc>
          <w:tcPr>
            <w:cnfStyle w:val="001000000000" w:firstRow="0" w:lastRow="0" w:firstColumn="1" w:lastColumn="0" w:oddVBand="0" w:evenVBand="0" w:oddHBand="0" w:evenHBand="0" w:firstRowFirstColumn="0" w:firstRowLastColumn="0" w:lastRowFirstColumn="0" w:lastRowLastColumn="0"/>
            <w:tcW w:w="1015" w:type="dxa"/>
          </w:tcPr>
          <w:p w14:paraId="40820489" w14:textId="77777777" w:rsidR="009258E1" w:rsidRPr="008A2FA5" w:rsidRDefault="009258E1" w:rsidP="009258E1">
            <w:pPr>
              <w:rPr>
                <w:rFonts w:ascii="Times New Roman" w:hAnsi="Times New Roman" w:cs="Times New Roman"/>
                <w:sz w:val="20"/>
                <w:szCs w:val="20"/>
                <w:lang w:val="uk-UA"/>
              </w:rPr>
            </w:pPr>
          </w:p>
        </w:tc>
        <w:tc>
          <w:tcPr>
            <w:tcW w:w="1248" w:type="dxa"/>
          </w:tcPr>
          <w:p w14:paraId="56F4BFF5" w14:textId="2C899992" w:rsidR="009258E1" w:rsidRPr="00D005A1" w:rsidRDefault="009258E1"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1276" w:type="dxa"/>
          </w:tcPr>
          <w:p w14:paraId="0674EFBA" w14:textId="77DCD094" w:rsidR="009258E1" w:rsidRPr="008A2FA5" w:rsidRDefault="00392BEA"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Y56H</w:t>
            </w:r>
          </w:p>
        </w:tc>
        <w:tc>
          <w:tcPr>
            <w:tcW w:w="1276" w:type="dxa"/>
          </w:tcPr>
          <w:p w14:paraId="4F1D5E41" w14:textId="1A1279E2" w:rsidR="009258E1" w:rsidRPr="008A2FA5" w:rsidRDefault="00392BEA"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Y56H/L/F</w:t>
            </w:r>
          </w:p>
        </w:tc>
        <w:tc>
          <w:tcPr>
            <w:tcW w:w="1134" w:type="dxa"/>
          </w:tcPr>
          <w:p w14:paraId="34B5B97B" w14:textId="47A8EA98" w:rsidR="009258E1" w:rsidRPr="008A2FA5" w:rsidRDefault="00392BEA"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Y56H</w:t>
            </w:r>
          </w:p>
        </w:tc>
        <w:tc>
          <w:tcPr>
            <w:tcW w:w="992" w:type="dxa"/>
          </w:tcPr>
          <w:p w14:paraId="3A9983AB" w14:textId="363C94AC" w:rsidR="009258E1" w:rsidRPr="008A2FA5" w:rsidRDefault="00392BEA"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Y56H</w:t>
            </w:r>
          </w:p>
        </w:tc>
        <w:tc>
          <w:tcPr>
            <w:tcW w:w="992" w:type="dxa"/>
          </w:tcPr>
          <w:p w14:paraId="2E5D04C0" w14:textId="4D2060F3" w:rsidR="009258E1" w:rsidRPr="008A2FA5" w:rsidRDefault="00392BEA"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Y56H</w:t>
            </w:r>
          </w:p>
        </w:tc>
        <w:tc>
          <w:tcPr>
            <w:tcW w:w="930" w:type="dxa"/>
          </w:tcPr>
          <w:p w14:paraId="418BF41F" w14:textId="6E343BA4" w:rsidR="009258E1" w:rsidRPr="008A2FA5" w:rsidRDefault="00392BEA"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Y56H</w:t>
            </w:r>
          </w:p>
        </w:tc>
        <w:tc>
          <w:tcPr>
            <w:tcW w:w="1043" w:type="dxa"/>
          </w:tcPr>
          <w:p w14:paraId="31210FD8" w14:textId="64E0FBF6" w:rsidR="009258E1" w:rsidRPr="008A2FA5" w:rsidRDefault="00392BEA" w:rsidP="009258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Y56H</w:t>
            </w:r>
          </w:p>
        </w:tc>
      </w:tr>
      <w:tr w:rsidR="00392BEA" w:rsidRPr="008A2FA5" w14:paraId="62E02580" w14:textId="77777777" w:rsidTr="0083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5D790063" w14:textId="77777777" w:rsidR="00392BEA" w:rsidRPr="008A2FA5" w:rsidRDefault="00392BEA" w:rsidP="00392BEA">
            <w:pPr>
              <w:rPr>
                <w:rFonts w:ascii="Times New Roman" w:hAnsi="Times New Roman" w:cs="Times New Roman"/>
                <w:sz w:val="20"/>
                <w:szCs w:val="20"/>
                <w:lang w:val="uk-UA"/>
              </w:rPr>
            </w:pPr>
          </w:p>
        </w:tc>
        <w:tc>
          <w:tcPr>
            <w:tcW w:w="1248" w:type="dxa"/>
          </w:tcPr>
          <w:p w14:paraId="0610B700" w14:textId="4F7269EF" w:rsidR="00392BEA" w:rsidRPr="00D005A1"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80</w:t>
            </w:r>
          </w:p>
        </w:tc>
        <w:tc>
          <w:tcPr>
            <w:tcW w:w="1276" w:type="dxa"/>
          </w:tcPr>
          <w:p w14:paraId="4A493718" w14:textId="0071B3AC"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Q80H/K/L/R</w:t>
            </w:r>
          </w:p>
        </w:tc>
        <w:tc>
          <w:tcPr>
            <w:tcW w:w="1276" w:type="dxa"/>
          </w:tcPr>
          <w:p w14:paraId="75D3611E" w14:textId="5DC9EE3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92BEA">
              <w:rPr>
                <w:rFonts w:ascii="Times New Roman" w:hAnsi="Times New Roman" w:cs="Times New Roman"/>
                <w:sz w:val="20"/>
                <w:szCs w:val="20"/>
                <w:lang w:val="en-US"/>
              </w:rPr>
              <w:t>Q80H/K/L/R</w:t>
            </w:r>
          </w:p>
        </w:tc>
        <w:tc>
          <w:tcPr>
            <w:tcW w:w="1134" w:type="dxa"/>
          </w:tcPr>
          <w:p w14:paraId="4941AE17"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77C07B4C"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2E4715BC" w14:textId="2164CBE5"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Q80R</w:t>
            </w:r>
          </w:p>
        </w:tc>
        <w:tc>
          <w:tcPr>
            <w:tcW w:w="930" w:type="dxa"/>
          </w:tcPr>
          <w:p w14:paraId="7819A256" w14:textId="46C57FAF"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3" w:type="dxa"/>
          </w:tcPr>
          <w:p w14:paraId="0A75C3AB" w14:textId="1FC9A60A"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L80K/Q</w:t>
            </w:r>
          </w:p>
        </w:tc>
      </w:tr>
      <w:tr w:rsidR="0010783C" w:rsidRPr="008A2FA5" w14:paraId="733865AC" w14:textId="77777777" w:rsidTr="00830AE3">
        <w:tc>
          <w:tcPr>
            <w:cnfStyle w:val="001000000000" w:firstRow="0" w:lastRow="0" w:firstColumn="1" w:lastColumn="0" w:oddVBand="0" w:evenVBand="0" w:oddHBand="0" w:evenHBand="0" w:firstRowFirstColumn="0" w:firstRowLastColumn="0" w:lastRowFirstColumn="0" w:lastRowLastColumn="0"/>
            <w:tcW w:w="1015" w:type="dxa"/>
          </w:tcPr>
          <w:p w14:paraId="4C0B8A0C" w14:textId="77777777" w:rsidR="00392BEA" w:rsidRPr="008A2FA5" w:rsidRDefault="00392BEA" w:rsidP="00392BEA">
            <w:pPr>
              <w:rPr>
                <w:rFonts w:ascii="Times New Roman" w:hAnsi="Times New Roman" w:cs="Times New Roman"/>
                <w:sz w:val="20"/>
                <w:szCs w:val="20"/>
                <w:lang w:val="uk-UA"/>
              </w:rPr>
            </w:pPr>
          </w:p>
        </w:tc>
        <w:tc>
          <w:tcPr>
            <w:tcW w:w="1248" w:type="dxa"/>
          </w:tcPr>
          <w:p w14:paraId="71BBD36F" w14:textId="4E15EA81" w:rsidR="00392BEA" w:rsidRPr="00D005A1"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122</w:t>
            </w:r>
          </w:p>
        </w:tc>
        <w:tc>
          <w:tcPr>
            <w:tcW w:w="1276" w:type="dxa"/>
          </w:tcPr>
          <w:p w14:paraId="4DAB4ACD" w14:textId="7126A124"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S122G/R</w:t>
            </w:r>
          </w:p>
        </w:tc>
        <w:tc>
          <w:tcPr>
            <w:tcW w:w="1276" w:type="dxa"/>
          </w:tcPr>
          <w:p w14:paraId="3F616F84" w14:textId="0938F94C"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S122D/G/I/N/R/T</w:t>
            </w:r>
          </w:p>
        </w:tc>
        <w:tc>
          <w:tcPr>
            <w:tcW w:w="1134" w:type="dxa"/>
          </w:tcPr>
          <w:p w14:paraId="17FFFB04" w14:textId="77777777"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524D76AF" w14:textId="77777777"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00CEF431" w14:textId="77777777"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30" w:type="dxa"/>
          </w:tcPr>
          <w:p w14:paraId="1E7A9C66" w14:textId="77777777"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3" w:type="dxa"/>
          </w:tcPr>
          <w:p w14:paraId="60CEA90E" w14:textId="2A655550"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S122T</w:t>
            </w:r>
          </w:p>
        </w:tc>
      </w:tr>
      <w:tr w:rsidR="00392BEA" w:rsidRPr="008A2FA5" w14:paraId="252984E9" w14:textId="77777777" w:rsidTr="0083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55A16913" w14:textId="77777777" w:rsidR="00392BEA" w:rsidRPr="008A2FA5" w:rsidRDefault="00392BEA" w:rsidP="00392BEA">
            <w:pPr>
              <w:rPr>
                <w:rFonts w:ascii="Times New Roman" w:hAnsi="Times New Roman" w:cs="Times New Roman"/>
                <w:sz w:val="20"/>
                <w:szCs w:val="20"/>
                <w:lang w:val="uk-UA"/>
              </w:rPr>
            </w:pPr>
          </w:p>
        </w:tc>
        <w:tc>
          <w:tcPr>
            <w:tcW w:w="1248" w:type="dxa"/>
          </w:tcPr>
          <w:p w14:paraId="2C48E5D4" w14:textId="5C0864EE" w:rsidR="00392BEA" w:rsidRPr="00D005A1"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155</w:t>
            </w:r>
          </w:p>
        </w:tc>
        <w:tc>
          <w:tcPr>
            <w:tcW w:w="1276" w:type="dxa"/>
          </w:tcPr>
          <w:p w14:paraId="03A5CD63" w14:textId="5F012EA2"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R155G/I/K/M/S/T/W</w:t>
            </w:r>
          </w:p>
        </w:tc>
        <w:tc>
          <w:tcPr>
            <w:tcW w:w="1276" w:type="dxa"/>
          </w:tcPr>
          <w:p w14:paraId="0AC4FA80" w14:textId="0B623C33"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R155C/G/I/K/L/Q/M/S/T/W</w:t>
            </w:r>
          </w:p>
        </w:tc>
        <w:tc>
          <w:tcPr>
            <w:tcW w:w="1134" w:type="dxa"/>
          </w:tcPr>
          <w:p w14:paraId="41CAC86E"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1B780C30"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67785A50" w14:textId="374690E4"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R155C/K</w:t>
            </w:r>
          </w:p>
        </w:tc>
        <w:tc>
          <w:tcPr>
            <w:tcW w:w="930" w:type="dxa"/>
          </w:tcPr>
          <w:p w14:paraId="0F2D96D7"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3" w:type="dxa"/>
          </w:tcPr>
          <w:p w14:paraId="63007F89"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10783C" w:rsidRPr="008A2FA5" w14:paraId="60F826D8" w14:textId="77777777" w:rsidTr="00830AE3">
        <w:tc>
          <w:tcPr>
            <w:cnfStyle w:val="001000000000" w:firstRow="0" w:lastRow="0" w:firstColumn="1" w:lastColumn="0" w:oddVBand="0" w:evenVBand="0" w:oddHBand="0" w:evenHBand="0" w:firstRowFirstColumn="0" w:firstRowLastColumn="0" w:lastRowFirstColumn="0" w:lastRowLastColumn="0"/>
            <w:tcW w:w="1015" w:type="dxa"/>
          </w:tcPr>
          <w:p w14:paraId="44DCA5D4" w14:textId="77777777" w:rsidR="00392BEA" w:rsidRPr="008A2FA5" w:rsidRDefault="00392BEA" w:rsidP="00392BEA">
            <w:pPr>
              <w:rPr>
                <w:rFonts w:ascii="Times New Roman" w:hAnsi="Times New Roman" w:cs="Times New Roman"/>
                <w:sz w:val="20"/>
                <w:szCs w:val="20"/>
                <w:lang w:val="uk-UA"/>
              </w:rPr>
            </w:pPr>
          </w:p>
        </w:tc>
        <w:tc>
          <w:tcPr>
            <w:tcW w:w="1248" w:type="dxa"/>
          </w:tcPr>
          <w:p w14:paraId="5FD27EEB" w14:textId="49F13EF6" w:rsidR="00392BEA" w:rsidRPr="00D005A1"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156</w:t>
            </w:r>
          </w:p>
        </w:tc>
        <w:tc>
          <w:tcPr>
            <w:tcW w:w="1276" w:type="dxa"/>
          </w:tcPr>
          <w:p w14:paraId="295BF376" w14:textId="0F659EDB"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A156G/P/S/T/V</w:t>
            </w:r>
          </w:p>
        </w:tc>
        <w:tc>
          <w:tcPr>
            <w:tcW w:w="1276" w:type="dxa"/>
          </w:tcPr>
          <w:p w14:paraId="4797B388" w14:textId="44ACA873"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A156G/P/S/T/V</w:t>
            </w:r>
          </w:p>
        </w:tc>
        <w:tc>
          <w:tcPr>
            <w:tcW w:w="1134" w:type="dxa"/>
          </w:tcPr>
          <w:p w14:paraId="21CF550E" w14:textId="4E3B7E76"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29FEBC19" w14:textId="0D2C48E7"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A156G/P/T/V</w:t>
            </w:r>
          </w:p>
        </w:tc>
        <w:tc>
          <w:tcPr>
            <w:tcW w:w="992" w:type="dxa"/>
          </w:tcPr>
          <w:p w14:paraId="2C82E5E6" w14:textId="76F56EE7"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A156G/H/K/S/T/V</w:t>
            </w:r>
          </w:p>
        </w:tc>
        <w:tc>
          <w:tcPr>
            <w:tcW w:w="930" w:type="dxa"/>
          </w:tcPr>
          <w:p w14:paraId="34BA61BA" w14:textId="4B47A1DB"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3" w:type="dxa"/>
          </w:tcPr>
          <w:p w14:paraId="6D43E6BF" w14:textId="77777777"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392BEA" w:rsidRPr="008A2FA5" w14:paraId="1ACE8BEF" w14:textId="77777777" w:rsidTr="0083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2AF7173E" w14:textId="77777777" w:rsidR="00392BEA" w:rsidRPr="008A2FA5" w:rsidRDefault="00392BEA" w:rsidP="00392BEA">
            <w:pPr>
              <w:rPr>
                <w:rFonts w:ascii="Times New Roman" w:hAnsi="Times New Roman" w:cs="Times New Roman"/>
                <w:sz w:val="20"/>
                <w:szCs w:val="20"/>
                <w:lang w:val="uk-UA"/>
              </w:rPr>
            </w:pPr>
          </w:p>
        </w:tc>
        <w:tc>
          <w:tcPr>
            <w:tcW w:w="1248" w:type="dxa"/>
          </w:tcPr>
          <w:p w14:paraId="64437924" w14:textId="4F61EE8F" w:rsidR="00392BEA" w:rsidRPr="00D005A1"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158</w:t>
            </w:r>
          </w:p>
        </w:tc>
        <w:tc>
          <w:tcPr>
            <w:tcW w:w="1276" w:type="dxa"/>
          </w:tcPr>
          <w:p w14:paraId="0B8B4F32" w14:textId="5A158D16"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V158I</w:t>
            </w:r>
          </w:p>
        </w:tc>
        <w:tc>
          <w:tcPr>
            <w:tcW w:w="1276" w:type="dxa"/>
          </w:tcPr>
          <w:p w14:paraId="7A69E0F7" w14:textId="2E89AC29"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V158I</w:t>
            </w:r>
          </w:p>
        </w:tc>
        <w:tc>
          <w:tcPr>
            <w:tcW w:w="1134" w:type="dxa"/>
          </w:tcPr>
          <w:p w14:paraId="4AE85F96"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4FA7E112"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767258BC"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30" w:type="dxa"/>
          </w:tcPr>
          <w:p w14:paraId="1BC32567"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3" w:type="dxa"/>
          </w:tcPr>
          <w:p w14:paraId="287E92B2"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10783C" w:rsidRPr="008A2FA5" w14:paraId="7CFFF917" w14:textId="77777777" w:rsidTr="00830AE3">
        <w:tc>
          <w:tcPr>
            <w:cnfStyle w:val="001000000000" w:firstRow="0" w:lastRow="0" w:firstColumn="1" w:lastColumn="0" w:oddVBand="0" w:evenVBand="0" w:oddHBand="0" w:evenHBand="0" w:firstRowFirstColumn="0" w:firstRowLastColumn="0" w:lastRowFirstColumn="0" w:lastRowLastColumn="0"/>
            <w:tcW w:w="1015" w:type="dxa"/>
          </w:tcPr>
          <w:p w14:paraId="00DB1E6E" w14:textId="77777777" w:rsidR="00392BEA" w:rsidRPr="008A2FA5" w:rsidRDefault="00392BEA" w:rsidP="00392BEA">
            <w:pPr>
              <w:rPr>
                <w:rFonts w:ascii="Times New Roman" w:hAnsi="Times New Roman" w:cs="Times New Roman"/>
                <w:sz w:val="20"/>
                <w:szCs w:val="20"/>
                <w:lang w:val="uk-UA"/>
              </w:rPr>
            </w:pPr>
          </w:p>
        </w:tc>
        <w:tc>
          <w:tcPr>
            <w:tcW w:w="1248" w:type="dxa"/>
          </w:tcPr>
          <w:p w14:paraId="712B03D3" w14:textId="662A1FD2" w:rsidR="00392BEA" w:rsidRPr="00D005A1"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168</w:t>
            </w:r>
          </w:p>
        </w:tc>
        <w:tc>
          <w:tcPr>
            <w:tcW w:w="1276" w:type="dxa"/>
          </w:tcPr>
          <w:p w14:paraId="1A3EB9C1" w14:textId="208727E7"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D168A/C/E/F/G/H/I/K/L/N/T/V/Y</w:t>
            </w:r>
          </w:p>
        </w:tc>
        <w:tc>
          <w:tcPr>
            <w:tcW w:w="1276" w:type="dxa"/>
          </w:tcPr>
          <w:p w14:paraId="7368E91E" w14:textId="45E0A5DA"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92BEA">
              <w:rPr>
                <w:rFonts w:ascii="Times New Roman" w:hAnsi="Times New Roman" w:cs="Times New Roman"/>
                <w:sz w:val="20"/>
                <w:szCs w:val="20"/>
                <w:lang w:val="en-US"/>
              </w:rPr>
              <w:t>D168A/C/E/F/G/H/I/K/L/N/T/V/Y</w:t>
            </w:r>
          </w:p>
        </w:tc>
        <w:tc>
          <w:tcPr>
            <w:tcW w:w="1134" w:type="dxa"/>
          </w:tcPr>
          <w:p w14:paraId="1AC41318" w14:textId="77777777"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6F1D4879" w14:textId="09BD73ED"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Q168R</w:t>
            </w:r>
          </w:p>
        </w:tc>
        <w:tc>
          <w:tcPr>
            <w:tcW w:w="992" w:type="dxa"/>
          </w:tcPr>
          <w:p w14:paraId="5172321B" w14:textId="19640592"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D168E/H/T/V</w:t>
            </w:r>
          </w:p>
        </w:tc>
        <w:tc>
          <w:tcPr>
            <w:tcW w:w="930" w:type="dxa"/>
          </w:tcPr>
          <w:p w14:paraId="24F9223B" w14:textId="77777777"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3" w:type="dxa"/>
          </w:tcPr>
          <w:p w14:paraId="04A304E8" w14:textId="0A228CCF"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D168A/E/H/Y</w:t>
            </w:r>
          </w:p>
        </w:tc>
      </w:tr>
      <w:tr w:rsidR="00392BEA" w:rsidRPr="008A2FA5" w14:paraId="132A75EC" w14:textId="77777777" w:rsidTr="0083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0303EC22" w14:textId="77777777" w:rsidR="00392BEA" w:rsidRPr="008A2FA5" w:rsidRDefault="00392BEA" w:rsidP="00392BEA">
            <w:pPr>
              <w:rPr>
                <w:rFonts w:ascii="Times New Roman" w:hAnsi="Times New Roman" w:cs="Times New Roman"/>
                <w:sz w:val="20"/>
                <w:szCs w:val="20"/>
                <w:lang w:val="uk-UA"/>
              </w:rPr>
            </w:pPr>
          </w:p>
        </w:tc>
        <w:tc>
          <w:tcPr>
            <w:tcW w:w="1248" w:type="dxa"/>
          </w:tcPr>
          <w:p w14:paraId="488682BB" w14:textId="1B94068E" w:rsidR="00392BEA" w:rsidRPr="00D005A1"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170</w:t>
            </w:r>
          </w:p>
        </w:tc>
        <w:tc>
          <w:tcPr>
            <w:tcW w:w="1276" w:type="dxa"/>
          </w:tcPr>
          <w:p w14:paraId="6B522A7B" w14:textId="5E53CEEE"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I/V170F/T/V</w:t>
            </w:r>
          </w:p>
        </w:tc>
        <w:tc>
          <w:tcPr>
            <w:tcW w:w="1276" w:type="dxa"/>
          </w:tcPr>
          <w:p w14:paraId="4A34ACC4" w14:textId="0B5EE57C"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I/V170A/L/T</w:t>
            </w:r>
          </w:p>
        </w:tc>
        <w:tc>
          <w:tcPr>
            <w:tcW w:w="1134" w:type="dxa"/>
          </w:tcPr>
          <w:p w14:paraId="61D4AD3F"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3707461E"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2D19CCE2"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30" w:type="dxa"/>
          </w:tcPr>
          <w:p w14:paraId="51D5C7BA"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3" w:type="dxa"/>
          </w:tcPr>
          <w:p w14:paraId="115C0B4E" w14:textId="6CFBC01C"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I170V</w:t>
            </w:r>
          </w:p>
        </w:tc>
      </w:tr>
      <w:tr w:rsidR="0010783C" w:rsidRPr="008A2FA5" w14:paraId="5C7CAA75" w14:textId="77777777" w:rsidTr="00830AE3">
        <w:tc>
          <w:tcPr>
            <w:cnfStyle w:val="001000000000" w:firstRow="0" w:lastRow="0" w:firstColumn="1" w:lastColumn="0" w:oddVBand="0" w:evenVBand="0" w:oddHBand="0" w:evenHBand="0" w:firstRowFirstColumn="0" w:firstRowLastColumn="0" w:lastRowFirstColumn="0" w:lastRowLastColumn="0"/>
            <w:tcW w:w="1015" w:type="dxa"/>
          </w:tcPr>
          <w:p w14:paraId="5EFA9641" w14:textId="77777777" w:rsidR="00392BEA" w:rsidRPr="008A2FA5" w:rsidRDefault="00392BEA" w:rsidP="00392BEA">
            <w:pPr>
              <w:rPr>
                <w:rFonts w:ascii="Times New Roman" w:hAnsi="Times New Roman" w:cs="Times New Roman"/>
                <w:sz w:val="20"/>
                <w:szCs w:val="20"/>
                <w:lang w:val="uk-UA"/>
              </w:rPr>
            </w:pPr>
          </w:p>
        </w:tc>
        <w:tc>
          <w:tcPr>
            <w:tcW w:w="1248" w:type="dxa"/>
          </w:tcPr>
          <w:p w14:paraId="4E632C4E" w14:textId="3C742993" w:rsidR="00392BEA" w:rsidRPr="00D005A1"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175</w:t>
            </w:r>
          </w:p>
        </w:tc>
        <w:tc>
          <w:tcPr>
            <w:tcW w:w="1276" w:type="dxa"/>
          </w:tcPr>
          <w:p w14:paraId="4DA78D5E" w14:textId="77777777"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276" w:type="dxa"/>
          </w:tcPr>
          <w:p w14:paraId="2FE7319B" w14:textId="757EA067"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M175L</w:t>
            </w:r>
          </w:p>
        </w:tc>
        <w:tc>
          <w:tcPr>
            <w:tcW w:w="1134" w:type="dxa"/>
          </w:tcPr>
          <w:p w14:paraId="5366D4B5" w14:textId="77777777"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2AFB15F2" w14:textId="77777777"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7D85B7DB" w14:textId="77777777"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30" w:type="dxa"/>
          </w:tcPr>
          <w:p w14:paraId="0DEB4FB0" w14:textId="77777777"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3" w:type="dxa"/>
          </w:tcPr>
          <w:p w14:paraId="175CC19F" w14:textId="77777777" w:rsidR="00392BEA" w:rsidRPr="008A2FA5" w:rsidRDefault="00392BEA"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392BEA" w:rsidRPr="008A2FA5" w14:paraId="6B9B2A85" w14:textId="77777777" w:rsidTr="0083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35A41F19" w14:textId="77777777" w:rsidR="00392BEA" w:rsidRPr="008A2FA5" w:rsidRDefault="00392BEA" w:rsidP="00392BEA">
            <w:pPr>
              <w:rPr>
                <w:rFonts w:ascii="Times New Roman" w:hAnsi="Times New Roman" w:cs="Times New Roman"/>
                <w:sz w:val="20"/>
                <w:szCs w:val="20"/>
                <w:lang w:val="uk-UA"/>
              </w:rPr>
            </w:pPr>
          </w:p>
        </w:tc>
        <w:tc>
          <w:tcPr>
            <w:tcW w:w="1248" w:type="dxa"/>
          </w:tcPr>
          <w:p w14:paraId="7449DEB1"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uk-UA"/>
              </w:rPr>
            </w:pPr>
          </w:p>
        </w:tc>
        <w:tc>
          <w:tcPr>
            <w:tcW w:w="1276" w:type="dxa"/>
          </w:tcPr>
          <w:p w14:paraId="50F1199F"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276" w:type="dxa"/>
          </w:tcPr>
          <w:p w14:paraId="4C70C333"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134" w:type="dxa"/>
          </w:tcPr>
          <w:p w14:paraId="1CFD5E96"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3F2258EA"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23B9DA3B"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30" w:type="dxa"/>
          </w:tcPr>
          <w:p w14:paraId="2BF5DF61"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3" w:type="dxa"/>
          </w:tcPr>
          <w:p w14:paraId="12874CD4"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bl>
    <w:p w14:paraId="05C424AB" w14:textId="77777777" w:rsidR="0010783C" w:rsidRDefault="0010783C"/>
    <w:tbl>
      <w:tblPr>
        <w:tblStyle w:val="-41"/>
        <w:tblW w:w="0" w:type="auto"/>
        <w:tblLayout w:type="fixed"/>
        <w:tblLook w:val="04A0" w:firstRow="1" w:lastRow="0" w:firstColumn="1" w:lastColumn="0" w:noHBand="0" w:noVBand="1"/>
      </w:tblPr>
      <w:tblGrid>
        <w:gridCol w:w="1015"/>
        <w:gridCol w:w="1248"/>
        <w:gridCol w:w="1276"/>
        <w:gridCol w:w="1276"/>
        <w:gridCol w:w="1134"/>
        <w:gridCol w:w="992"/>
        <w:gridCol w:w="992"/>
        <w:gridCol w:w="930"/>
        <w:gridCol w:w="1043"/>
      </w:tblGrid>
      <w:tr w:rsidR="00392BEA" w:rsidRPr="008A2FA5" w14:paraId="78C6D486" w14:textId="77777777" w:rsidTr="00D00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6" w:type="dxa"/>
            <w:gridSpan w:val="9"/>
          </w:tcPr>
          <w:p w14:paraId="379F63DD" w14:textId="675D2C1B" w:rsidR="00392BEA" w:rsidRPr="00D005A1" w:rsidRDefault="00392BEA" w:rsidP="00392BEA">
            <w:pPr>
              <w:rPr>
                <w:rFonts w:ascii="Times New Roman" w:hAnsi="Times New Roman" w:cs="Times New Roman"/>
                <w:sz w:val="20"/>
                <w:szCs w:val="20"/>
                <w:lang w:val="uk-UA"/>
              </w:rPr>
            </w:pPr>
            <w:r>
              <w:rPr>
                <w:rFonts w:ascii="Times New Roman" w:hAnsi="Times New Roman" w:cs="Times New Roman"/>
                <w:sz w:val="20"/>
                <w:szCs w:val="20"/>
                <w:lang w:val="uk-UA"/>
              </w:rPr>
              <w:t xml:space="preserve">Ненуклеозидні </w:t>
            </w:r>
            <w:r w:rsidR="009D123B">
              <w:rPr>
                <w:rFonts w:ascii="Times New Roman" w:hAnsi="Times New Roman" w:cs="Times New Roman"/>
                <w:sz w:val="20"/>
                <w:szCs w:val="20"/>
                <w:lang w:val="uk-UA"/>
              </w:rPr>
              <w:t>інгібітори (</w:t>
            </w:r>
            <w:r w:rsidR="009D123B">
              <w:rPr>
                <w:rFonts w:ascii="Times New Roman" w:hAnsi="Times New Roman" w:cs="Times New Roman"/>
                <w:sz w:val="20"/>
                <w:szCs w:val="20"/>
                <w:lang w:val="en-US"/>
              </w:rPr>
              <w:t>NS5B</w:t>
            </w:r>
            <w:r w:rsidR="009D123B">
              <w:rPr>
                <w:rFonts w:ascii="Times New Roman" w:hAnsi="Times New Roman" w:cs="Times New Roman"/>
                <w:sz w:val="20"/>
                <w:szCs w:val="20"/>
                <w:lang w:val="uk-UA"/>
              </w:rPr>
              <w:t>)</w:t>
            </w:r>
          </w:p>
        </w:tc>
      </w:tr>
      <w:tr w:rsidR="00392BEA" w:rsidRPr="008A2FA5" w14:paraId="275C0C13" w14:textId="77777777" w:rsidTr="0083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7ED3FE34" w14:textId="77777777" w:rsidR="00392BEA" w:rsidRPr="008A2FA5" w:rsidRDefault="00392BEA" w:rsidP="00392BEA">
            <w:pPr>
              <w:rPr>
                <w:rFonts w:ascii="Times New Roman" w:hAnsi="Times New Roman" w:cs="Times New Roman"/>
                <w:sz w:val="20"/>
                <w:szCs w:val="20"/>
                <w:lang w:val="uk-UA"/>
              </w:rPr>
            </w:pPr>
          </w:p>
        </w:tc>
        <w:tc>
          <w:tcPr>
            <w:tcW w:w="1248" w:type="dxa"/>
          </w:tcPr>
          <w:p w14:paraId="25CC15E4" w14:textId="67F73A72" w:rsidR="00392BEA" w:rsidRPr="00D005A1" w:rsidRDefault="009D123B"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314</w:t>
            </w:r>
          </w:p>
        </w:tc>
        <w:tc>
          <w:tcPr>
            <w:tcW w:w="1276" w:type="dxa"/>
          </w:tcPr>
          <w:p w14:paraId="21708F31" w14:textId="5FC30B4B" w:rsidR="00392BEA" w:rsidRPr="008A2FA5" w:rsidRDefault="009D123B"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L314H</w:t>
            </w:r>
          </w:p>
        </w:tc>
        <w:tc>
          <w:tcPr>
            <w:tcW w:w="1276" w:type="dxa"/>
          </w:tcPr>
          <w:p w14:paraId="76320996"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134" w:type="dxa"/>
          </w:tcPr>
          <w:p w14:paraId="78A6C7EF"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31511330"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0E59D98E"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30" w:type="dxa"/>
          </w:tcPr>
          <w:p w14:paraId="27FBCA25"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3" w:type="dxa"/>
          </w:tcPr>
          <w:p w14:paraId="0186B1B5" w14:textId="77777777" w:rsidR="00392BEA" w:rsidRPr="008A2FA5" w:rsidRDefault="00392BEA"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9D123B" w:rsidRPr="008A2FA5" w14:paraId="02CAB56C" w14:textId="77777777" w:rsidTr="00830AE3">
        <w:tc>
          <w:tcPr>
            <w:cnfStyle w:val="001000000000" w:firstRow="0" w:lastRow="0" w:firstColumn="1" w:lastColumn="0" w:oddVBand="0" w:evenVBand="0" w:oddHBand="0" w:evenHBand="0" w:firstRowFirstColumn="0" w:firstRowLastColumn="0" w:lastRowFirstColumn="0" w:lastRowLastColumn="0"/>
            <w:tcW w:w="1015" w:type="dxa"/>
          </w:tcPr>
          <w:p w14:paraId="75CF70EE" w14:textId="77777777" w:rsidR="009D123B" w:rsidRPr="008A2FA5" w:rsidRDefault="009D123B" w:rsidP="00392BEA">
            <w:pPr>
              <w:rPr>
                <w:rFonts w:ascii="Times New Roman" w:hAnsi="Times New Roman" w:cs="Times New Roman"/>
                <w:sz w:val="20"/>
                <w:szCs w:val="20"/>
                <w:lang w:val="uk-UA"/>
              </w:rPr>
            </w:pPr>
          </w:p>
        </w:tc>
        <w:tc>
          <w:tcPr>
            <w:tcW w:w="1248" w:type="dxa"/>
          </w:tcPr>
          <w:p w14:paraId="322C5CC3" w14:textId="2A2B4BDB" w:rsidR="009D123B" w:rsidRDefault="009D123B"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316</w:t>
            </w:r>
          </w:p>
        </w:tc>
        <w:tc>
          <w:tcPr>
            <w:tcW w:w="1276" w:type="dxa"/>
          </w:tcPr>
          <w:p w14:paraId="6AEF79E2" w14:textId="3E6C81EC" w:rsidR="009D123B" w:rsidRPr="008A2FA5" w:rsidRDefault="009D123B"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C316Y</w:t>
            </w:r>
          </w:p>
        </w:tc>
        <w:tc>
          <w:tcPr>
            <w:tcW w:w="1276" w:type="dxa"/>
          </w:tcPr>
          <w:p w14:paraId="0023B32A" w14:textId="1C91CF23" w:rsidR="009D123B" w:rsidRPr="008A2FA5" w:rsidRDefault="009D123B"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C316H/N/Y/W</w:t>
            </w:r>
          </w:p>
        </w:tc>
        <w:tc>
          <w:tcPr>
            <w:tcW w:w="1134" w:type="dxa"/>
          </w:tcPr>
          <w:p w14:paraId="749D00A3" w14:textId="77777777" w:rsidR="009D123B" w:rsidRPr="008A2FA5" w:rsidRDefault="009D123B"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462E57C4" w14:textId="77777777" w:rsidR="009D123B" w:rsidRPr="008A2FA5" w:rsidRDefault="009D123B"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7AE9C74D" w14:textId="77777777" w:rsidR="009D123B" w:rsidRPr="008A2FA5" w:rsidRDefault="009D123B"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30" w:type="dxa"/>
          </w:tcPr>
          <w:p w14:paraId="758FD1A6" w14:textId="77777777" w:rsidR="009D123B" w:rsidRPr="008A2FA5" w:rsidRDefault="009D123B"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3" w:type="dxa"/>
          </w:tcPr>
          <w:p w14:paraId="296AD719" w14:textId="77777777" w:rsidR="009D123B" w:rsidRPr="008A2FA5" w:rsidRDefault="009D123B"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9D123B" w:rsidRPr="008A2FA5" w14:paraId="7280D26D" w14:textId="77777777" w:rsidTr="0083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067F6E27" w14:textId="77777777" w:rsidR="009D123B" w:rsidRPr="008A2FA5" w:rsidRDefault="009D123B" w:rsidP="00392BEA">
            <w:pPr>
              <w:rPr>
                <w:rFonts w:ascii="Times New Roman" w:hAnsi="Times New Roman" w:cs="Times New Roman"/>
                <w:sz w:val="20"/>
                <w:szCs w:val="20"/>
                <w:lang w:val="uk-UA"/>
              </w:rPr>
            </w:pPr>
          </w:p>
        </w:tc>
        <w:tc>
          <w:tcPr>
            <w:tcW w:w="1248" w:type="dxa"/>
          </w:tcPr>
          <w:p w14:paraId="61B186BD" w14:textId="59E6BD7A" w:rsidR="009D123B" w:rsidRDefault="009D123B"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368</w:t>
            </w:r>
          </w:p>
        </w:tc>
        <w:tc>
          <w:tcPr>
            <w:tcW w:w="1276" w:type="dxa"/>
          </w:tcPr>
          <w:p w14:paraId="728ADFD1" w14:textId="77777777" w:rsidR="009D123B" w:rsidRPr="008A2FA5" w:rsidRDefault="009D123B"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276" w:type="dxa"/>
          </w:tcPr>
          <w:p w14:paraId="54B948FD" w14:textId="676B5C34" w:rsidR="009D123B" w:rsidRPr="008A2FA5" w:rsidRDefault="009D123B"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S368T</w:t>
            </w:r>
          </w:p>
        </w:tc>
        <w:tc>
          <w:tcPr>
            <w:tcW w:w="1134" w:type="dxa"/>
          </w:tcPr>
          <w:p w14:paraId="6331F9AF" w14:textId="77777777" w:rsidR="009D123B" w:rsidRPr="008A2FA5" w:rsidRDefault="009D123B"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0F449E5F" w14:textId="77777777" w:rsidR="009D123B" w:rsidRPr="008A2FA5" w:rsidRDefault="009D123B"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567C5649" w14:textId="77777777" w:rsidR="009D123B" w:rsidRPr="008A2FA5" w:rsidRDefault="009D123B"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30" w:type="dxa"/>
          </w:tcPr>
          <w:p w14:paraId="7B071C10" w14:textId="77777777" w:rsidR="009D123B" w:rsidRPr="008A2FA5" w:rsidRDefault="009D123B"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3" w:type="dxa"/>
          </w:tcPr>
          <w:p w14:paraId="5ACC8114" w14:textId="77777777" w:rsidR="009D123B" w:rsidRPr="008A2FA5" w:rsidRDefault="009D123B" w:rsidP="00392B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9D123B" w:rsidRPr="008A2FA5" w14:paraId="7E2E3AF9" w14:textId="77777777" w:rsidTr="00830AE3">
        <w:tc>
          <w:tcPr>
            <w:cnfStyle w:val="001000000000" w:firstRow="0" w:lastRow="0" w:firstColumn="1" w:lastColumn="0" w:oddVBand="0" w:evenVBand="0" w:oddHBand="0" w:evenHBand="0" w:firstRowFirstColumn="0" w:firstRowLastColumn="0" w:lastRowFirstColumn="0" w:lastRowLastColumn="0"/>
            <w:tcW w:w="1015" w:type="dxa"/>
          </w:tcPr>
          <w:p w14:paraId="4898D9BE" w14:textId="77777777" w:rsidR="009D123B" w:rsidRPr="008A2FA5" w:rsidRDefault="009D123B" w:rsidP="00392BEA">
            <w:pPr>
              <w:rPr>
                <w:rFonts w:ascii="Times New Roman" w:hAnsi="Times New Roman" w:cs="Times New Roman"/>
                <w:sz w:val="20"/>
                <w:szCs w:val="20"/>
                <w:lang w:val="uk-UA"/>
              </w:rPr>
            </w:pPr>
          </w:p>
        </w:tc>
        <w:tc>
          <w:tcPr>
            <w:tcW w:w="1248" w:type="dxa"/>
          </w:tcPr>
          <w:p w14:paraId="2AE63966" w14:textId="429592AF" w:rsidR="009D123B" w:rsidRDefault="009D123B"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411</w:t>
            </w:r>
          </w:p>
        </w:tc>
        <w:tc>
          <w:tcPr>
            <w:tcW w:w="1276" w:type="dxa"/>
          </w:tcPr>
          <w:p w14:paraId="5D34BCB1" w14:textId="77777777" w:rsidR="009D123B" w:rsidRPr="008A2FA5" w:rsidRDefault="009D123B"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276" w:type="dxa"/>
          </w:tcPr>
          <w:p w14:paraId="4B37CCCF" w14:textId="5000DB72" w:rsidR="009D123B" w:rsidRPr="008A2FA5" w:rsidRDefault="009D123B"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N411S</w:t>
            </w:r>
          </w:p>
        </w:tc>
        <w:tc>
          <w:tcPr>
            <w:tcW w:w="1134" w:type="dxa"/>
          </w:tcPr>
          <w:p w14:paraId="36B8FA5D" w14:textId="77777777" w:rsidR="009D123B" w:rsidRPr="008A2FA5" w:rsidRDefault="009D123B"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7169A177" w14:textId="77777777" w:rsidR="009D123B" w:rsidRPr="008A2FA5" w:rsidRDefault="009D123B"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7C6450B5" w14:textId="77777777" w:rsidR="009D123B" w:rsidRPr="008A2FA5" w:rsidRDefault="009D123B"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30" w:type="dxa"/>
          </w:tcPr>
          <w:p w14:paraId="2F7920F9" w14:textId="77777777" w:rsidR="009D123B" w:rsidRPr="008A2FA5" w:rsidRDefault="009D123B"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3" w:type="dxa"/>
          </w:tcPr>
          <w:p w14:paraId="54F2B59D" w14:textId="77777777" w:rsidR="009D123B" w:rsidRPr="008A2FA5" w:rsidRDefault="009D123B" w:rsidP="00392B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9D123B" w:rsidRPr="008A2FA5" w14:paraId="0CF6D7A4" w14:textId="77777777" w:rsidTr="009D1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37F4933D" w14:textId="77777777" w:rsidR="009D123B" w:rsidRPr="008A2FA5" w:rsidRDefault="009D123B" w:rsidP="00D005A1">
            <w:pPr>
              <w:rPr>
                <w:rFonts w:ascii="Times New Roman" w:hAnsi="Times New Roman" w:cs="Times New Roman"/>
                <w:sz w:val="20"/>
                <w:szCs w:val="20"/>
                <w:lang w:val="uk-UA"/>
              </w:rPr>
            </w:pPr>
          </w:p>
        </w:tc>
        <w:tc>
          <w:tcPr>
            <w:tcW w:w="1248" w:type="dxa"/>
          </w:tcPr>
          <w:p w14:paraId="3CC156EA" w14:textId="7A4F6E3F"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414</w:t>
            </w:r>
          </w:p>
        </w:tc>
        <w:tc>
          <w:tcPr>
            <w:tcW w:w="1276" w:type="dxa"/>
          </w:tcPr>
          <w:p w14:paraId="60301AFC" w14:textId="5732FDCC"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M414I/T/V</w:t>
            </w:r>
          </w:p>
        </w:tc>
        <w:tc>
          <w:tcPr>
            <w:tcW w:w="1276" w:type="dxa"/>
          </w:tcPr>
          <w:p w14:paraId="3088166E" w14:textId="65F262DC"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D123B">
              <w:rPr>
                <w:rFonts w:ascii="Times New Roman" w:hAnsi="Times New Roman" w:cs="Times New Roman"/>
                <w:sz w:val="20"/>
                <w:szCs w:val="20"/>
                <w:lang w:val="en-US"/>
              </w:rPr>
              <w:t>M414I/T/V</w:t>
            </w:r>
          </w:p>
        </w:tc>
        <w:tc>
          <w:tcPr>
            <w:tcW w:w="1134" w:type="dxa"/>
          </w:tcPr>
          <w:p w14:paraId="6FD14E7A"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4BBC9A54"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1D7953AC"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30" w:type="dxa"/>
          </w:tcPr>
          <w:p w14:paraId="528BA814"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3" w:type="dxa"/>
          </w:tcPr>
          <w:p w14:paraId="52BBE2C1"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9D123B" w:rsidRPr="008A2FA5" w14:paraId="5146861C" w14:textId="77777777" w:rsidTr="009D123B">
        <w:tc>
          <w:tcPr>
            <w:cnfStyle w:val="001000000000" w:firstRow="0" w:lastRow="0" w:firstColumn="1" w:lastColumn="0" w:oddVBand="0" w:evenVBand="0" w:oddHBand="0" w:evenHBand="0" w:firstRowFirstColumn="0" w:firstRowLastColumn="0" w:lastRowFirstColumn="0" w:lastRowLastColumn="0"/>
            <w:tcW w:w="1015" w:type="dxa"/>
          </w:tcPr>
          <w:p w14:paraId="74BB53AA" w14:textId="77777777" w:rsidR="009D123B" w:rsidRPr="008A2FA5" w:rsidRDefault="009D123B" w:rsidP="00D005A1">
            <w:pPr>
              <w:rPr>
                <w:rFonts w:ascii="Times New Roman" w:hAnsi="Times New Roman" w:cs="Times New Roman"/>
                <w:sz w:val="20"/>
                <w:szCs w:val="20"/>
                <w:lang w:val="uk-UA"/>
              </w:rPr>
            </w:pPr>
          </w:p>
        </w:tc>
        <w:tc>
          <w:tcPr>
            <w:tcW w:w="1248" w:type="dxa"/>
          </w:tcPr>
          <w:p w14:paraId="51859D96" w14:textId="1D1FAE46" w:rsidR="009D123B" w:rsidRPr="00D005A1"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445</w:t>
            </w:r>
          </w:p>
        </w:tc>
        <w:tc>
          <w:tcPr>
            <w:tcW w:w="1276" w:type="dxa"/>
          </w:tcPr>
          <w:p w14:paraId="0DFB7503"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276" w:type="dxa"/>
          </w:tcPr>
          <w:p w14:paraId="02C4AEB0" w14:textId="2668BB2E"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C445F/Y</w:t>
            </w:r>
          </w:p>
        </w:tc>
        <w:tc>
          <w:tcPr>
            <w:tcW w:w="1134" w:type="dxa"/>
          </w:tcPr>
          <w:p w14:paraId="4E6E4B10"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78427655"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28C2A3B3"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30" w:type="dxa"/>
          </w:tcPr>
          <w:p w14:paraId="4E0ED794"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3" w:type="dxa"/>
          </w:tcPr>
          <w:p w14:paraId="2A712288"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9D123B" w:rsidRPr="008A2FA5" w14:paraId="328B5658" w14:textId="77777777" w:rsidTr="009D1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1993BDAF" w14:textId="77777777" w:rsidR="009D123B" w:rsidRPr="008A2FA5" w:rsidRDefault="009D123B" w:rsidP="00D005A1">
            <w:pPr>
              <w:rPr>
                <w:rFonts w:ascii="Times New Roman" w:hAnsi="Times New Roman" w:cs="Times New Roman"/>
                <w:sz w:val="20"/>
                <w:szCs w:val="20"/>
                <w:lang w:val="uk-UA"/>
              </w:rPr>
            </w:pPr>
          </w:p>
        </w:tc>
        <w:tc>
          <w:tcPr>
            <w:tcW w:w="1248" w:type="dxa"/>
          </w:tcPr>
          <w:p w14:paraId="53E0B06C" w14:textId="1735E860"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446</w:t>
            </w:r>
          </w:p>
        </w:tc>
        <w:tc>
          <w:tcPr>
            <w:tcW w:w="1276" w:type="dxa"/>
          </w:tcPr>
          <w:p w14:paraId="6DDD14DF" w14:textId="5C2D6698"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E446K/Q</w:t>
            </w:r>
          </w:p>
        </w:tc>
        <w:tc>
          <w:tcPr>
            <w:tcW w:w="1276" w:type="dxa"/>
          </w:tcPr>
          <w:p w14:paraId="55768F98" w14:textId="38635E44"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134" w:type="dxa"/>
          </w:tcPr>
          <w:p w14:paraId="406F994E"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14590C12"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3730D400"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30" w:type="dxa"/>
          </w:tcPr>
          <w:p w14:paraId="6741C616"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3" w:type="dxa"/>
          </w:tcPr>
          <w:p w14:paraId="61591BC6"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9D123B" w:rsidRPr="008A2FA5" w14:paraId="1B9C06EB" w14:textId="77777777" w:rsidTr="009D123B">
        <w:tc>
          <w:tcPr>
            <w:cnfStyle w:val="001000000000" w:firstRow="0" w:lastRow="0" w:firstColumn="1" w:lastColumn="0" w:oddVBand="0" w:evenVBand="0" w:oddHBand="0" w:evenHBand="0" w:firstRowFirstColumn="0" w:firstRowLastColumn="0" w:lastRowFirstColumn="0" w:lastRowLastColumn="0"/>
            <w:tcW w:w="1015" w:type="dxa"/>
          </w:tcPr>
          <w:p w14:paraId="267C3886" w14:textId="77777777" w:rsidR="009D123B" w:rsidRPr="008A2FA5" w:rsidRDefault="009D123B" w:rsidP="00D005A1">
            <w:pPr>
              <w:rPr>
                <w:rFonts w:ascii="Times New Roman" w:hAnsi="Times New Roman" w:cs="Times New Roman"/>
                <w:sz w:val="20"/>
                <w:szCs w:val="20"/>
                <w:lang w:val="uk-UA"/>
              </w:rPr>
            </w:pPr>
          </w:p>
        </w:tc>
        <w:tc>
          <w:tcPr>
            <w:tcW w:w="1248" w:type="dxa"/>
          </w:tcPr>
          <w:p w14:paraId="06913C42" w14:textId="015A0A3B" w:rsidR="009D123B" w:rsidRPr="00D005A1"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448</w:t>
            </w:r>
          </w:p>
        </w:tc>
        <w:tc>
          <w:tcPr>
            <w:tcW w:w="1276" w:type="dxa"/>
          </w:tcPr>
          <w:p w14:paraId="0CC15FB6" w14:textId="782B3094"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Y448C/H</w:t>
            </w:r>
          </w:p>
        </w:tc>
        <w:tc>
          <w:tcPr>
            <w:tcW w:w="1276" w:type="dxa"/>
          </w:tcPr>
          <w:p w14:paraId="71817147" w14:textId="211E6E3E" w:rsidR="009D123B" w:rsidRPr="00D005A1"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r>
              <w:rPr>
                <w:rFonts w:ascii="Times New Roman" w:hAnsi="Times New Roman" w:cs="Times New Roman"/>
                <w:sz w:val="20"/>
                <w:szCs w:val="20"/>
                <w:lang w:val="en-US"/>
              </w:rPr>
              <w:t>Y448C/H</w:t>
            </w:r>
          </w:p>
        </w:tc>
        <w:tc>
          <w:tcPr>
            <w:tcW w:w="1134" w:type="dxa"/>
          </w:tcPr>
          <w:p w14:paraId="0DE3986C"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6F5B22CD"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1652FBD3"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30" w:type="dxa"/>
          </w:tcPr>
          <w:p w14:paraId="0893901E"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3" w:type="dxa"/>
          </w:tcPr>
          <w:p w14:paraId="200C86CC"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9D123B" w:rsidRPr="008A2FA5" w14:paraId="0ACAC942" w14:textId="77777777" w:rsidTr="009D1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4BC231CC" w14:textId="77777777" w:rsidR="009D123B" w:rsidRPr="008A2FA5" w:rsidRDefault="009D123B" w:rsidP="00D005A1">
            <w:pPr>
              <w:rPr>
                <w:rFonts w:ascii="Times New Roman" w:hAnsi="Times New Roman" w:cs="Times New Roman"/>
                <w:sz w:val="20"/>
                <w:szCs w:val="20"/>
                <w:lang w:val="uk-UA"/>
              </w:rPr>
            </w:pPr>
          </w:p>
        </w:tc>
        <w:tc>
          <w:tcPr>
            <w:tcW w:w="1248" w:type="dxa"/>
          </w:tcPr>
          <w:p w14:paraId="73FD436F" w14:textId="629494D0"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451</w:t>
            </w:r>
          </w:p>
        </w:tc>
        <w:tc>
          <w:tcPr>
            <w:tcW w:w="1276" w:type="dxa"/>
          </w:tcPr>
          <w:p w14:paraId="561101D8" w14:textId="37AFD363" w:rsidR="009D123B" w:rsidRPr="00D005A1"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uk-UA"/>
              </w:rPr>
              <w:t>С45</w:t>
            </w:r>
            <w:r>
              <w:rPr>
                <w:rFonts w:ascii="Times New Roman" w:hAnsi="Times New Roman" w:cs="Times New Roman"/>
                <w:sz w:val="20"/>
                <w:szCs w:val="20"/>
                <w:lang w:val="en-US"/>
              </w:rPr>
              <w:t>1R</w:t>
            </w:r>
          </w:p>
        </w:tc>
        <w:tc>
          <w:tcPr>
            <w:tcW w:w="1276" w:type="dxa"/>
          </w:tcPr>
          <w:p w14:paraId="65809382" w14:textId="21C8FD48"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134" w:type="dxa"/>
          </w:tcPr>
          <w:p w14:paraId="10A7CC7A"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105C2D87"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3B4B5947"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30" w:type="dxa"/>
          </w:tcPr>
          <w:p w14:paraId="54ACCC56"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3" w:type="dxa"/>
          </w:tcPr>
          <w:p w14:paraId="0427ED64"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9D123B" w:rsidRPr="008A2FA5" w14:paraId="315D5649" w14:textId="77777777" w:rsidTr="009D123B">
        <w:tc>
          <w:tcPr>
            <w:cnfStyle w:val="001000000000" w:firstRow="0" w:lastRow="0" w:firstColumn="1" w:lastColumn="0" w:oddVBand="0" w:evenVBand="0" w:oddHBand="0" w:evenHBand="0" w:firstRowFirstColumn="0" w:firstRowLastColumn="0" w:lastRowFirstColumn="0" w:lastRowLastColumn="0"/>
            <w:tcW w:w="1015" w:type="dxa"/>
          </w:tcPr>
          <w:p w14:paraId="209797BC" w14:textId="77777777" w:rsidR="009D123B" w:rsidRPr="008A2FA5" w:rsidRDefault="009D123B" w:rsidP="00D005A1">
            <w:pPr>
              <w:rPr>
                <w:rFonts w:ascii="Times New Roman" w:hAnsi="Times New Roman" w:cs="Times New Roman"/>
                <w:sz w:val="20"/>
                <w:szCs w:val="20"/>
                <w:lang w:val="uk-UA"/>
              </w:rPr>
            </w:pPr>
          </w:p>
        </w:tc>
        <w:tc>
          <w:tcPr>
            <w:tcW w:w="1248" w:type="dxa"/>
          </w:tcPr>
          <w:p w14:paraId="72A4C7F5" w14:textId="72DB601A" w:rsidR="009D123B" w:rsidRPr="00D005A1"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553</w:t>
            </w:r>
          </w:p>
        </w:tc>
        <w:tc>
          <w:tcPr>
            <w:tcW w:w="1276" w:type="dxa"/>
          </w:tcPr>
          <w:p w14:paraId="3697F8D7" w14:textId="2CB05BC5" w:rsidR="009D123B" w:rsidRPr="00D005A1"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A553T\V</w:t>
            </w:r>
          </w:p>
        </w:tc>
        <w:tc>
          <w:tcPr>
            <w:tcW w:w="1276" w:type="dxa"/>
          </w:tcPr>
          <w:p w14:paraId="7F322D3D" w14:textId="6A287ACF" w:rsidR="009D123B" w:rsidRPr="00D005A1"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uk-UA"/>
              </w:rPr>
            </w:pPr>
            <w:r>
              <w:rPr>
                <w:rFonts w:ascii="Times New Roman" w:hAnsi="Times New Roman" w:cs="Times New Roman"/>
                <w:sz w:val="20"/>
                <w:szCs w:val="20"/>
                <w:lang w:val="en-US"/>
              </w:rPr>
              <w:t>A553V</w:t>
            </w:r>
          </w:p>
        </w:tc>
        <w:tc>
          <w:tcPr>
            <w:tcW w:w="1134" w:type="dxa"/>
          </w:tcPr>
          <w:p w14:paraId="42FE74E5"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36D75939"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7E86A5FC"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30" w:type="dxa"/>
          </w:tcPr>
          <w:p w14:paraId="0E9AC34A"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3" w:type="dxa"/>
          </w:tcPr>
          <w:p w14:paraId="6242A268"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9D123B" w:rsidRPr="008A2FA5" w14:paraId="575C95FB" w14:textId="77777777" w:rsidTr="009D1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64C3F493" w14:textId="77777777" w:rsidR="009D123B" w:rsidRPr="008A2FA5" w:rsidRDefault="009D123B" w:rsidP="00D005A1">
            <w:pPr>
              <w:rPr>
                <w:rFonts w:ascii="Times New Roman" w:hAnsi="Times New Roman" w:cs="Times New Roman"/>
                <w:sz w:val="20"/>
                <w:szCs w:val="20"/>
                <w:lang w:val="uk-UA"/>
              </w:rPr>
            </w:pPr>
          </w:p>
        </w:tc>
        <w:tc>
          <w:tcPr>
            <w:tcW w:w="1248" w:type="dxa"/>
          </w:tcPr>
          <w:p w14:paraId="4C8AA53C" w14:textId="311CBC0D"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554</w:t>
            </w:r>
          </w:p>
        </w:tc>
        <w:tc>
          <w:tcPr>
            <w:tcW w:w="1276" w:type="dxa"/>
          </w:tcPr>
          <w:p w14:paraId="7DF1D5F8" w14:textId="2C0A8296"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G554S</w:t>
            </w:r>
          </w:p>
        </w:tc>
        <w:tc>
          <w:tcPr>
            <w:tcW w:w="1276" w:type="dxa"/>
          </w:tcPr>
          <w:p w14:paraId="41AA8FDE" w14:textId="5D12E875"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G554S</w:t>
            </w:r>
          </w:p>
        </w:tc>
        <w:tc>
          <w:tcPr>
            <w:tcW w:w="1134" w:type="dxa"/>
          </w:tcPr>
          <w:p w14:paraId="475E0C64"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7E0E42DF"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04287075"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30" w:type="dxa"/>
          </w:tcPr>
          <w:p w14:paraId="1E6EED55"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3" w:type="dxa"/>
          </w:tcPr>
          <w:p w14:paraId="20938B88"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9D123B" w:rsidRPr="008A2FA5" w14:paraId="37CC14A6" w14:textId="77777777" w:rsidTr="009D123B">
        <w:tc>
          <w:tcPr>
            <w:cnfStyle w:val="001000000000" w:firstRow="0" w:lastRow="0" w:firstColumn="1" w:lastColumn="0" w:oddVBand="0" w:evenVBand="0" w:oddHBand="0" w:evenHBand="0" w:firstRowFirstColumn="0" w:firstRowLastColumn="0" w:lastRowFirstColumn="0" w:lastRowLastColumn="0"/>
            <w:tcW w:w="1015" w:type="dxa"/>
          </w:tcPr>
          <w:p w14:paraId="15F29328" w14:textId="77777777" w:rsidR="009D123B" w:rsidRPr="008A2FA5" w:rsidRDefault="009D123B" w:rsidP="00D005A1">
            <w:pPr>
              <w:rPr>
                <w:rFonts w:ascii="Times New Roman" w:hAnsi="Times New Roman" w:cs="Times New Roman"/>
                <w:sz w:val="20"/>
                <w:szCs w:val="20"/>
                <w:lang w:val="uk-UA"/>
              </w:rPr>
            </w:pPr>
          </w:p>
        </w:tc>
        <w:tc>
          <w:tcPr>
            <w:tcW w:w="1248" w:type="dxa"/>
          </w:tcPr>
          <w:p w14:paraId="16041843" w14:textId="457F5B78" w:rsidR="009D123B" w:rsidRPr="00D005A1"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555</w:t>
            </w:r>
          </w:p>
        </w:tc>
        <w:tc>
          <w:tcPr>
            <w:tcW w:w="1276" w:type="dxa"/>
          </w:tcPr>
          <w:p w14:paraId="362374B1" w14:textId="2F4C5EDA"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Y555H</w:t>
            </w:r>
          </w:p>
        </w:tc>
        <w:tc>
          <w:tcPr>
            <w:tcW w:w="1276" w:type="dxa"/>
          </w:tcPr>
          <w:p w14:paraId="0940868B"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134" w:type="dxa"/>
          </w:tcPr>
          <w:p w14:paraId="0B76269D"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4EB41DA4"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6EE1F6CA"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30" w:type="dxa"/>
          </w:tcPr>
          <w:p w14:paraId="6DC597E5"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3" w:type="dxa"/>
          </w:tcPr>
          <w:p w14:paraId="5061176A"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9D123B" w:rsidRPr="008A2FA5" w14:paraId="7221D51E" w14:textId="77777777" w:rsidTr="009D1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2B4107A9" w14:textId="77777777" w:rsidR="009D123B" w:rsidRPr="008A2FA5" w:rsidRDefault="009D123B" w:rsidP="00D005A1">
            <w:pPr>
              <w:rPr>
                <w:rFonts w:ascii="Times New Roman" w:hAnsi="Times New Roman" w:cs="Times New Roman"/>
                <w:sz w:val="20"/>
                <w:szCs w:val="20"/>
                <w:lang w:val="uk-UA"/>
              </w:rPr>
            </w:pPr>
          </w:p>
        </w:tc>
        <w:tc>
          <w:tcPr>
            <w:tcW w:w="1248" w:type="dxa"/>
          </w:tcPr>
          <w:p w14:paraId="78CFB2B0" w14:textId="3D1FC9A1"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556</w:t>
            </w:r>
          </w:p>
        </w:tc>
        <w:tc>
          <w:tcPr>
            <w:tcW w:w="1276" w:type="dxa"/>
          </w:tcPr>
          <w:p w14:paraId="5306F10A" w14:textId="4309B9BD"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S556G/N/R</w:t>
            </w:r>
          </w:p>
        </w:tc>
        <w:tc>
          <w:tcPr>
            <w:tcW w:w="1276" w:type="dxa"/>
          </w:tcPr>
          <w:p w14:paraId="4C59E413" w14:textId="41FAF748"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S556G/R</w:t>
            </w:r>
          </w:p>
        </w:tc>
        <w:tc>
          <w:tcPr>
            <w:tcW w:w="1134" w:type="dxa"/>
          </w:tcPr>
          <w:p w14:paraId="2F8F85C5"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300B9A61"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482E3D7A"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30" w:type="dxa"/>
          </w:tcPr>
          <w:p w14:paraId="30F93AAD"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3" w:type="dxa"/>
          </w:tcPr>
          <w:p w14:paraId="644CD204"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9D123B" w:rsidRPr="008A2FA5" w14:paraId="69C4FFC0" w14:textId="77777777" w:rsidTr="009D123B">
        <w:tc>
          <w:tcPr>
            <w:cnfStyle w:val="001000000000" w:firstRow="0" w:lastRow="0" w:firstColumn="1" w:lastColumn="0" w:oddVBand="0" w:evenVBand="0" w:oddHBand="0" w:evenHBand="0" w:firstRowFirstColumn="0" w:firstRowLastColumn="0" w:lastRowFirstColumn="0" w:lastRowLastColumn="0"/>
            <w:tcW w:w="1015" w:type="dxa"/>
          </w:tcPr>
          <w:p w14:paraId="16F9CECC" w14:textId="77777777" w:rsidR="009D123B" w:rsidRPr="008A2FA5" w:rsidRDefault="009D123B" w:rsidP="00D005A1">
            <w:pPr>
              <w:rPr>
                <w:rFonts w:ascii="Times New Roman" w:hAnsi="Times New Roman" w:cs="Times New Roman"/>
                <w:sz w:val="20"/>
                <w:szCs w:val="20"/>
                <w:lang w:val="uk-UA"/>
              </w:rPr>
            </w:pPr>
          </w:p>
        </w:tc>
        <w:tc>
          <w:tcPr>
            <w:tcW w:w="1248" w:type="dxa"/>
          </w:tcPr>
          <w:p w14:paraId="087F14FF" w14:textId="5E725E10" w:rsidR="009D123B" w:rsidRPr="00D005A1"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557</w:t>
            </w:r>
          </w:p>
        </w:tc>
        <w:tc>
          <w:tcPr>
            <w:tcW w:w="1276" w:type="dxa"/>
          </w:tcPr>
          <w:p w14:paraId="0E55268C" w14:textId="3F9E68AE"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G557R</w:t>
            </w:r>
          </w:p>
        </w:tc>
        <w:tc>
          <w:tcPr>
            <w:tcW w:w="1276" w:type="dxa"/>
          </w:tcPr>
          <w:p w14:paraId="73B48D44"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134" w:type="dxa"/>
          </w:tcPr>
          <w:p w14:paraId="709C63AF"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3AA925B0"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0617A72F"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30" w:type="dxa"/>
          </w:tcPr>
          <w:p w14:paraId="54756C2C"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3" w:type="dxa"/>
          </w:tcPr>
          <w:p w14:paraId="37C3B35E"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9D123B" w:rsidRPr="008A2FA5" w14:paraId="1D1C4D11" w14:textId="77777777" w:rsidTr="009D1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648F6400" w14:textId="77777777" w:rsidR="009D123B" w:rsidRPr="008A2FA5" w:rsidRDefault="009D123B" w:rsidP="00D005A1">
            <w:pPr>
              <w:rPr>
                <w:rFonts w:ascii="Times New Roman" w:hAnsi="Times New Roman" w:cs="Times New Roman"/>
                <w:sz w:val="20"/>
                <w:szCs w:val="20"/>
                <w:lang w:val="uk-UA"/>
              </w:rPr>
            </w:pPr>
          </w:p>
        </w:tc>
        <w:tc>
          <w:tcPr>
            <w:tcW w:w="1248" w:type="dxa"/>
          </w:tcPr>
          <w:p w14:paraId="6BFC4C2F" w14:textId="0E477569"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558</w:t>
            </w:r>
          </w:p>
        </w:tc>
        <w:tc>
          <w:tcPr>
            <w:tcW w:w="1276" w:type="dxa"/>
          </w:tcPr>
          <w:p w14:paraId="49038E66" w14:textId="111E0C89"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G558R</w:t>
            </w:r>
          </w:p>
        </w:tc>
        <w:tc>
          <w:tcPr>
            <w:tcW w:w="1276" w:type="dxa"/>
          </w:tcPr>
          <w:p w14:paraId="287ACB7A" w14:textId="79991399"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G5558R</w:t>
            </w:r>
          </w:p>
        </w:tc>
        <w:tc>
          <w:tcPr>
            <w:tcW w:w="1134" w:type="dxa"/>
          </w:tcPr>
          <w:p w14:paraId="09DCDACB"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78C25E8E"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53B2725C"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30" w:type="dxa"/>
          </w:tcPr>
          <w:p w14:paraId="7FDA082A"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3" w:type="dxa"/>
          </w:tcPr>
          <w:p w14:paraId="6A781DCE"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9D123B" w:rsidRPr="008A2FA5" w14:paraId="1D07F978" w14:textId="77777777" w:rsidTr="009D123B">
        <w:tc>
          <w:tcPr>
            <w:cnfStyle w:val="001000000000" w:firstRow="0" w:lastRow="0" w:firstColumn="1" w:lastColumn="0" w:oddVBand="0" w:evenVBand="0" w:oddHBand="0" w:evenHBand="0" w:firstRowFirstColumn="0" w:firstRowLastColumn="0" w:lastRowFirstColumn="0" w:lastRowLastColumn="0"/>
            <w:tcW w:w="1015" w:type="dxa"/>
          </w:tcPr>
          <w:p w14:paraId="61C547DC" w14:textId="77777777" w:rsidR="009D123B" w:rsidRPr="008A2FA5" w:rsidRDefault="009D123B" w:rsidP="00D005A1">
            <w:pPr>
              <w:rPr>
                <w:rFonts w:ascii="Times New Roman" w:hAnsi="Times New Roman" w:cs="Times New Roman"/>
                <w:sz w:val="20"/>
                <w:szCs w:val="20"/>
                <w:lang w:val="uk-UA"/>
              </w:rPr>
            </w:pPr>
          </w:p>
        </w:tc>
        <w:tc>
          <w:tcPr>
            <w:tcW w:w="1248" w:type="dxa"/>
          </w:tcPr>
          <w:p w14:paraId="6862B616" w14:textId="79EDF074" w:rsidR="009D123B" w:rsidRPr="00D005A1"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559</w:t>
            </w:r>
          </w:p>
        </w:tc>
        <w:tc>
          <w:tcPr>
            <w:tcW w:w="1276" w:type="dxa"/>
          </w:tcPr>
          <w:p w14:paraId="2DF04ACD" w14:textId="500474E8"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D559G/N</w:t>
            </w:r>
          </w:p>
        </w:tc>
        <w:tc>
          <w:tcPr>
            <w:tcW w:w="1276" w:type="dxa"/>
          </w:tcPr>
          <w:p w14:paraId="76726805" w14:textId="4430D596"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D559G/N</w:t>
            </w:r>
          </w:p>
        </w:tc>
        <w:tc>
          <w:tcPr>
            <w:tcW w:w="1134" w:type="dxa"/>
          </w:tcPr>
          <w:p w14:paraId="1E0D87F2"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082519C5"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125A5FA7"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30" w:type="dxa"/>
          </w:tcPr>
          <w:p w14:paraId="30144F47"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3" w:type="dxa"/>
          </w:tcPr>
          <w:p w14:paraId="163226D2"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9D123B" w:rsidRPr="008A2FA5" w14:paraId="294F2CB4" w14:textId="77777777" w:rsidTr="009D1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14:paraId="55FA2664" w14:textId="77777777" w:rsidR="009D123B" w:rsidRPr="008A2FA5" w:rsidRDefault="009D123B" w:rsidP="00D005A1">
            <w:pPr>
              <w:rPr>
                <w:rFonts w:ascii="Times New Roman" w:hAnsi="Times New Roman" w:cs="Times New Roman"/>
                <w:sz w:val="20"/>
                <w:szCs w:val="20"/>
                <w:lang w:val="uk-UA"/>
              </w:rPr>
            </w:pPr>
          </w:p>
        </w:tc>
        <w:tc>
          <w:tcPr>
            <w:tcW w:w="1248" w:type="dxa"/>
          </w:tcPr>
          <w:p w14:paraId="789FB433" w14:textId="0D7D0174"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561</w:t>
            </w:r>
          </w:p>
        </w:tc>
        <w:tc>
          <w:tcPr>
            <w:tcW w:w="1276" w:type="dxa"/>
          </w:tcPr>
          <w:p w14:paraId="21D0FB9F" w14:textId="1B9C3E17" w:rsidR="009D123B" w:rsidRPr="00D005A1" w:rsidRDefault="0010783C"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Y561H/N</w:t>
            </w:r>
          </w:p>
        </w:tc>
        <w:tc>
          <w:tcPr>
            <w:tcW w:w="1276" w:type="dxa"/>
          </w:tcPr>
          <w:p w14:paraId="6951B63C" w14:textId="4517DC1D"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134" w:type="dxa"/>
          </w:tcPr>
          <w:p w14:paraId="7EC913D4"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030AABC6"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92" w:type="dxa"/>
          </w:tcPr>
          <w:p w14:paraId="4B6C72DE"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930" w:type="dxa"/>
          </w:tcPr>
          <w:p w14:paraId="1A7F8160"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1043" w:type="dxa"/>
          </w:tcPr>
          <w:p w14:paraId="2892F85F" w14:textId="77777777" w:rsidR="009D123B" w:rsidRPr="008A2FA5" w:rsidRDefault="009D123B" w:rsidP="00D005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9D123B" w:rsidRPr="008A2FA5" w14:paraId="7423159D" w14:textId="77777777" w:rsidTr="009D123B">
        <w:tc>
          <w:tcPr>
            <w:cnfStyle w:val="001000000000" w:firstRow="0" w:lastRow="0" w:firstColumn="1" w:lastColumn="0" w:oddVBand="0" w:evenVBand="0" w:oddHBand="0" w:evenHBand="0" w:firstRowFirstColumn="0" w:firstRowLastColumn="0" w:lastRowFirstColumn="0" w:lastRowLastColumn="0"/>
            <w:tcW w:w="1015" w:type="dxa"/>
          </w:tcPr>
          <w:p w14:paraId="5D72C736" w14:textId="77777777" w:rsidR="009D123B" w:rsidRPr="008A2FA5" w:rsidRDefault="009D123B" w:rsidP="00D005A1">
            <w:pPr>
              <w:rPr>
                <w:rFonts w:ascii="Times New Roman" w:hAnsi="Times New Roman" w:cs="Times New Roman"/>
                <w:sz w:val="20"/>
                <w:szCs w:val="20"/>
                <w:lang w:val="uk-UA"/>
              </w:rPr>
            </w:pPr>
          </w:p>
        </w:tc>
        <w:tc>
          <w:tcPr>
            <w:tcW w:w="1248" w:type="dxa"/>
          </w:tcPr>
          <w:p w14:paraId="175149F2" w14:textId="20F90007" w:rsidR="009D123B" w:rsidRPr="00D005A1"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565</w:t>
            </w:r>
          </w:p>
        </w:tc>
        <w:tc>
          <w:tcPr>
            <w:tcW w:w="1276" w:type="dxa"/>
          </w:tcPr>
          <w:p w14:paraId="248E8EE6" w14:textId="25090AC5" w:rsidR="009D123B" w:rsidRPr="008A2FA5" w:rsidRDefault="0010783C"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S565F</w:t>
            </w:r>
          </w:p>
        </w:tc>
        <w:tc>
          <w:tcPr>
            <w:tcW w:w="1276" w:type="dxa"/>
          </w:tcPr>
          <w:p w14:paraId="0C0CDA0F"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134" w:type="dxa"/>
          </w:tcPr>
          <w:p w14:paraId="64163662"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43312BA3"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tcPr>
          <w:p w14:paraId="5063E47B"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30" w:type="dxa"/>
          </w:tcPr>
          <w:p w14:paraId="23411B7A"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1043" w:type="dxa"/>
          </w:tcPr>
          <w:p w14:paraId="13C7D42A" w14:textId="77777777" w:rsidR="009D123B" w:rsidRPr="008A2FA5" w:rsidRDefault="009D123B" w:rsidP="00D00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bl>
    <w:p w14:paraId="15B7C224" w14:textId="77777777" w:rsidR="00BA5C0A" w:rsidRPr="00BA5C0A" w:rsidRDefault="00BA5C0A" w:rsidP="00BA5C0A">
      <w:pPr>
        <w:jc w:val="both"/>
        <w:rPr>
          <w:rFonts w:ascii="Times New Roman" w:hAnsi="Times New Roman" w:cs="Times New Roman"/>
          <w:color w:val="000000" w:themeColor="text1"/>
          <w:sz w:val="18"/>
          <w:szCs w:val="18"/>
          <w:lang w:val="uk-UA"/>
        </w:rPr>
      </w:pPr>
    </w:p>
    <w:p w14:paraId="459FAB0E" w14:textId="7A85DEA1" w:rsidR="00BA5C0A" w:rsidRPr="00BA5C0A" w:rsidRDefault="00BA5C0A" w:rsidP="00BA5C0A">
      <w:pPr>
        <w:jc w:val="both"/>
        <w:rPr>
          <w:rFonts w:ascii="Times New Roman" w:hAnsi="Times New Roman" w:cs="Times New Roman"/>
          <w:color w:val="000000" w:themeColor="text1"/>
          <w:sz w:val="18"/>
          <w:szCs w:val="18"/>
          <w:lang w:val="uk-UA"/>
        </w:rPr>
      </w:pPr>
      <w:r w:rsidRPr="00BA5C0A">
        <w:rPr>
          <w:rFonts w:ascii="Times New Roman" w:hAnsi="Times New Roman" w:cs="Times New Roman"/>
          <w:color w:val="000000" w:themeColor="text1"/>
          <w:sz w:val="18"/>
          <w:szCs w:val="18"/>
          <w:lang w:val="uk-UA"/>
        </w:rPr>
        <w:t xml:space="preserve">Ці </w:t>
      </w:r>
      <w:r w:rsidR="007C2563">
        <w:rPr>
          <w:rFonts w:ascii="Times New Roman" w:hAnsi="Times New Roman" w:cs="Times New Roman"/>
          <w:color w:val="000000" w:themeColor="text1"/>
          <w:sz w:val="18"/>
          <w:szCs w:val="18"/>
          <w:lang w:val="uk-UA"/>
        </w:rPr>
        <w:t xml:space="preserve">та інші </w:t>
      </w:r>
      <w:r w:rsidRPr="00BA5C0A">
        <w:rPr>
          <w:rFonts w:ascii="Times New Roman" w:hAnsi="Times New Roman" w:cs="Times New Roman"/>
          <w:color w:val="000000" w:themeColor="text1"/>
          <w:sz w:val="18"/>
          <w:szCs w:val="18"/>
          <w:lang w:val="uk-UA"/>
        </w:rPr>
        <w:t>RAS можуть бути присутніми у базових показниках пацієнтів, які отримують повторне лікування та які не змогли досягти СВВ, що свідчить про зниження чутливості до препарату (</w:t>
      </w:r>
      <w:r w:rsidR="00FC6D8A">
        <w:rPr>
          <w:rFonts w:ascii="Times New Roman" w:hAnsi="Times New Roman" w:cs="Times New Roman"/>
          <w:color w:val="000000" w:themeColor="text1"/>
          <w:sz w:val="18"/>
          <w:szCs w:val="18"/>
          <w:lang w:val="uk-UA"/>
        </w:rPr>
        <w:t>–</w:t>
      </w:r>
      <w:r w:rsidRPr="00BA5C0A">
        <w:rPr>
          <w:rFonts w:ascii="Times New Roman" w:hAnsi="Times New Roman" w:cs="Times New Roman"/>
          <w:color w:val="000000" w:themeColor="text1"/>
          <w:sz w:val="18"/>
          <w:szCs w:val="18"/>
          <w:lang w:val="uk-UA"/>
        </w:rPr>
        <w:t>ів) з відповідного класу (</w:t>
      </w:r>
      <w:r w:rsidR="00FC6D8A">
        <w:rPr>
          <w:rFonts w:ascii="Times New Roman" w:hAnsi="Times New Roman" w:cs="Times New Roman"/>
          <w:color w:val="000000" w:themeColor="text1"/>
          <w:sz w:val="18"/>
          <w:szCs w:val="18"/>
          <w:lang w:val="uk-UA"/>
        </w:rPr>
        <w:t>–</w:t>
      </w:r>
      <w:r w:rsidRPr="00BA5C0A">
        <w:rPr>
          <w:rFonts w:ascii="Times New Roman" w:hAnsi="Times New Roman" w:cs="Times New Roman"/>
          <w:color w:val="000000" w:themeColor="text1"/>
          <w:sz w:val="18"/>
          <w:szCs w:val="18"/>
          <w:lang w:val="uk-UA"/>
        </w:rPr>
        <w:t xml:space="preserve">ів). Однак існують розбіжності між препаратами, що належать до одного класу, </w:t>
      </w:r>
      <w:r w:rsidR="00A4254F">
        <w:rPr>
          <w:rFonts w:ascii="Times New Roman" w:hAnsi="Times New Roman" w:cs="Times New Roman"/>
          <w:color w:val="000000" w:themeColor="text1"/>
          <w:sz w:val="18"/>
          <w:szCs w:val="18"/>
          <w:lang w:val="uk-UA"/>
        </w:rPr>
        <w:t>тому</w:t>
      </w:r>
      <w:r w:rsidRPr="00BA5C0A">
        <w:rPr>
          <w:rFonts w:ascii="Times New Roman" w:hAnsi="Times New Roman" w:cs="Times New Roman"/>
          <w:color w:val="000000" w:themeColor="text1"/>
          <w:sz w:val="18"/>
          <w:szCs w:val="18"/>
          <w:lang w:val="uk-UA"/>
        </w:rPr>
        <w:t xml:space="preserve"> наявність окремої RAS не означає, що всі препарати цього класу мають знижену ефективність. del: видалення</w:t>
      </w:r>
      <w:r w:rsidR="00A4254F">
        <w:rPr>
          <w:rFonts w:ascii="Times New Roman" w:hAnsi="Times New Roman" w:cs="Times New Roman"/>
          <w:color w:val="000000" w:themeColor="text1"/>
          <w:sz w:val="18"/>
          <w:szCs w:val="18"/>
          <w:lang w:val="uk-UA"/>
        </w:rPr>
        <w:t xml:space="preserve"> (від </w:t>
      </w:r>
      <w:r w:rsidR="00A4254F">
        <w:rPr>
          <w:rFonts w:ascii="Times New Roman" w:hAnsi="Times New Roman" w:cs="Times New Roman"/>
          <w:color w:val="000000" w:themeColor="text1"/>
          <w:sz w:val="18"/>
          <w:szCs w:val="18"/>
          <w:lang w:val="it-IT"/>
        </w:rPr>
        <w:t>deletion).</w:t>
      </w:r>
      <w:r w:rsidRPr="00BA5C0A">
        <w:rPr>
          <w:rFonts w:ascii="Times New Roman" w:hAnsi="Times New Roman" w:cs="Times New Roman"/>
          <w:color w:val="000000" w:themeColor="text1"/>
          <w:sz w:val="18"/>
          <w:szCs w:val="18"/>
          <w:lang w:val="uk-UA"/>
        </w:rPr>
        <w:t xml:space="preserve"> Адаптований та оновлений з</w:t>
      </w:r>
      <w:r w:rsidRPr="00A4254F">
        <w:rPr>
          <w:rFonts w:ascii="Times New Roman" w:hAnsi="Times New Roman" w:cs="Times New Roman"/>
          <w:color w:val="000000" w:themeColor="text1"/>
          <w:sz w:val="18"/>
          <w:szCs w:val="18"/>
          <w:vertAlign w:val="superscript"/>
          <w:lang w:val="uk-UA"/>
        </w:rPr>
        <w:t>53</w:t>
      </w:r>
      <w:r w:rsidRPr="00BA5C0A">
        <w:rPr>
          <w:rFonts w:ascii="Times New Roman" w:hAnsi="Times New Roman" w:cs="Times New Roman"/>
          <w:color w:val="000000" w:themeColor="text1"/>
          <w:sz w:val="18"/>
          <w:szCs w:val="18"/>
          <w:lang w:val="uk-UA"/>
        </w:rPr>
        <w:t xml:space="preserve"> DAA</w:t>
      </w:r>
      <w:r w:rsidR="00FC6D8A">
        <w:rPr>
          <w:rFonts w:ascii="Times New Roman" w:hAnsi="Times New Roman" w:cs="Times New Roman"/>
          <w:color w:val="000000" w:themeColor="text1"/>
          <w:sz w:val="18"/>
          <w:szCs w:val="18"/>
          <w:lang w:val="uk-UA"/>
        </w:rPr>
        <w:t>–</w:t>
      </w:r>
      <w:r w:rsidR="00A4254F">
        <w:rPr>
          <w:rFonts w:ascii="Times New Roman" w:hAnsi="Times New Roman" w:cs="Times New Roman"/>
          <w:color w:val="000000" w:themeColor="text1"/>
          <w:sz w:val="18"/>
          <w:szCs w:val="18"/>
          <w:lang w:val="uk-UA"/>
        </w:rPr>
        <w:t xml:space="preserve"> ПППД; DSV–дасабувір; EBR</w:t>
      </w:r>
      <w:r w:rsidR="00A4254F">
        <w:rPr>
          <w:rFonts w:ascii="Times New Roman" w:hAnsi="Times New Roman" w:cs="Times New Roman"/>
          <w:color w:val="000000" w:themeColor="text1"/>
          <w:sz w:val="18"/>
          <w:szCs w:val="18"/>
          <w:lang w:val="it-IT"/>
        </w:rPr>
        <w:t>–</w:t>
      </w:r>
      <w:r w:rsidRPr="00BA5C0A">
        <w:rPr>
          <w:rFonts w:ascii="Times New Roman" w:hAnsi="Times New Roman" w:cs="Times New Roman"/>
          <w:color w:val="000000" w:themeColor="text1"/>
          <w:sz w:val="18"/>
          <w:szCs w:val="18"/>
          <w:lang w:val="uk-UA"/>
        </w:rPr>
        <w:t>елбасвір; GLE</w:t>
      </w:r>
      <w:r w:rsidR="00A4254F">
        <w:rPr>
          <w:rFonts w:ascii="Times New Roman" w:hAnsi="Times New Roman" w:cs="Times New Roman"/>
          <w:color w:val="000000" w:themeColor="text1"/>
          <w:sz w:val="18"/>
          <w:szCs w:val="18"/>
          <w:lang w:val="it-IT"/>
        </w:rPr>
        <w:t>–</w:t>
      </w:r>
      <w:r w:rsidRPr="00BA5C0A">
        <w:rPr>
          <w:rFonts w:ascii="Times New Roman" w:hAnsi="Times New Roman" w:cs="Times New Roman"/>
          <w:color w:val="000000" w:themeColor="text1"/>
          <w:sz w:val="18"/>
          <w:szCs w:val="18"/>
          <w:lang w:val="uk-UA"/>
        </w:rPr>
        <w:t xml:space="preserve"> глекапревір; GZR</w:t>
      </w:r>
      <w:r w:rsidR="00A4254F">
        <w:rPr>
          <w:rFonts w:ascii="Times New Roman" w:hAnsi="Times New Roman" w:cs="Times New Roman"/>
          <w:color w:val="000000" w:themeColor="text1"/>
          <w:sz w:val="18"/>
          <w:szCs w:val="18"/>
          <w:lang w:val="it-IT"/>
        </w:rPr>
        <w:t>–</w:t>
      </w:r>
      <w:r w:rsidRPr="00BA5C0A">
        <w:rPr>
          <w:rFonts w:ascii="Times New Roman" w:hAnsi="Times New Roman" w:cs="Times New Roman"/>
          <w:color w:val="000000" w:themeColor="text1"/>
          <w:sz w:val="18"/>
          <w:szCs w:val="18"/>
          <w:lang w:val="uk-UA"/>
        </w:rPr>
        <w:t xml:space="preserve"> гразопревір; IFN</w:t>
      </w:r>
      <w:r w:rsidR="00A4254F">
        <w:rPr>
          <w:rFonts w:ascii="Times New Roman" w:hAnsi="Times New Roman" w:cs="Times New Roman"/>
          <w:color w:val="000000" w:themeColor="text1"/>
          <w:sz w:val="18"/>
          <w:szCs w:val="18"/>
          <w:lang w:val="it-IT"/>
        </w:rPr>
        <w:t>–</w:t>
      </w:r>
      <w:r w:rsidRPr="00BA5C0A">
        <w:rPr>
          <w:rFonts w:ascii="Times New Roman" w:hAnsi="Times New Roman" w:cs="Times New Roman"/>
          <w:color w:val="000000" w:themeColor="text1"/>
          <w:sz w:val="18"/>
          <w:szCs w:val="18"/>
          <w:lang w:val="uk-UA"/>
        </w:rPr>
        <w:t xml:space="preserve"> інтерферон; LDV</w:t>
      </w:r>
      <w:r w:rsidR="00A4254F">
        <w:rPr>
          <w:rFonts w:ascii="Times New Roman" w:hAnsi="Times New Roman" w:cs="Times New Roman"/>
          <w:color w:val="000000" w:themeColor="text1"/>
          <w:sz w:val="18"/>
          <w:szCs w:val="18"/>
          <w:lang w:val="it-IT"/>
        </w:rPr>
        <w:t>–</w:t>
      </w:r>
      <w:r w:rsidRPr="00BA5C0A">
        <w:rPr>
          <w:rFonts w:ascii="Times New Roman" w:hAnsi="Times New Roman" w:cs="Times New Roman"/>
          <w:color w:val="000000" w:themeColor="text1"/>
          <w:sz w:val="18"/>
          <w:szCs w:val="18"/>
          <w:lang w:val="uk-UA"/>
        </w:rPr>
        <w:t xml:space="preserve"> ледіпасвір; OBV</w:t>
      </w:r>
      <w:r w:rsidR="00A4254F">
        <w:rPr>
          <w:rFonts w:ascii="Times New Roman" w:hAnsi="Times New Roman" w:cs="Times New Roman"/>
          <w:color w:val="000000" w:themeColor="text1"/>
          <w:sz w:val="18"/>
          <w:szCs w:val="18"/>
          <w:lang w:val="it-IT"/>
        </w:rPr>
        <w:t>–</w:t>
      </w:r>
      <w:r w:rsidRPr="00BA5C0A">
        <w:rPr>
          <w:rFonts w:ascii="Times New Roman" w:hAnsi="Times New Roman" w:cs="Times New Roman"/>
          <w:color w:val="000000" w:themeColor="text1"/>
          <w:sz w:val="18"/>
          <w:szCs w:val="18"/>
          <w:lang w:val="uk-UA"/>
        </w:rPr>
        <w:t xml:space="preserve"> омбітасвір; PIB</w:t>
      </w:r>
      <w:r w:rsidR="00A4254F">
        <w:rPr>
          <w:rFonts w:ascii="Times New Roman" w:hAnsi="Times New Roman" w:cs="Times New Roman"/>
          <w:color w:val="000000" w:themeColor="text1"/>
          <w:sz w:val="18"/>
          <w:szCs w:val="18"/>
          <w:lang w:val="it-IT"/>
        </w:rPr>
        <w:t>–</w:t>
      </w:r>
      <w:r w:rsidRPr="00BA5C0A">
        <w:rPr>
          <w:rFonts w:ascii="Times New Roman" w:hAnsi="Times New Roman" w:cs="Times New Roman"/>
          <w:color w:val="000000" w:themeColor="text1"/>
          <w:sz w:val="18"/>
          <w:szCs w:val="18"/>
          <w:lang w:val="uk-UA"/>
        </w:rPr>
        <w:t xml:space="preserve"> пібрентасвір; PTV</w:t>
      </w:r>
      <w:r w:rsidR="00A4254F">
        <w:rPr>
          <w:rFonts w:ascii="Times New Roman" w:hAnsi="Times New Roman" w:cs="Times New Roman"/>
          <w:color w:val="000000" w:themeColor="text1"/>
          <w:sz w:val="18"/>
          <w:szCs w:val="18"/>
          <w:lang w:val="it-IT"/>
        </w:rPr>
        <w:t>–</w:t>
      </w:r>
      <w:r w:rsidRPr="00BA5C0A">
        <w:rPr>
          <w:rFonts w:ascii="Times New Roman" w:hAnsi="Times New Roman" w:cs="Times New Roman"/>
          <w:color w:val="000000" w:themeColor="text1"/>
          <w:sz w:val="18"/>
          <w:szCs w:val="18"/>
          <w:lang w:val="uk-UA"/>
        </w:rPr>
        <w:t xml:space="preserve"> </w:t>
      </w:r>
      <w:r w:rsidR="00DA25AC">
        <w:rPr>
          <w:rFonts w:ascii="Times New Roman" w:hAnsi="Times New Roman" w:cs="Times New Roman"/>
          <w:color w:val="000000" w:themeColor="text1"/>
          <w:sz w:val="18"/>
          <w:szCs w:val="18"/>
          <w:lang w:val="uk-UA"/>
        </w:rPr>
        <w:t>п</w:t>
      </w:r>
      <w:r w:rsidR="00E76D74">
        <w:rPr>
          <w:rFonts w:ascii="Times New Roman" w:hAnsi="Times New Roman" w:cs="Times New Roman"/>
          <w:color w:val="000000" w:themeColor="text1"/>
          <w:sz w:val="18"/>
          <w:szCs w:val="18"/>
          <w:lang w:val="uk-UA"/>
        </w:rPr>
        <w:t>аритапревір</w:t>
      </w:r>
      <w:r w:rsidRPr="00BA5C0A">
        <w:rPr>
          <w:rFonts w:ascii="Times New Roman" w:hAnsi="Times New Roman" w:cs="Times New Roman"/>
          <w:color w:val="000000" w:themeColor="text1"/>
          <w:sz w:val="18"/>
          <w:szCs w:val="18"/>
          <w:lang w:val="uk-UA"/>
        </w:rPr>
        <w:t>; г</w:t>
      </w:r>
      <w:r w:rsidR="00A4254F">
        <w:rPr>
          <w:rFonts w:ascii="Times New Roman" w:hAnsi="Times New Roman" w:cs="Times New Roman"/>
          <w:color w:val="000000" w:themeColor="text1"/>
          <w:sz w:val="18"/>
          <w:szCs w:val="18"/>
          <w:lang w:val="it-IT"/>
        </w:rPr>
        <w:t>–</w:t>
      </w:r>
      <w:r w:rsidRPr="00BA5C0A">
        <w:rPr>
          <w:rFonts w:ascii="Times New Roman" w:hAnsi="Times New Roman" w:cs="Times New Roman"/>
          <w:color w:val="000000" w:themeColor="text1"/>
          <w:sz w:val="18"/>
          <w:szCs w:val="18"/>
          <w:lang w:val="uk-UA"/>
        </w:rPr>
        <w:t xml:space="preserve"> ритонавір; SOF</w:t>
      </w:r>
      <w:r w:rsidR="00A4254F">
        <w:rPr>
          <w:rFonts w:ascii="Times New Roman" w:hAnsi="Times New Roman" w:cs="Times New Roman"/>
          <w:color w:val="000000" w:themeColor="text1"/>
          <w:sz w:val="18"/>
          <w:szCs w:val="18"/>
          <w:lang w:val="it-IT"/>
        </w:rPr>
        <w:t>–</w:t>
      </w:r>
      <w:r w:rsidRPr="00BA5C0A">
        <w:rPr>
          <w:rFonts w:ascii="Times New Roman" w:hAnsi="Times New Roman" w:cs="Times New Roman"/>
          <w:color w:val="000000" w:themeColor="text1"/>
          <w:sz w:val="18"/>
          <w:szCs w:val="18"/>
          <w:lang w:val="uk-UA"/>
        </w:rPr>
        <w:t xml:space="preserve"> софосбувір; СВВ</w:t>
      </w:r>
      <w:r w:rsidR="00A4254F">
        <w:rPr>
          <w:rFonts w:ascii="Times New Roman" w:hAnsi="Times New Roman" w:cs="Times New Roman"/>
          <w:color w:val="000000" w:themeColor="text1"/>
          <w:sz w:val="18"/>
          <w:szCs w:val="18"/>
          <w:lang w:val="it-IT"/>
        </w:rPr>
        <w:t>–</w:t>
      </w:r>
      <w:r w:rsidRPr="00BA5C0A">
        <w:rPr>
          <w:rFonts w:ascii="Times New Roman" w:hAnsi="Times New Roman" w:cs="Times New Roman"/>
          <w:color w:val="000000" w:themeColor="text1"/>
          <w:sz w:val="18"/>
          <w:szCs w:val="18"/>
          <w:lang w:val="uk-UA"/>
        </w:rPr>
        <w:t>стійка вірусологічна відповідь; VEL</w:t>
      </w:r>
      <w:r w:rsidR="00A4254F">
        <w:rPr>
          <w:rFonts w:ascii="Times New Roman" w:hAnsi="Times New Roman" w:cs="Times New Roman"/>
          <w:color w:val="000000" w:themeColor="text1"/>
          <w:sz w:val="18"/>
          <w:szCs w:val="18"/>
          <w:lang w:val="it-IT"/>
        </w:rPr>
        <w:t>–</w:t>
      </w:r>
      <w:r w:rsidRPr="00BA5C0A">
        <w:rPr>
          <w:rFonts w:ascii="Times New Roman" w:hAnsi="Times New Roman" w:cs="Times New Roman"/>
          <w:color w:val="000000" w:themeColor="text1"/>
          <w:sz w:val="18"/>
          <w:szCs w:val="18"/>
          <w:lang w:val="uk-UA"/>
        </w:rPr>
        <w:t>велпатасвір; VOX</w:t>
      </w:r>
      <w:r w:rsidR="00A4254F">
        <w:rPr>
          <w:rFonts w:ascii="Times New Roman" w:hAnsi="Times New Roman" w:cs="Times New Roman"/>
          <w:color w:val="000000" w:themeColor="text1"/>
          <w:sz w:val="18"/>
          <w:szCs w:val="18"/>
          <w:lang w:val="it-IT"/>
        </w:rPr>
        <w:t>–</w:t>
      </w:r>
      <w:r w:rsidRPr="00BA5C0A">
        <w:rPr>
          <w:rFonts w:ascii="Times New Roman" w:hAnsi="Times New Roman" w:cs="Times New Roman"/>
          <w:color w:val="000000" w:themeColor="text1"/>
          <w:sz w:val="18"/>
          <w:szCs w:val="18"/>
          <w:lang w:val="uk-UA"/>
        </w:rPr>
        <w:t xml:space="preserve"> воксілапревір.* Генотип 3 NS5A S24F + M28K + A30K комбіновані RAS дають у &gt; 5000 разів збільшення пібрентасвіру EC50 відносно дикого штаму </w:t>
      </w:r>
      <w:r w:rsidRPr="00BA5C0A">
        <w:rPr>
          <w:rFonts w:ascii="Times New Roman" w:hAnsi="Times New Roman" w:cs="Times New Roman"/>
          <w:i/>
          <w:color w:val="000000" w:themeColor="text1"/>
          <w:sz w:val="18"/>
          <w:szCs w:val="18"/>
          <w:lang w:val="uk-UA"/>
        </w:rPr>
        <w:t>in vitro.</w:t>
      </w:r>
    </w:p>
    <w:p w14:paraId="197218F9" w14:textId="77777777" w:rsidR="00BA5C0A" w:rsidRPr="00BA5C0A" w:rsidRDefault="00BA5C0A" w:rsidP="00BA5C0A">
      <w:pPr>
        <w:jc w:val="both"/>
        <w:rPr>
          <w:rFonts w:ascii="Times New Roman" w:hAnsi="Times New Roman" w:cs="Times New Roman"/>
          <w:b/>
          <w:color w:val="4472C4" w:themeColor="accent5"/>
          <w:sz w:val="36"/>
          <w:szCs w:val="36"/>
          <w:lang w:val="uk-UA"/>
        </w:rPr>
      </w:pPr>
    </w:p>
    <w:p w14:paraId="4934B69D" w14:textId="77777777" w:rsidR="00BA5C0A" w:rsidRPr="00D669CB" w:rsidRDefault="00BA5C0A" w:rsidP="00BA5C0A">
      <w:pPr>
        <w:jc w:val="both"/>
        <w:rPr>
          <w:rFonts w:ascii="Times New Roman" w:hAnsi="Times New Roman" w:cs="Times New Roman"/>
          <w:b/>
          <w:color w:val="4472C4" w:themeColor="accent5"/>
          <w:sz w:val="32"/>
          <w:szCs w:val="32"/>
          <w:lang w:val="uk-UA"/>
        </w:rPr>
      </w:pPr>
      <w:r w:rsidRPr="00D669CB">
        <w:rPr>
          <w:rFonts w:ascii="Times New Roman" w:hAnsi="Times New Roman" w:cs="Times New Roman"/>
          <w:b/>
          <w:color w:val="4472C4" w:themeColor="accent5"/>
          <w:sz w:val="32"/>
          <w:szCs w:val="32"/>
          <w:lang w:val="uk-UA"/>
        </w:rPr>
        <w:t>Лікування гострого гепатиту С</w:t>
      </w:r>
    </w:p>
    <w:p w14:paraId="064E7AAF" w14:textId="77777777" w:rsidR="00BA5C0A" w:rsidRPr="00BA5C0A" w:rsidRDefault="00BA5C0A" w:rsidP="00BA5C0A">
      <w:pPr>
        <w:jc w:val="both"/>
        <w:rPr>
          <w:rFonts w:ascii="Times New Roman" w:hAnsi="Times New Roman" w:cs="Times New Roman"/>
          <w:b/>
          <w:color w:val="4472C4" w:themeColor="accent5"/>
          <w:sz w:val="36"/>
          <w:szCs w:val="36"/>
          <w:lang w:val="uk-UA"/>
        </w:rPr>
      </w:pPr>
    </w:p>
    <w:p w14:paraId="0BC5304B" w14:textId="44918AE2"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У</w:t>
      </w:r>
      <w:r w:rsidRPr="00BA5C0A">
        <w:rPr>
          <w:rFonts w:ascii="Times New Roman" w:hAnsi="Times New Roman" w:cs="Times New Roman"/>
          <w:b/>
          <w:color w:val="4472C4" w:themeColor="accent5"/>
          <w:sz w:val="36"/>
          <w:szCs w:val="36"/>
          <w:lang w:val="uk-UA"/>
        </w:rPr>
        <w:t xml:space="preserve"> </w:t>
      </w:r>
      <w:r w:rsidRPr="00BA5C0A">
        <w:rPr>
          <w:rFonts w:ascii="Times New Roman" w:hAnsi="Times New Roman" w:cs="Times New Roman"/>
          <w:color w:val="000000" w:themeColor="text1"/>
          <w:lang w:val="uk-UA"/>
        </w:rPr>
        <w:t xml:space="preserve">більшості пацієнтів перебіг гострого гепатиту </w:t>
      </w:r>
      <w:r w:rsidR="00A4254F">
        <w:rPr>
          <w:rFonts w:ascii="Times New Roman" w:hAnsi="Times New Roman" w:cs="Times New Roman"/>
          <w:color w:val="000000" w:themeColor="text1"/>
          <w:lang w:val="uk-UA"/>
        </w:rPr>
        <w:t>С є безсимптомним, але характери</w:t>
      </w:r>
      <w:r w:rsidRPr="00BA5C0A">
        <w:rPr>
          <w:rFonts w:ascii="Times New Roman" w:hAnsi="Times New Roman" w:cs="Times New Roman"/>
          <w:color w:val="000000" w:themeColor="text1"/>
          <w:lang w:val="uk-UA"/>
        </w:rPr>
        <w:t>зується високою хронічністю (50</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90%). </w:t>
      </w:r>
      <w:r w:rsidR="00A4254F">
        <w:rPr>
          <w:rFonts w:ascii="Times New Roman" w:hAnsi="Times New Roman" w:cs="Times New Roman"/>
          <w:color w:val="000000" w:themeColor="text1"/>
          <w:lang w:val="uk-UA"/>
        </w:rPr>
        <w:t>Такі фактори як с</w:t>
      </w:r>
      <w:r w:rsidRPr="00BA5C0A">
        <w:rPr>
          <w:rFonts w:ascii="Times New Roman" w:hAnsi="Times New Roman" w:cs="Times New Roman"/>
          <w:color w:val="000000" w:themeColor="text1"/>
          <w:lang w:val="uk-UA"/>
        </w:rPr>
        <w:t>имптоматичний перебіг захворювання з жовтяницею, жіноч</w:t>
      </w:r>
      <w:r w:rsidR="00A4254F">
        <w:rPr>
          <w:rFonts w:ascii="Times New Roman" w:hAnsi="Times New Roman" w:cs="Times New Roman"/>
          <w:color w:val="000000" w:themeColor="text1"/>
          <w:lang w:val="uk-UA"/>
        </w:rPr>
        <w:t>а</w:t>
      </w:r>
      <w:r w:rsidRPr="00BA5C0A">
        <w:rPr>
          <w:rFonts w:ascii="Times New Roman" w:hAnsi="Times New Roman" w:cs="Times New Roman"/>
          <w:color w:val="000000" w:themeColor="text1"/>
          <w:lang w:val="uk-UA"/>
        </w:rPr>
        <w:t xml:space="preserve"> стат</w:t>
      </w:r>
      <w:r w:rsidR="00A4254F">
        <w:rPr>
          <w:rFonts w:ascii="Times New Roman" w:hAnsi="Times New Roman" w:cs="Times New Roman"/>
          <w:color w:val="000000" w:themeColor="text1"/>
          <w:lang w:val="uk-UA"/>
        </w:rPr>
        <w:t>ь, молодий вік та генетичний</w:t>
      </w:r>
      <w:r w:rsidRPr="00BA5C0A">
        <w:rPr>
          <w:rFonts w:ascii="Times New Roman" w:hAnsi="Times New Roman" w:cs="Times New Roman"/>
          <w:color w:val="000000" w:themeColor="text1"/>
          <w:lang w:val="uk-UA"/>
        </w:rPr>
        <w:t xml:space="preserve"> поліморфізм IL28B (нещодавно перейменований ген IFN лямбда</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3, IFNL3) були пов'язані із спонтанним кліренсом вірусу, але жоден з цих параметрів точно не прогнозує спонтанне видужання від інфекції на індивідуальному рівні.</w:t>
      </w:r>
    </w:p>
    <w:p w14:paraId="26DA60E0" w14:textId="77777777" w:rsidR="00BA5C0A" w:rsidRPr="00BA5C0A" w:rsidRDefault="00BA5C0A" w:rsidP="00BA5C0A">
      <w:pPr>
        <w:jc w:val="both"/>
        <w:rPr>
          <w:rFonts w:ascii="Times New Roman" w:hAnsi="Times New Roman" w:cs="Times New Roman"/>
          <w:color w:val="000000" w:themeColor="text1"/>
          <w:lang w:val="uk-UA"/>
        </w:rPr>
      </w:pPr>
    </w:p>
    <w:p w14:paraId="22C32A9F" w14:textId="70C2BD38" w:rsidR="00BA5C0A" w:rsidRPr="00BA5C0A" w:rsidRDefault="00ED60B9" w:rsidP="00BA5C0A">
      <w:pPr>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Застосування проти</w:t>
      </w:r>
      <w:r w:rsidRPr="00BA5C0A">
        <w:rPr>
          <w:rFonts w:ascii="Times New Roman" w:hAnsi="Times New Roman" w:cs="Times New Roman"/>
          <w:color w:val="000000" w:themeColor="text1"/>
          <w:lang w:val="uk-UA"/>
        </w:rPr>
        <w:t>вірусн</w:t>
      </w:r>
      <w:r>
        <w:rPr>
          <w:rFonts w:ascii="Times New Roman" w:hAnsi="Times New Roman" w:cs="Times New Roman"/>
          <w:color w:val="000000" w:themeColor="text1"/>
          <w:lang w:val="uk-UA"/>
        </w:rPr>
        <w:t>ої</w:t>
      </w:r>
      <w:r w:rsidRPr="00BA5C0A">
        <w:rPr>
          <w:rFonts w:ascii="Times New Roman" w:hAnsi="Times New Roman" w:cs="Times New Roman"/>
          <w:color w:val="000000" w:themeColor="text1"/>
          <w:lang w:val="uk-UA"/>
        </w:rPr>
        <w:t xml:space="preserve"> терапі</w:t>
      </w:r>
      <w:r>
        <w:rPr>
          <w:rFonts w:ascii="Times New Roman" w:hAnsi="Times New Roman" w:cs="Times New Roman"/>
          <w:color w:val="000000" w:themeColor="text1"/>
          <w:lang w:val="uk-UA"/>
        </w:rPr>
        <w:t>ї повинне розглядатися для п</w:t>
      </w:r>
      <w:r w:rsidR="00BA5C0A" w:rsidRPr="00BA5C0A">
        <w:rPr>
          <w:rFonts w:ascii="Times New Roman" w:hAnsi="Times New Roman" w:cs="Times New Roman"/>
          <w:color w:val="000000" w:themeColor="text1"/>
          <w:lang w:val="uk-UA"/>
        </w:rPr>
        <w:t>ацієнт</w:t>
      </w:r>
      <w:r>
        <w:rPr>
          <w:rFonts w:ascii="Times New Roman" w:hAnsi="Times New Roman" w:cs="Times New Roman"/>
          <w:color w:val="000000" w:themeColor="text1"/>
          <w:lang w:val="uk-UA"/>
        </w:rPr>
        <w:t>ів</w:t>
      </w:r>
      <w:r w:rsidR="00BA5C0A" w:rsidRPr="00BA5C0A">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і</w:t>
      </w:r>
      <w:r w:rsidR="00BA5C0A" w:rsidRPr="00BA5C0A">
        <w:rPr>
          <w:rFonts w:ascii="Times New Roman" w:hAnsi="Times New Roman" w:cs="Times New Roman"/>
          <w:color w:val="000000" w:themeColor="text1"/>
          <w:lang w:val="uk-UA"/>
        </w:rPr>
        <w:t>з гострим гепатитом С</w:t>
      </w:r>
      <w:r>
        <w:rPr>
          <w:rFonts w:ascii="Times New Roman" w:hAnsi="Times New Roman" w:cs="Times New Roman"/>
          <w:color w:val="000000" w:themeColor="text1"/>
          <w:lang w:val="uk-UA"/>
        </w:rPr>
        <w:t xml:space="preserve"> </w:t>
      </w:r>
      <w:r w:rsidR="00BA5C0A" w:rsidRPr="00BA5C0A">
        <w:rPr>
          <w:rFonts w:ascii="Times New Roman" w:hAnsi="Times New Roman" w:cs="Times New Roman"/>
          <w:color w:val="000000" w:themeColor="text1"/>
          <w:lang w:val="uk-UA"/>
        </w:rPr>
        <w:t>для</w:t>
      </w:r>
      <w:r>
        <w:rPr>
          <w:rFonts w:ascii="Times New Roman" w:hAnsi="Times New Roman" w:cs="Times New Roman"/>
          <w:color w:val="000000" w:themeColor="text1"/>
          <w:lang w:val="uk-UA"/>
        </w:rPr>
        <w:t xml:space="preserve"> запобігання</w:t>
      </w:r>
      <w:r w:rsidR="00BA5C0A" w:rsidRPr="00BA5C0A">
        <w:rPr>
          <w:rFonts w:ascii="Times New Roman" w:hAnsi="Times New Roman" w:cs="Times New Roman"/>
          <w:color w:val="000000" w:themeColor="text1"/>
          <w:lang w:val="uk-UA"/>
        </w:rPr>
        <w:t xml:space="preserve"> </w:t>
      </w:r>
      <w:r w:rsidR="00A4254F">
        <w:rPr>
          <w:rFonts w:ascii="Times New Roman" w:hAnsi="Times New Roman" w:cs="Times New Roman"/>
          <w:color w:val="000000" w:themeColor="text1"/>
          <w:lang w:val="uk-UA"/>
        </w:rPr>
        <w:t>розвитку</w:t>
      </w:r>
      <w:r w:rsidR="00BA5C0A" w:rsidRPr="00BA5C0A">
        <w:rPr>
          <w:rFonts w:ascii="Times New Roman" w:hAnsi="Times New Roman" w:cs="Times New Roman"/>
          <w:color w:val="000000" w:themeColor="text1"/>
          <w:lang w:val="uk-UA"/>
        </w:rPr>
        <w:t xml:space="preserve"> хронічного гепатиту С. </w:t>
      </w:r>
      <w:r w:rsidR="006046BF">
        <w:rPr>
          <w:rFonts w:ascii="Times New Roman" w:hAnsi="Times New Roman" w:cs="Times New Roman"/>
          <w:color w:val="000000" w:themeColor="text1"/>
          <w:lang w:val="uk-UA"/>
        </w:rPr>
        <w:t>Н</w:t>
      </w:r>
      <w:r w:rsidR="00BA5C0A" w:rsidRPr="00BA5C0A">
        <w:rPr>
          <w:rFonts w:ascii="Times New Roman" w:hAnsi="Times New Roman" w:cs="Times New Roman"/>
          <w:color w:val="000000" w:themeColor="text1"/>
          <w:lang w:val="uk-UA"/>
        </w:rPr>
        <w:t>егайн</w:t>
      </w:r>
      <w:r w:rsidR="006046BF">
        <w:rPr>
          <w:rFonts w:ascii="Times New Roman" w:hAnsi="Times New Roman" w:cs="Times New Roman"/>
          <w:color w:val="000000" w:themeColor="text1"/>
          <w:lang w:val="uk-UA"/>
        </w:rPr>
        <w:t>е лікування гострого гепатиту С</w:t>
      </w:r>
      <w:r w:rsidR="00BA5C0A" w:rsidRPr="00BA5C0A">
        <w:rPr>
          <w:rFonts w:ascii="Times New Roman" w:hAnsi="Times New Roman" w:cs="Times New Roman"/>
          <w:color w:val="000000" w:themeColor="text1"/>
          <w:lang w:val="uk-UA"/>
        </w:rPr>
        <w:t xml:space="preserve"> покращує клінічні результати і є </w:t>
      </w:r>
      <w:r w:rsidR="00244414">
        <w:rPr>
          <w:rFonts w:ascii="Times New Roman" w:hAnsi="Times New Roman" w:cs="Times New Roman"/>
          <w:color w:val="000000" w:themeColor="text1"/>
          <w:lang w:val="uk-UA"/>
        </w:rPr>
        <w:t>економічно ефективним</w:t>
      </w:r>
      <w:r w:rsidR="006046BF">
        <w:rPr>
          <w:rFonts w:ascii="Times New Roman" w:hAnsi="Times New Roman" w:cs="Times New Roman"/>
          <w:color w:val="000000" w:themeColor="text1"/>
          <w:lang w:val="uk-UA"/>
        </w:rPr>
        <w:t>, порівн</w:t>
      </w:r>
      <w:r w:rsidR="009F1581">
        <w:rPr>
          <w:rFonts w:ascii="Times New Roman" w:hAnsi="Times New Roman" w:cs="Times New Roman"/>
          <w:color w:val="000000" w:themeColor="text1"/>
          <w:lang w:val="uk-UA"/>
        </w:rPr>
        <w:t xml:space="preserve">юючи </w:t>
      </w:r>
      <w:r w:rsidR="00BA5C0A" w:rsidRPr="00BA5C0A">
        <w:rPr>
          <w:rFonts w:ascii="Times New Roman" w:hAnsi="Times New Roman" w:cs="Times New Roman"/>
          <w:color w:val="000000" w:themeColor="text1"/>
          <w:lang w:val="uk-UA"/>
        </w:rPr>
        <w:t>з відстро</w:t>
      </w:r>
      <w:r w:rsidR="00244414">
        <w:rPr>
          <w:rFonts w:ascii="Times New Roman" w:hAnsi="Times New Roman" w:cs="Times New Roman"/>
          <w:color w:val="000000" w:themeColor="text1"/>
          <w:lang w:val="uk-UA"/>
        </w:rPr>
        <w:t>ченим</w:t>
      </w:r>
      <w:r w:rsidR="00BA5C0A" w:rsidRPr="00BA5C0A">
        <w:rPr>
          <w:rFonts w:ascii="Times New Roman" w:hAnsi="Times New Roman" w:cs="Times New Roman"/>
          <w:color w:val="000000" w:themeColor="text1"/>
          <w:lang w:val="uk-UA"/>
        </w:rPr>
        <w:t xml:space="preserve"> </w:t>
      </w:r>
      <w:r w:rsidR="00BA5C0A" w:rsidRPr="00BA5C0A">
        <w:rPr>
          <w:rFonts w:ascii="Times New Roman" w:hAnsi="Times New Roman" w:cs="Times New Roman"/>
          <w:color w:val="000000" w:themeColor="text1"/>
          <w:lang w:val="uk-UA"/>
        </w:rPr>
        <w:lastRenderedPageBreak/>
        <w:t xml:space="preserve">лікуванням до </w:t>
      </w:r>
      <w:r w:rsidR="00244414">
        <w:rPr>
          <w:rFonts w:ascii="Times New Roman" w:hAnsi="Times New Roman" w:cs="Times New Roman"/>
          <w:color w:val="000000" w:themeColor="text1"/>
          <w:lang w:val="uk-UA"/>
        </w:rPr>
        <w:t xml:space="preserve">настання </w:t>
      </w:r>
      <w:r w:rsidR="00BA5C0A" w:rsidRPr="00BA5C0A">
        <w:rPr>
          <w:rFonts w:ascii="Times New Roman" w:hAnsi="Times New Roman" w:cs="Times New Roman"/>
          <w:color w:val="000000" w:themeColor="text1"/>
          <w:lang w:val="uk-UA"/>
        </w:rPr>
        <w:t>хронічної фази інфекції.</w:t>
      </w:r>
      <w:r w:rsidR="00BA5C0A" w:rsidRPr="00BA5C0A">
        <w:rPr>
          <w:rFonts w:ascii="Times New Roman" w:hAnsi="Times New Roman" w:cs="Times New Roman"/>
          <w:color w:val="000000" w:themeColor="text1"/>
          <w:vertAlign w:val="superscript"/>
          <w:lang w:val="uk-UA"/>
        </w:rPr>
        <w:t>268</w:t>
      </w:r>
      <w:r w:rsidR="00BA5C0A" w:rsidRPr="00BA5C0A">
        <w:rPr>
          <w:rFonts w:ascii="Times New Roman" w:hAnsi="Times New Roman" w:cs="Times New Roman"/>
          <w:color w:val="000000" w:themeColor="text1"/>
          <w:lang w:val="uk-UA"/>
        </w:rPr>
        <w:t xml:space="preserve"> Ідеальний момент часу для початку терапії не був </w:t>
      </w:r>
      <w:r w:rsidR="0032023C">
        <w:rPr>
          <w:rFonts w:ascii="Times New Roman" w:hAnsi="Times New Roman" w:cs="Times New Roman"/>
          <w:color w:val="000000" w:themeColor="text1"/>
          <w:lang w:val="uk-UA"/>
        </w:rPr>
        <w:t>чітко</w:t>
      </w:r>
      <w:r w:rsidR="0032023C" w:rsidRPr="00BA5C0A">
        <w:rPr>
          <w:rFonts w:ascii="Times New Roman" w:hAnsi="Times New Roman" w:cs="Times New Roman"/>
          <w:color w:val="000000" w:themeColor="text1"/>
          <w:lang w:val="uk-UA"/>
        </w:rPr>
        <w:t xml:space="preserve"> </w:t>
      </w:r>
      <w:r w:rsidR="00BA5C0A" w:rsidRPr="00BA5C0A">
        <w:rPr>
          <w:rFonts w:ascii="Times New Roman" w:hAnsi="Times New Roman" w:cs="Times New Roman"/>
          <w:color w:val="000000" w:themeColor="text1"/>
          <w:lang w:val="uk-UA"/>
        </w:rPr>
        <w:t>встановленим.</w:t>
      </w:r>
    </w:p>
    <w:p w14:paraId="3446E6E9" w14:textId="77777777" w:rsidR="00BA5C0A" w:rsidRPr="00BA5C0A" w:rsidRDefault="00BA5C0A" w:rsidP="00BA5C0A">
      <w:pPr>
        <w:jc w:val="both"/>
        <w:rPr>
          <w:rFonts w:ascii="Times New Roman" w:hAnsi="Times New Roman" w:cs="Times New Roman"/>
          <w:color w:val="000000" w:themeColor="text1"/>
          <w:lang w:val="uk-UA"/>
        </w:rPr>
      </w:pPr>
    </w:p>
    <w:p w14:paraId="1F15479F" w14:textId="50AD9113"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Високі показники СВВ (&gt; 90%) відмічені у невеликої кількості пацієнтів </w:t>
      </w:r>
      <w:r w:rsidR="00244414">
        <w:rPr>
          <w:rFonts w:ascii="Times New Roman" w:hAnsi="Times New Roman" w:cs="Times New Roman"/>
          <w:color w:val="000000" w:themeColor="text1"/>
          <w:lang w:val="uk-UA"/>
        </w:rPr>
        <w:t xml:space="preserve">які отримували схеми на основі софосбувіру та без інтерферону. </w:t>
      </w:r>
      <w:r w:rsidRPr="00BA5C0A">
        <w:rPr>
          <w:rFonts w:ascii="Times New Roman" w:hAnsi="Times New Roman" w:cs="Times New Roman"/>
          <w:color w:val="000000" w:themeColor="text1"/>
          <w:lang w:val="uk-UA"/>
        </w:rPr>
        <w:t>Ідеальна тривалість лікування гострого гепатиту С безінтерфероновими схемами залишається невід</w:t>
      </w:r>
      <w:r w:rsidR="006046BF">
        <w:rPr>
          <w:rFonts w:ascii="Times New Roman" w:hAnsi="Times New Roman" w:cs="Times New Roman"/>
          <w:color w:val="000000" w:themeColor="text1"/>
          <w:lang w:val="uk-UA"/>
        </w:rPr>
        <w:t>омою. Поєднання софосбувіру і ри</w:t>
      </w:r>
      <w:r w:rsidRPr="00BA5C0A">
        <w:rPr>
          <w:rFonts w:ascii="Times New Roman" w:hAnsi="Times New Roman" w:cs="Times New Roman"/>
          <w:color w:val="000000" w:themeColor="text1"/>
          <w:lang w:val="uk-UA"/>
        </w:rPr>
        <w:t>бавірину протягом 6 або 12 тижнів було недостатнім, щоб досягти високих показників СВВ у пацієнтів з гострим або раннім хронічним гепатитом C.</w:t>
      </w:r>
      <w:r w:rsidRPr="00BA5C0A">
        <w:rPr>
          <w:rFonts w:ascii="Times New Roman" w:hAnsi="Times New Roman" w:cs="Times New Roman"/>
          <w:color w:val="000000" w:themeColor="text1"/>
          <w:vertAlign w:val="superscript"/>
          <w:lang w:val="uk-UA"/>
        </w:rPr>
        <w:t>269,270</w:t>
      </w:r>
      <w:r w:rsidRPr="00BA5C0A">
        <w:rPr>
          <w:rFonts w:ascii="Times New Roman" w:hAnsi="Times New Roman" w:cs="Times New Roman"/>
          <w:color w:val="000000" w:themeColor="text1"/>
          <w:lang w:val="uk-UA"/>
        </w:rPr>
        <w:t xml:space="preserve"> Було проведено три дослідження з комбінацією фіксованих доз софосбувір</w:t>
      </w:r>
      <w:r w:rsidR="0032023C">
        <w:rPr>
          <w:rFonts w:ascii="Times New Roman" w:hAnsi="Times New Roman" w:cs="Times New Roman"/>
          <w:color w:val="000000" w:themeColor="text1"/>
          <w:lang w:val="uk-UA"/>
        </w:rPr>
        <w:t>у</w:t>
      </w:r>
      <w:r w:rsidRPr="00BA5C0A">
        <w:rPr>
          <w:rFonts w:ascii="Times New Roman" w:hAnsi="Times New Roman" w:cs="Times New Roman"/>
          <w:color w:val="000000" w:themeColor="text1"/>
          <w:lang w:val="uk-UA"/>
        </w:rPr>
        <w:t xml:space="preserve"> і ледіпасвір</w:t>
      </w:r>
      <w:r w:rsidR="0032023C">
        <w:rPr>
          <w:rFonts w:ascii="Times New Roman" w:hAnsi="Times New Roman" w:cs="Times New Roman"/>
          <w:color w:val="000000" w:themeColor="text1"/>
          <w:lang w:val="uk-UA"/>
        </w:rPr>
        <w:t>у</w:t>
      </w:r>
      <w:r w:rsidRPr="00BA5C0A">
        <w:rPr>
          <w:rFonts w:ascii="Times New Roman" w:hAnsi="Times New Roman" w:cs="Times New Roman"/>
          <w:color w:val="000000" w:themeColor="text1"/>
          <w:lang w:val="uk-UA"/>
        </w:rPr>
        <w:t xml:space="preserve"> серед пацієнтів, інфікованих генотипом 1. Частота СВВ склала: 93% (13/14) після 4 тижнів лікування у споживачів ін'єкційних наркотиків, </w:t>
      </w:r>
      <w:r w:rsidRPr="00BA5C0A">
        <w:rPr>
          <w:rFonts w:ascii="Times New Roman" w:hAnsi="Times New Roman" w:cs="Times New Roman"/>
          <w:color w:val="000000" w:themeColor="text1"/>
          <w:vertAlign w:val="superscript"/>
          <w:lang w:val="uk-UA"/>
        </w:rPr>
        <w:t>271</w:t>
      </w:r>
      <w:r w:rsidRPr="00BA5C0A">
        <w:rPr>
          <w:rFonts w:ascii="Times New Roman" w:hAnsi="Times New Roman" w:cs="Times New Roman"/>
          <w:color w:val="000000" w:themeColor="text1"/>
          <w:lang w:val="uk-UA"/>
        </w:rPr>
        <w:t xml:space="preserve"> 77% (20/26) після 6 тижнів лікування ВІЛ</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інфікованих осіб, </w:t>
      </w:r>
      <w:r w:rsidRPr="00BA5C0A">
        <w:rPr>
          <w:rFonts w:ascii="Times New Roman" w:hAnsi="Times New Roman" w:cs="Times New Roman"/>
          <w:color w:val="000000" w:themeColor="text1"/>
          <w:vertAlign w:val="superscript"/>
          <w:lang w:val="uk-UA"/>
        </w:rPr>
        <w:t>272</w:t>
      </w:r>
      <w:r w:rsidRPr="00BA5C0A">
        <w:rPr>
          <w:rFonts w:ascii="Times New Roman" w:hAnsi="Times New Roman" w:cs="Times New Roman"/>
          <w:color w:val="000000" w:themeColor="text1"/>
          <w:lang w:val="uk-UA"/>
        </w:rPr>
        <w:t xml:space="preserve"> і 100 % (20/20), після 6 тижнів лікування у ВІЛ</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негативних ЛВІН.</w:t>
      </w:r>
      <w:r w:rsidRPr="00BA5C0A">
        <w:rPr>
          <w:rFonts w:ascii="Times New Roman" w:hAnsi="Times New Roman" w:cs="Times New Roman"/>
          <w:color w:val="000000" w:themeColor="text1"/>
          <w:vertAlign w:val="superscript"/>
          <w:lang w:val="uk-UA"/>
        </w:rPr>
        <w:t xml:space="preserve"> 273</w:t>
      </w:r>
      <w:r w:rsidRPr="00BA5C0A">
        <w:rPr>
          <w:rFonts w:ascii="Times New Roman" w:hAnsi="Times New Roman" w:cs="Times New Roman"/>
          <w:color w:val="000000" w:themeColor="text1"/>
          <w:lang w:val="uk-UA"/>
        </w:rPr>
        <w:t xml:space="preserve"> Комбінаці</w:t>
      </w:r>
      <w:r w:rsidR="00EC586F">
        <w:rPr>
          <w:rFonts w:ascii="Times New Roman" w:hAnsi="Times New Roman" w:cs="Times New Roman"/>
          <w:color w:val="000000" w:themeColor="text1"/>
          <w:lang w:val="uk-UA"/>
        </w:rPr>
        <w:t>я</w:t>
      </w:r>
      <w:r w:rsidRPr="00BA5C0A">
        <w:rPr>
          <w:rFonts w:ascii="Times New Roman" w:hAnsi="Times New Roman" w:cs="Times New Roman"/>
          <w:color w:val="000000" w:themeColor="text1"/>
          <w:lang w:val="uk-UA"/>
        </w:rPr>
        <w:t xml:space="preserve"> </w:t>
      </w:r>
      <w:r w:rsidR="006326A5" w:rsidRPr="006326A5">
        <w:rPr>
          <w:rFonts w:ascii="Times New Roman" w:hAnsi="Times New Roman" w:cs="Times New Roman"/>
          <w:color w:val="000000" w:themeColor="text1"/>
          <w:lang w:val="uk-UA"/>
        </w:rPr>
        <w:t>омбітасвіру, паритапревіру, ритонавіру та дасабувіру</w:t>
      </w:r>
      <w:r w:rsidR="006326A5">
        <w:rPr>
          <w:rFonts w:ascii="Times New Roman" w:hAnsi="Times New Roman" w:cs="Times New Roman"/>
          <w:color w:val="000000" w:themeColor="text1"/>
          <w:lang w:val="uk-UA"/>
        </w:rPr>
        <w:t>,</w:t>
      </w:r>
      <w:r w:rsidR="006326A5" w:rsidRPr="006326A5">
        <w:rPr>
          <w:rFonts w:ascii="Times New Roman" w:hAnsi="Times New Roman" w:cs="Times New Roman"/>
          <w:color w:val="000000" w:themeColor="text1"/>
          <w:lang w:val="uk-UA"/>
        </w:rPr>
        <w:t xml:space="preserve"> </w:t>
      </w:r>
      <w:r w:rsidR="006326A5">
        <w:rPr>
          <w:rFonts w:ascii="Times New Roman" w:hAnsi="Times New Roman" w:cs="Times New Roman"/>
          <w:color w:val="000000" w:themeColor="text1"/>
          <w:lang w:val="uk-UA"/>
        </w:rPr>
        <w:t xml:space="preserve">яка </w:t>
      </w:r>
      <w:r w:rsidRPr="00BA5C0A">
        <w:rPr>
          <w:rFonts w:ascii="Times New Roman" w:hAnsi="Times New Roman" w:cs="Times New Roman"/>
          <w:color w:val="000000" w:themeColor="text1"/>
          <w:lang w:val="uk-UA"/>
        </w:rPr>
        <w:t xml:space="preserve">приймалася протягом 8 тижнів, продемонструвала частоту СВВ 97% (29/30, одна вірусологічна невдача) у хворих на гострий або недавній </w:t>
      </w:r>
      <w:r w:rsidR="006046BF">
        <w:rPr>
          <w:rFonts w:ascii="Times New Roman" w:hAnsi="Times New Roman" w:cs="Times New Roman"/>
          <w:color w:val="000000" w:themeColor="text1"/>
          <w:lang w:val="uk-UA"/>
        </w:rPr>
        <w:t xml:space="preserve">хронічний </w:t>
      </w:r>
      <w:r w:rsidRPr="00BA5C0A">
        <w:rPr>
          <w:rFonts w:ascii="Times New Roman" w:hAnsi="Times New Roman" w:cs="Times New Roman"/>
          <w:color w:val="000000" w:themeColor="text1"/>
          <w:lang w:val="uk-UA"/>
        </w:rPr>
        <w:t>гепатит С у дослідженні TARGET</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3D.</w:t>
      </w:r>
      <w:r w:rsidRPr="00BA5C0A">
        <w:rPr>
          <w:rFonts w:ascii="Times New Roman" w:hAnsi="Times New Roman" w:cs="Times New Roman"/>
          <w:color w:val="000000" w:themeColor="text1"/>
          <w:vertAlign w:val="superscript"/>
          <w:lang w:val="uk-UA"/>
        </w:rPr>
        <w:t>274</w:t>
      </w:r>
    </w:p>
    <w:p w14:paraId="0E696379" w14:textId="77777777" w:rsidR="00BA5C0A" w:rsidRPr="00BA5C0A" w:rsidRDefault="00BA5C0A" w:rsidP="00BA5C0A">
      <w:pPr>
        <w:jc w:val="both"/>
        <w:rPr>
          <w:rFonts w:ascii="Times New Roman" w:hAnsi="Times New Roman" w:cs="Times New Roman"/>
          <w:color w:val="000000" w:themeColor="text1"/>
          <w:lang w:val="uk-UA"/>
        </w:rPr>
      </w:pPr>
    </w:p>
    <w:p w14:paraId="7C19E215" w14:textId="7856861C"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Через невелику </w:t>
      </w:r>
      <w:r w:rsidR="006046BF">
        <w:rPr>
          <w:rFonts w:ascii="Times New Roman" w:hAnsi="Times New Roman" w:cs="Times New Roman"/>
          <w:color w:val="000000" w:themeColor="text1"/>
          <w:lang w:val="uk-UA"/>
        </w:rPr>
        <w:t>кількість пацієнтів, включених у</w:t>
      </w:r>
      <w:r w:rsidRPr="00BA5C0A">
        <w:rPr>
          <w:rFonts w:ascii="Times New Roman" w:hAnsi="Times New Roman" w:cs="Times New Roman"/>
          <w:color w:val="000000" w:themeColor="text1"/>
          <w:lang w:val="uk-UA"/>
        </w:rPr>
        <w:t xml:space="preserve"> ці випробування, відмінність в їх результатах, а також схожість з хронічним гепатитом С, </w:t>
      </w:r>
      <w:r w:rsidR="0032023C">
        <w:rPr>
          <w:rFonts w:ascii="Times New Roman" w:hAnsi="Times New Roman" w:cs="Times New Roman"/>
          <w:color w:val="000000" w:themeColor="text1"/>
          <w:lang w:val="uk-UA"/>
        </w:rPr>
        <w:t>що передбачає</w:t>
      </w:r>
      <w:r w:rsidRPr="00BA5C0A">
        <w:rPr>
          <w:rFonts w:ascii="Times New Roman" w:hAnsi="Times New Roman" w:cs="Times New Roman"/>
          <w:color w:val="000000" w:themeColor="text1"/>
          <w:lang w:val="uk-UA"/>
        </w:rPr>
        <w:t xml:space="preserve"> щонайменше 8 тижнів терапії, щоб досягти максимальної частоти СВВ, пацієнтів з гострим гепатитом C слід лікувати комбінаціями ПППД протягом 8 тижнів, до отримання додаткових даних, що встановлять ідеальний режим та тривалість лікування. Хоча останні комбінації ПППД не були випробувані у пацієнтів з гострим гепатитом С, немає жодних підстав вважати, що вони не будуть ефективними серед цих пацієнтів з урахуванням їх ефективності серед хворих на хронічний гепатит С. В даний час не існує показань до противірусної терапії як післяконтактної профілактики за відсутності задокументованої передачі ВГС.</w:t>
      </w:r>
    </w:p>
    <w:p w14:paraId="08034AA0" w14:textId="77777777" w:rsidR="00BA5C0A" w:rsidRPr="00BA5C0A" w:rsidRDefault="00BA5C0A" w:rsidP="00BA5C0A">
      <w:pPr>
        <w:jc w:val="both"/>
        <w:rPr>
          <w:rFonts w:ascii="Times New Roman" w:hAnsi="Times New Roman" w:cs="Times New Roman"/>
          <w:color w:val="000000" w:themeColor="text1"/>
          <w:lang w:val="uk-UA"/>
        </w:rPr>
      </w:pPr>
    </w:p>
    <w:tbl>
      <w:tblPr>
        <w:tblW w:w="9978"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BA5C0A" w:rsidRPr="00BA5C0A" w14:paraId="69D1F677" w14:textId="77777777" w:rsidTr="00EC586F">
        <w:trPr>
          <w:trHeight w:val="544"/>
        </w:trPr>
        <w:tc>
          <w:tcPr>
            <w:tcW w:w="9978" w:type="dxa"/>
            <w:shd w:val="clear" w:color="auto" w:fill="BDD6EE" w:themeFill="accent1" w:themeFillTint="66"/>
          </w:tcPr>
          <w:p w14:paraId="01528D82" w14:textId="0629C990" w:rsidR="00BA5C0A" w:rsidRDefault="00BA5C0A" w:rsidP="00BA5C0A">
            <w:pPr>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Рекомендації</w:t>
            </w:r>
          </w:p>
          <w:p w14:paraId="0C265A34" w14:textId="77777777" w:rsidR="00EC586F" w:rsidRPr="00BA5C0A" w:rsidRDefault="00EC586F" w:rsidP="00BA5C0A">
            <w:pPr>
              <w:jc w:val="both"/>
              <w:rPr>
                <w:rFonts w:ascii="Times New Roman" w:hAnsi="Times New Roman" w:cs="Times New Roman"/>
                <w:b/>
                <w:color w:val="4472C4" w:themeColor="accent5"/>
                <w:lang w:val="uk-UA"/>
              </w:rPr>
            </w:pPr>
          </w:p>
          <w:p w14:paraId="570B5C3D" w14:textId="28E25F21" w:rsidR="00BA5C0A" w:rsidRPr="00BA5C0A" w:rsidRDefault="00BA5C0A" w:rsidP="00015E3B">
            <w:pPr>
              <w:numPr>
                <w:ilvl w:val="0"/>
                <w:numId w:val="52"/>
              </w:numPr>
              <w:contextualSpacing/>
              <w:jc w:val="both"/>
              <w:rPr>
                <w:rFonts w:ascii="Times New Roman" w:hAnsi="Times New Roman" w:cs="Times New Roman"/>
                <w:lang w:val="uk-UA"/>
              </w:rPr>
            </w:pPr>
            <w:r w:rsidRPr="00BA5C0A">
              <w:rPr>
                <w:rFonts w:ascii="Times New Roman" w:hAnsi="Times New Roman" w:cs="Times New Roman"/>
                <w:lang w:val="uk-UA"/>
              </w:rPr>
              <w:t xml:space="preserve">Пацієнтів з гострим гепатитом С слід лікувати комбінацією софосбувіру та ледіпасвіру (генотипи 1, 4, 5 та 6) або комбінацією </w:t>
            </w:r>
            <w:r w:rsidR="006326A5" w:rsidRPr="006326A5">
              <w:rPr>
                <w:rFonts w:ascii="Times New Roman" w:hAnsi="Times New Roman" w:cs="Times New Roman"/>
                <w:lang w:val="uk-UA"/>
              </w:rPr>
              <w:t xml:space="preserve">омбітасвіру, паритапревіру, ритонавіру та дасабувіру </w:t>
            </w:r>
            <w:r w:rsidRPr="00BA5C0A">
              <w:rPr>
                <w:rFonts w:ascii="Times New Roman" w:hAnsi="Times New Roman" w:cs="Times New Roman"/>
                <w:lang w:val="uk-UA"/>
              </w:rPr>
              <w:t>(генотип 1b) протягом 8 тижнів (В1).</w:t>
            </w:r>
          </w:p>
          <w:p w14:paraId="69DE69D9" w14:textId="0FC49FD8" w:rsidR="00BA5C0A" w:rsidRPr="00BA5C0A" w:rsidRDefault="00BA5C0A" w:rsidP="00015E3B">
            <w:pPr>
              <w:numPr>
                <w:ilvl w:val="0"/>
                <w:numId w:val="52"/>
              </w:numPr>
              <w:contextualSpacing/>
              <w:jc w:val="both"/>
              <w:rPr>
                <w:rFonts w:ascii="Times New Roman" w:hAnsi="Times New Roman" w:cs="Times New Roman"/>
                <w:lang w:val="uk-UA"/>
              </w:rPr>
            </w:pPr>
            <w:r w:rsidRPr="00BA5C0A">
              <w:rPr>
                <w:rFonts w:ascii="Times New Roman" w:hAnsi="Times New Roman" w:cs="Times New Roman"/>
                <w:lang w:val="uk-UA"/>
              </w:rPr>
              <w:t>Грунтуючись на схожості з хронічним гепатитом С, пацієнтів з гострим гепатитом С можна лікувати комбінацією софосбувіру і велпатасвіру (усі генотипи), комбінацією глекапревіру та пібрентасвіру (всі генотипи) або комбінаці</w:t>
            </w:r>
            <w:r w:rsidR="00EC586F">
              <w:rPr>
                <w:rFonts w:ascii="Times New Roman" w:hAnsi="Times New Roman" w:cs="Times New Roman"/>
                <w:lang w:val="uk-UA"/>
              </w:rPr>
              <w:t>єю</w:t>
            </w:r>
            <w:r w:rsidRPr="00BA5C0A">
              <w:rPr>
                <w:rFonts w:ascii="Times New Roman" w:hAnsi="Times New Roman" w:cs="Times New Roman"/>
                <w:lang w:val="uk-UA"/>
              </w:rPr>
              <w:t xml:space="preserve"> гразопревіру та ельбасвіру (генотипів 1b та 4) протягом 8 тижнів (C2).</w:t>
            </w:r>
          </w:p>
          <w:p w14:paraId="148F9F66" w14:textId="5747AA0E" w:rsidR="00BA5C0A" w:rsidRPr="00BA5C0A" w:rsidRDefault="00BA5C0A" w:rsidP="00015E3B">
            <w:pPr>
              <w:numPr>
                <w:ilvl w:val="0"/>
                <w:numId w:val="52"/>
              </w:numPr>
              <w:contextualSpacing/>
              <w:jc w:val="both"/>
              <w:rPr>
                <w:rFonts w:ascii="Times New Roman" w:hAnsi="Times New Roman" w:cs="Times New Roman"/>
                <w:lang w:val="uk-UA"/>
              </w:rPr>
            </w:pPr>
            <w:r w:rsidRPr="00BA5C0A">
              <w:rPr>
                <w:rFonts w:ascii="Times New Roman" w:hAnsi="Times New Roman" w:cs="Times New Roman"/>
                <w:lang w:val="uk-UA"/>
              </w:rPr>
              <w:t>СВВ слід оцінювати через 12 та 24 тижн</w:t>
            </w:r>
            <w:r w:rsidR="0032023C">
              <w:rPr>
                <w:rFonts w:ascii="Times New Roman" w:hAnsi="Times New Roman" w:cs="Times New Roman"/>
                <w:lang w:val="uk-UA"/>
              </w:rPr>
              <w:t>і</w:t>
            </w:r>
            <w:r w:rsidR="006046BF">
              <w:rPr>
                <w:rFonts w:ascii="Times New Roman" w:hAnsi="Times New Roman" w:cs="Times New Roman"/>
                <w:lang w:val="uk-UA"/>
              </w:rPr>
              <w:t>в</w:t>
            </w:r>
            <w:r w:rsidRPr="00BA5C0A">
              <w:rPr>
                <w:rFonts w:ascii="Times New Roman" w:hAnsi="Times New Roman" w:cs="Times New Roman"/>
                <w:lang w:val="uk-UA"/>
              </w:rPr>
              <w:t xml:space="preserve"> після лікування, оскільки повідомлялося про пізні рецидиви (В2).</w:t>
            </w:r>
          </w:p>
          <w:p w14:paraId="64E2BF4E" w14:textId="4DBE8AA8" w:rsidR="00BA5C0A" w:rsidRPr="00BA5C0A" w:rsidRDefault="00BA5C0A" w:rsidP="006046BF">
            <w:pPr>
              <w:numPr>
                <w:ilvl w:val="0"/>
                <w:numId w:val="52"/>
              </w:numPr>
              <w:contextualSpacing/>
              <w:jc w:val="both"/>
              <w:rPr>
                <w:rFonts w:ascii="Times New Roman" w:hAnsi="Times New Roman" w:cs="Times New Roman"/>
                <w:lang w:val="uk-UA"/>
              </w:rPr>
            </w:pPr>
            <w:r w:rsidRPr="00BA5C0A">
              <w:rPr>
                <w:rFonts w:ascii="Times New Roman" w:hAnsi="Times New Roman" w:cs="Times New Roman"/>
                <w:lang w:val="uk-UA"/>
              </w:rPr>
              <w:t xml:space="preserve">Немає показань для </w:t>
            </w:r>
            <w:r w:rsidR="00ED60B9">
              <w:rPr>
                <w:rFonts w:ascii="Times New Roman" w:hAnsi="Times New Roman" w:cs="Times New Roman"/>
                <w:lang w:val="uk-UA"/>
              </w:rPr>
              <w:t>проти</w:t>
            </w:r>
            <w:r w:rsidRPr="00BA5C0A">
              <w:rPr>
                <w:rFonts w:ascii="Times New Roman" w:hAnsi="Times New Roman" w:cs="Times New Roman"/>
                <w:lang w:val="uk-UA"/>
              </w:rPr>
              <w:t>вірусної терапії як пост</w:t>
            </w:r>
            <w:r w:rsidR="00FC6D8A">
              <w:rPr>
                <w:rFonts w:ascii="Times New Roman" w:hAnsi="Times New Roman" w:cs="Times New Roman"/>
                <w:lang w:val="uk-UA"/>
              </w:rPr>
              <w:t>–</w:t>
            </w:r>
            <w:r w:rsidR="006046BF">
              <w:rPr>
                <w:rFonts w:ascii="Times New Roman" w:hAnsi="Times New Roman" w:cs="Times New Roman"/>
                <w:lang w:val="uk-UA"/>
              </w:rPr>
              <w:t>контактної</w:t>
            </w:r>
            <w:r w:rsidRPr="00BA5C0A">
              <w:rPr>
                <w:rFonts w:ascii="Times New Roman" w:hAnsi="Times New Roman" w:cs="Times New Roman"/>
                <w:lang w:val="uk-UA"/>
              </w:rPr>
              <w:t xml:space="preserve"> профілактики за відсутності документально підтвердженої передачі ВГС (В1).</w:t>
            </w:r>
          </w:p>
        </w:tc>
      </w:tr>
    </w:tbl>
    <w:p w14:paraId="36E918FC" w14:textId="77777777" w:rsidR="00BA5C0A" w:rsidRPr="00BA5C0A" w:rsidRDefault="00BA5C0A" w:rsidP="00BA5C0A">
      <w:pPr>
        <w:jc w:val="both"/>
        <w:rPr>
          <w:rFonts w:ascii="Times New Roman" w:hAnsi="Times New Roman" w:cs="Times New Roman"/>
          <w:b/>
          <w:color w:val="4472C4" w:themeColor="accent5"/>
          <w:sz w:val="36"/>
          <w:szCs w:val="36"/>
          <w:lang w:val="uk-UA"/>
        </w:rPr>
      </w:pPr>
    </w:p>
    <w:p w14:paraId="277048A6" w14:textId="1ABB04A5" w:rsidR="00BA5C0A" w:rsidRDefault="00BA5C0A" w:rsidP="00BA5C0A">
      <w:pPr>
        <w:jc w:val="both"/>
        <w:rPr>
          <w:rFonts w:ascii="Times New Roman" w:hAnsi="Times New Roman" w:cs="Times New Roman"/>
          <w:b/>
          <w:color w:val="4472C4" w:themeColor="accent5"/>
          <w:sz w:val="32"/>
          <w:szCs w:val="32"/>
          <w:lang w:val="uk-UA"/>
        </w:rPr>
      </w:pPr>
      <w:r w:rsidRPr="00EC586F">
        <w:rPr>
          <w:rFonts w:ascii="Times New Roman" w:hAnsi="Times New Roman" w:cs="Times New Roman"/>
          <w:b/>
          <w:color w:val="4472C4" w:themeColor="accent5"/>
          <w:sz w:val="32"/>
          <w:szCs w:val="32"/>
          <w:lang w:val="uk-UA"/>
        </w:rPr>
        <w:t>Моніторинг лікування</w:t>
      </w:r>
    </w:p>
    <w:p w14:paraId="13ADFF51" w14:textId="77777777" w:rsidR="00EC586F" w:rsidRPr="00EC586F" w:rsidRDefault="00EC586F" w:rsidP="00BA5C0A">
      <w:pPr>
        <w:jc w:val="both"/>
        <w:rPr>
          <w:rFonts w:ascii="Times New Roman" w:hAnsi="Times New Roman" w:cs="Times New Roman"/>
          <w:b/>
          <w:color w:val="4472C4" w:themeColor="accent5"/>
          <w:sz w:val="32"/>
          <w:szCs w:val="32"/>
          <w:lang w:val="uk-UA"/>
        </w:rPr>
      </w:pPr>
    </w:p>
    <w:p w14:paraId="199FDEA0" w14:textId="77777777"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Моніторинг лікування включає моніторинг ефективності лікування, безпеки та побічних реакцій, а також взаємодії лікарських засобів.</w:t>
      </w:r>
    </w:p>
    <w:p w14:paraId="252C5D32" w14:textId="77777777" w:rsidR="00BA5C0A" w:rsidRPr="00BA5C0A" w:rsidRDefault="00BA5C0A" w:rsidP="00BA5C0A">
      <w:pPr>
        <w:jc w:val="both"/>
        <w:rPr>
          <w:rFonts w:ascii="Times New Roman" w:hAnsi="Times New Roman" w:cs="Times New Roman"/>
          <w:b/>
          <w:color w:val="000000" w:themeColor="text1"/>
          <w:lang w:val="uk-UA"/>
        </w:rPr>
      </w:pPr>
    </w:p>
    <w:p w14:paraId="31FFFC11" w14:textId="152883F2" w:rsidR="00BA5C0A" w:rsidRDefault="00BA5C0A" w:rsidP="00BA5C0A">
      <w:pPr>
        <w:jc w:val="both"/>
        <w:rPr>
          <w:rFonts w:ascii="Times New Roman" w:hAnsi="Times New Roman" w:cs="Times New Roman"/>
          <w:b/>
          <w:color w:val="4472C4" w:themeColor="accent5"/>
          <w:sz w:val="32"/>
          <w:szCs w:val="32"/>
          <w:lang w:val="uk-UA"/>
        </w:rPr>
      </w:pPr>
      <w:r w:rsidRPr="00BA5C0A">
        <w:rPr>
          <w:rFonts w:ascii="Times New Roman" w:hAnsi="Times New Roman" w:cs="Times New Roman"/>
          <w:b/>
          <w:color w:val="4472C4" w:themeColor="accent5"/>
          <w:sz w:val="32"/>
          <w:szCs w:val="32"/>
          <w:lang w:val="uk-UA"/>
        </w:rPr>
        <w:t>Моніторинг ефективності лікування</w:t>
      </w:r>
    </w:p>
    <w:p w14:paraId="4E5A9342" w14:textId="77777777" w:rsidR="00EC586F" w:rsidRPr="00BA5C0A" w:rsidRDefault="00EC586F" w:rsidP="00BA5C0A">
      <w:pPr>
        <w:jc w:val="both"/>
        <w:rPr>
          <w:rFonts w:ascii="Times New Roman" w:hAnsi="Times New Roman" w:cs="Times New Roman"/>
          <w:b/>
          <w:color w:val="4472C4" w:themeColor="accent5"/>
          <w:sz w:val="32"/>
          <w:szCs w:val="32"/>
          <w:lang w:val="uk-UA"/>
        </w:rPr>
      </w:pPr>
    </w:p>
    <w:p w14:paraId="7378AD51" w14:textId="77777777" w:rsidR="00707E43" w:rsidRDefault="00BA5C0A" w:rsidP="00BA5C0A">
      <w:pPr>
        <w:jc w:val="both"/>
        <w:rPr>
          <w:rFonts w:ascii="Times New Roman" w:hAnsi="Times New Roman" w:cs="Times New Roman"/>
          <w:color w:val="000000" w:themeColor="text1"/>
          <w:lang w:val="uk-UA"/>
        </w:rPr>
      </w:pPr>
      <w:r w:rsidRPr="0094360A">
        <w:rPr>
          <w:rFonts w:ascii="Times New Roman" w:hAnsi="Times New Roman" w:cs="Times New Roman"/>
          <w:color w:val="000000" w:themeColor="text1"/>
          <w:lang w:val="uk-UA"/>
        </w:rPr>
        <w:t>Моніторинг</w:t>
      </w:r>
      <w:r w:rsidRPr="00BA5C0A">
        <w:rPr>
          <w:rFonts w:ascii="Times New Roman" w:hAnsi="Times New Roman" w:cs="Times New Roman"/>
          <w:color w:val="000000" w:themeColor="text1"/>
          <w:lang w:val="uk-UA"/>
        </w:rPr>
        <w:t xml:space="preserve"> ефективності лікування грунтується на </w:t>
      </w:r>
      <w:r w:rsidR="006046BF">
        <w:rPr>
          <w:rFonts w:ascii="Times New Roman" w:hAnsi="Times New Roman" w:cs="Times New Roman"/>
          <w:color w:val="000000" w:themeColor="text1"/>
          <w:lang w:val="uk-UA"/>
        </w:rPr>
        <w:t>визначенні</w:t>
      </w:r>
      <w:r w:rsidRPr="00BA5C0A">
        <w:rPr>
          <w:rFonts w:ascii="Times New Roman" w:hAnsi="Times New Roman" w:cs="Times New Roman"/>
          <w:color w:val="000000" w:themeColor="text1"/>
          <w:lang w:val="uk-UA"/>
        </w:rPr>
        <w:t xml:space="preserve"> РНК ВГС в сироватці або плаз</w:t>
      </w:r>
      <w:r w:rsidR="006046BF">
        <w:rPr>
          <w:rFonts w:ascii="Times New Roman" w:hAnsi="Times New Roman" w:cs="Times New Roman"/>
          <w:color w:val="000000" w:themeColor="text1"/>
          <w:lang w:val="uk-UA"/>
        </w:rPr>
        <w:t>мі</w:t>
      </w:r>
      <w:r w:rsidR="0094360A" w:rsidRPr="0094360A">
        <w:rPr>
          <w:rFonts w:ascii="Times New Roman" w:hAnsi="Times New Roman" w:cs="Times New Roman"/>
          <w:color w:val="000000" w:themeColor="text1"/>
          <w:lang w:val="uk-UA"/>
        </w:rPr>
        <w:t xml:space="preserve"> </w:t>
      </w:r>
      <w:r w:rsidR="0094360A" w:rsidRPr="00BA5C0A">
        <w:rPr>
          <w:rFonts w:ascii="Times New Roman" w:hAnsi="Times New Roman" w:cs="Times New Roman"/>
          <w:color w:val="000000" w:themeColor="text1"/>
          <w:lang w:val="uk-UA"/>
        </w:rPr>
        <w:t>крові</w:t>
      </w:r>
      <w:r w:rsidR="006046BF">
        <w:rPr>
          <w:rFonts w:ascii="Times New Roman" w:hAnsi="Times New Roman" w:cs="Times New Roman"/>
          <w:color w:val="000000" w:themeColor="text1"/>
          <w:lang w:val="uk-UA"/>
        </w:rPr>
        <w:t>. Той самий аналіз, ідеально в одній</w:t>
      </w:r>
      <w:r w:rsidRPr="00BA5C0A">
        <w:rPr>
          <w:rFonts w:ascii="Times New Roman" w:hAnsi="Times New Roman" w:cs="Times New Roman"/>
          <w:color w:val="000000" w:themeColor="text1"/>
          <w:lang w:val="uk-UA"/>
        </w:rPr>
        <w:t xml:space="preserve"> лабораторії, повинен використовуватися для кожного </w:t>
      </w:r>
      <w:r w:rsidRPr="00BA5C0A">
        <w:rPr>
          <w:rFonts w:ascii="Times New Roman" w:hAnsi="Times New Roman" w:cs="Times New Roman"/>
          <w:color w:val="000000" w:themeColor="text1"/>
          <w:lang w:val="uk-UA"/>
        </w:rPr>
        <w:lastRenderedPageBreak/>
        <w:t>пацієнта для вимірювання РНК ВГС в різні моменти часу, для забезпечення послідовності результатів.</w:t>
      </w:r>
      <w:r w:rsidRPr="00BA5C0A">
        <w:rPr>
          <w:rFonts w:ascii="Times New Roman" w:hAnsi="Times New Roman" w:cs="Times New Roman"/>
          <w:color w:val="000000" w:themeColor="text1"/>
          <w:vertAlign w:val="superscript"/>
          <w:lang w:val="uk-UA"/>
        </w:rPr>
        <w:t>275</w:t>
      </w:r>
      <w:r w:rsidR="00FC6D8A">
        <w:rPr>
          <w:rFonts w:ascii="Times New Roman" w:hAnsi="Times New Roman" w:cs="Times New Roman"/>
          <w:color w:val="000000" w:themeColor="text1"/>
          <w:vertAlign w:val="superscript"/>
          <w:lang w:val="uk-UA"/>
        </w:rPr>
        <w:t>–</w:t>
      </w:r>
      <w:r w:rsidRPr="00BA5C0A">
        <w:rPr>
          <w:rFonts w:ascii="Times New Roman" w:hAnsi="Times New Roman" w:cs="Times New Roman"/>
          <w:color w:val="000000" w:themeColor="text1"/>
          <w:vertAlign w:val="superscript"/>
          <w:lang w:val="uk-UA"/>
        </w:rPr>
        <w:t>277</w:t>
      </w:r>
      <w:r w:rsidR="0094360A">
        <w:rPr>
          <w:rFonts w:ascii="Times New Roman" w:hAnsi="Times New Roman" w:cs="Times New Roman"/>
          <w:color w:val="000000" w:themeColor="text1"/>
          <w:lang w:val="uk-UA"/>
        </w:rPr>
        <w:t xml:space="preserve"> Визначення</w:t>
      </w:r>
      <w:r w:rsidRPr="00BA5C0A">
        <w:rPr>
          <w:rFonts w:ascii="Times New Roman" w:hAnsi="Times New Roman" w:cs="Times New Roman"/>
          <w:color w:val="000000" w:themeColor="text1"/>
          <w:lang w:val="uk-UA"/>
        </w:rPr>
        <w:t xml:space="preserve"> </w:t>
      </w:r>
      <w:r w:rsidR="00690065">
        <w:rPr>
          <w:rFonts w:ascii="Times New Roman" w:hAnsi="Times New Roman" w:cs="Times New Roman"/>
          <w:lang w:val="en-US"/>
        </w:rPr>
        <w:t>core</w:t>
      </w:r>
      <w:r w:rsidR="00690065" w:rsidRPr="00690065">
        <w:rPr>
          <w:rFonts w:ascii="Times New Roman" w:hAnsi="Times New Roman" w:cs="Times New Roman"/>
          <w:lang w:val="uk-UA"/>
        </w:rPr>
        <w:t xml:space="preserve"> </w:t>
      </w:r>
      <w:r w:rsidR="00690065">
        <w:rPr>
          <w:rFonts w:ascii="Times New Roman" w:hAnsi="Times New Roman" w:cs="Times New Roman"/>
          <w:lang w:val="en-US"/>
        </w:rPr>
        <w:t>Ag</w:t>
      </w:r>
      <w:r w:rsidR="00690065" w:rsidRPr="00690065">
        <w:rPr>
          <w:rFonts w:ascii="Times New Roman" w:hAnsi="Times New Roman" w:cs="Times New Roman"/>
          <w:lang w:val="uk-UA"/>
        </w:rPr>
        <w:t xml:space="preserve"> </w:t>
      </w:r>
      <w:r w:rsidR="00690065">
        <w:rPr>
          <w:rFonts w:ascii="Times New Roman" w:hAnsi="Times New Roman" w:cs="Times New Roman"/>
          <w:lang w:val="uk-UA"/>
        </w:rPr>
        <w:t>ВГС</w:t>
      </w:r>
      <w:r w:rsidR="00690065" w:rsidRPr="00BA5C0A">
        <w:rPr>
          <w:rFonts w:ascii="Times New Roman" w:hAnsi="Times New Roman" w:cs="Times New Roman"/>
          <w:lang w:val="uk-UA"/>
        </w:rPr>
        <w:t xml:space="preserve"> </w:t>
      </w:r>
      <w:r w:rsidRPr="00BA5C0A">
        <w:rPr>
          <w:rFonts w:ascii="Times New Roman" w:hAnsi="Times New Roman" w:cs="Times New Roman"/>
          <w:color w:val="000000" w:themeColor="text1"/>
          <w:lang w:val="uk-UA"/>
        </w:rPr>
        <w:t xml:space="preserve">в сироватці або плазмі </w:t>
      </w:r>
    </w:p>
    <w:p w14:paraId="4475D4CB" w14:textId="43C83A7D"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за допомогою ELISA може бути використа</w:t>
      </w:r>
      <w:r w:rsidR="0032023C">
        <w:rPr>
          <w:rFonts w:ascii="Times New Roman" w:hAnsi="Times New Roman" w:cs="Times New Roman"/>
          <w:color w:val="000000" w:themeColor="text1"/>
          <w:lang w:val="uk-UA"/>
        </w:rPr>
        <w:t>но</w:t>
      </w:r>
      <w:r w:rsidRPr="00BA5C0A">
        <w:rPr>
          <w:rFonts w:ascii="Times New Roman" w:hAnsi="Times New Roman" w:cs="Times New Roman"/>
          <w:color w:val="000000" w:themeColor="text1"/>
          <w:lang w:val="uk-UA"/>
        </w:rPr>
        <w:t xml:space="preserve"> як альтернатива </w:t>
      </w:r>
      <w:r w:rsidR="0094360A">
        <w:rPr>
          <w:rFonts w:ascii="Times New Roman" w:hAnsi="Times New Roman" w:cs="Times New Roman"/>
          <w:color w:val="000000" w:themeColor="text1"/>
          <w:lang w:val="uk-UA"/>
        </w:rPr>
        <w:t>визначенню</w:t>
      </w:r>
      <w:r w:rsidRPr="00BA5C0A">
        <w:rPr>
          <w:rFonts w:ascii="Times New Roman" w:hAnsi="Times New Roman" w:cs="Times New Roman"/>
          <w:color w:val="000000" w:themeColor="text1"/>
          <w:lang w:val="uk-UA"/>
        </w:rPr>
        <w:t xml:space="preserve"> РНК ВГС у тих випадках, коли </w:t>
      </w:r>
      <w:r w:rsidR="009C2855">
        <w:rPr>
          <w:rFonts w:ascii="Times New Roman" w:hAnsi="Times New Roman" w:cs="Times New Roman"/>
          <w:color w:val="000000" w:themeColor="text1"/>
          <w:lang w:val="uk-UA"/>
        </w:rPr>
        <w:t>визначення</w:t>
      </w:r>
      <w:r w:rsidRPr="00BA5C0A">
        <w:rPr>
          <w:rFonts w:ascii="Times New Roman" w:hAnsi="Times New Roman" w:cs="Times New Roman"/>
          <w:color w:val="000000" w:themeColor="text1"/>
          <w:lang w:val="uk-UA"/>
        </w:rPr>
        <w:t xml:space="preserve"> РНК ВГС недоступн</w:t>
      </w:r>
      <w:r w:rsidR="009C2855">
        <w:rPr>
          <w:rFonts w:ascii="Times New Roman" w:hAnsi="Times New Roman" w:cs="Times New Roman"/>
          <w:color w:val="000000" w:themeColor="text1"/>
          <w:lang w:val="uk-UA"/>
        </w:rPr>
        <w:t>е</w:t>
      </w:r>
      <w:r w:rsidRPr="00BA5C0A">
        <w:rPr>
          <w:rFonts w:ascii="Times New Roman" w:hAnsi="Times New Roman" w:cs="Times New Roman"/>
          <w:color w:val="000000" w:themeColor="text1"/>
          <w:lang w:val="uk-UA"/>
        </w:rPr>
        <w:t xml:space="preserve"> та/або дорог</w:t>
      </w:r>
      <w:r w:rsidR="009C2855">
        <w:rPr>
          <w:rFonts w:ascii="Times New Roman" w:hAnsi="Times New Roman" w:cs="Times New Roman"/>
          <w:color w:val="000000" w:themeColor="text1"/>
          <w:lang w:val="uk-UA"/>
        </w:rPr>
        <w:t>е</w:t>
      </w:r>
      <w:r w:rsidRPr="00BA5C0A">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vertAlign w:val="superscript"/>
          <w:lang w:val="uk-UA"/>
        </w:rPr>
        <w:t>23, 24, 26</w:t>
      </w:r>
    </w:p>
    <w:p w14:paraId="7771478F" w14:textId="77777777" w:rsidR="00BA5C0A" w:rsidRPr="00BA5C0A" w:rsidRDefault="00BA5C0A" w:rsidP="00BA5C0A">
      <w:pPr>
        <w:jc w:val="both"/>
        <w:rPr>
          <w:rFonts w:ascii="Times New Roman" w:hAnsi="Times New Roman" w:cs="Times New Roman"/>
          <w:color w:val="000000" w:themeColor="text1"/>
          <w:lang w:val="uk-UA"/>
        </w:rPr>
      </w:pPr>
    </w:p>
    <w:p w14:paraId="4FD334A8" w14:textId="306D859A"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Для того, щоб контролювати ефективність лікування, вимірювання </w:t>
      </w:r>
      <w:r w:rsidR="00334506">
        <w:rPr>
          <w:rFonts w:ascii="Times New Roman" w:hAnsi="Times New Roman" w:cs="Times New Roman"/>
          <w:color w:val="000000" w:themeColor="text1"/>
          <w:lang w:val="uk-UA"/>
        </w:rPr>
        <w:t xml:space="preserve">рівня </w:t>
      </w:r>
      <w:r w:rsidRPr="00BA5C0A">
        <w:rPr>
          <w:rFonts w:ascii="Times New Roman" w:hAnsi="Times New Roman" w:cs="Times New Roman"/>
          <w:color w:val="000000" w:themeColor="text1"/>
          <w:lang w:val="uk-UA"/>
        </w:rPr>
        <w:t xml:space="preserve">РНК ВГС (або антигену вірусу гепатиту С) необхідно проводити в конкретні часові моменти, </w:t>
      </w:r>
      <w:r w:rsidR="0032023C">
        <w:rPr>
          <w:rFonts w:ascii="Times New Roman" w:hAnsi="Times New Roman" w:cs="Times New Roman"/>
          <w:color w:val="000000" w:themeColor="text1"/>
          <w:lang w:val="uk-UA"/>
        </w:rPr>
        <w:t xml:space="preserve">зокрема, </w:t>
      </w:r>
      <w:r w:rsidR="0032023C" w:rsidRPr="00BA5C0A">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на початку лікування та через 12 або 24 тижні після закінчення терапії (для оцінки СВВ12 або СВВ24, відповідно). Моніторинг рівн</w:t>
      </w:r>
      <w:r w:rsidR="00334506">
        <w:rPr>
          <w:rFonts w:ascii="Times New Roman" w:hAnsi="Times New Roman" w:cs="Times New Roman"/>
          <w:color w:val="000000" w:themeColor="text1"/>
          <w:lang w:val="uk-UA"/>
        </w:rPr>
        <w:t>я</w:t>
      </w:r>
      <w:r w:rsidRPr="00BA5C0A">
        <w:rPr>
          <w:rFonts w:ascii="Times New Roman" w:hAnsi="Times New Roman" w:cs="Times New Roman"/>
          <w:color w:val="000000" w:themeColor="text1"/>
          <w:lang w:val="uk-UA"/>
        </w:rPr>
        <w:t xml:space="preserve"> РНК ВГС (або </w:t>
      </w:r>
      <w:r w:rsidR="00690065" w:rsidRPr="00690065">
        <w:rPr>
          <w:rFonts w:ascii="Times New Roman" w:hAnsi="Times New Roman" w:cs="Times New Roman"/>
          <w:color w:val="000000" w:themeColor="text1"/>
          <w:lang w:val="uk-UA"/>
        </w:rPr>
        <w:t>core Ag ВГС</w:t>
      </w:r>
      <w:r w:rsidRPr="00BA5C0A">
        <w:rPr>
          <w:rFonts w:ascii="Times New Roman" w:hAnsi="Times New Roman" w:cs="Times New Roman"/>
          <w:color w:val="000000" w:themeColor="text1"/>
          <w:lang w:val="uk-UA"/>
        </w:rPr>
        <w:t>) показує чи було лікування успішним.</w:t>
      </w:r>
    </w:p>
    <w:p w14:paraId="7497E6AC" w14:textId="77777777" w:rsidR="00BA5C0A" w:rsidRPr="00BA5C0A" w:rsidRDefault="00BA5C0A" w:rsidP="00BA5C0A">
      <w:pPr>
        <w:jc w:val="both"/>
        <w:rPr>
          <w:rFonts w:ascii="Times New Roman" w:hAnsi="Times New Roman" w:cs="Times New Roman"/>
          <w:b/>
          <w:color w:val="4472C4" w:themeColor="accent5"/>
          <w:lang w:val="uk-UA"/>
        </w:rPr>
      </w:pPr>
    </w:p>
    <w:tbl>
      <w:tblPr>
        <w:tblW w:w="983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BA5C0A" w:rsidRPr="00BA5C0A" w14:paraId="7029AC05" w14:textId="77777777" w:rsidTr="00EC586F">
        <w:trPr>
          <w:trHeight w:val="544"/>
        </w:trPr>
        <w:tc>
          <w:tcPr>
            <w:tcW w:w="9836" w:type="dxa"/>
            <w:shd w:val="clear" w:color="auto" w:fill="BDD6EE" w:themeFill="accent1" w:themeFillTint="66"/>
          </w:tcPr>
          <w:p w14:paraId="027945EE" w14:textId="045661B7" w:rsidR="00BA5C0A" w:rsidRDefault="00BA5C0A" w:rsidP="00BA5C0A">
            <w:pPr>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Рекомендації</w:t>
            </w:r>
          </w:p>
          <w:p w14:paraId="00EF49EE" w14:textId="77777777" w:rsidR="00EC586F" w:rsidRPr="00BA5C0A" w:rsidRDefault="00EC586F" w:rsidP="00BA5C0A">
            <w:pPr>
              <w:jc w:val="both"/>
              <w:rPr>
                <w:rFonts w:ascii="Times New Roman" w:hAnsi="Times New Roman" w:cs="Times New Roman"/>
                <w:b/>
                <w:color w:val="4472C4" w:themeColor="accent5"/>
                <w:lang w:val="uk-UA"/>
              </w:rPr>
            </w:pPr>
          </w:p>
          <w:p w14:paraId="017C6F3E" w14:textId="0627B923" w:rsidR="00BA5C0A" w:rsidRPr="00BA5C0A" w:rsidRDefault="00BA5C0A" w:rsidP="00015E3B">
            <w:pPr>
              <w:numPr>
                <w:ilvl w:val="0"/>
                <w:numId w:val="53"/>
              </w:numPr>
              <w:contextualSpacing/>
              <w:jc w:val="both"/>
              <w:rPr>
                <w:rFonts w:ascii="Times New Roman" w:hAnsi="Times New Roman" w:cs="Times New Roman"/>
                <w:lang w:val="uk-UA"/>
              </w:rPr>
            </w:pPr>
            <w:r w:rsidRPr="00BA5C0A">
              <w:rPr>
                <w:rFonts w:ascii="Times New Roman" w:hAnsi="Times New Roman" w:cs="Times New Roman"/>
                <w:lang w:val="uk-UA"/>
              </w:rPr>
              <w:t xml:space="preserve">Для моніторингу </w:t>
            </w:r>
            <w:r w:rsidRPr="00334506">
              <w:rPr>
                <w:rFonts w:ascii="Times New Roman" w:hAnsi="Times New Roman" w:cs="Times New Roman"/>
                <w:lang w:val="uk-UA"/>
              </w:rPr>
              <w:t>рівн</w:t>
            </w:r>
            <w:r w:rsidR="00B45601" w:rsidRPr="00334506">
              <w:rPr>
                <w:rFonts w:ascii="Times New Roman" w:hAnsi="Times New Roman" w:cs="Times New Roman"/>
                <w:lang w:val="uk-UA"/>
              </w:rPr>
              <w:t>я</w:t>
            </w:r>
            <w:r w:rsidRPr="00334506">
              <w:rPr>
                <w:rFonts w:ascii="Times New Roman" w:hAnsi="Times New Roman" w:cs="Times New Roman"/>
                <w:lang w:val="uk-UA"/>
              </w:rPr>
              <w:t xml:space="preserve"> РНК ВГС</w:t>
            </w:r>
            <w:r w:rsidRPr="00BA5C0A">
              <w:rPr>
                <w:rFonts w:ascii="Times New Roman" w:hAnsi="Times New Roman" w:cs="Times New Roman"/>
                <w:lang w:val="uk-UA"/>
              </w:rPr>
              <w:t xml:space="preserve"> у сироватці або плазмі </w:t>
            </w:r>
            <w:r w:rsidR="00707E43" w:rsidRPr="00BA5C0A">
              <w:rPr>
                <w:rFonts w:ascii="Times New Roman" w:hAnsi="Times New Roman" w:cs="Times New Roman"/>
                <w:lang w:val="uk-UA"/>
              </w:rPr>
              <w:t xml:space="preserve">крові </w:t>
            </w:r>
            <w:r w:rsidRPr="00BA5C0A">
              <w:rPr>
                <w:rFonts w:ascii="Times New Roman" w:hAnsi="Times New Roman" w:cs="Times New Roman"/>
                <w:lang w:val="uk-UA"/>
              </w:rPr>
              <w:t>(А1) слід застосовувати чутливий молекулярний метод з нижчою межею виявлення ≤ 15 МЕ / мл.</w:t>
            </w:r>
          </w:p>
          <w:p w14:paraId="1DC43E59" w14:textId="3DEFA535" w:rsidR="00BA5C0A" w:rsidRPr="00BA5C0A" w:rsidRDefault="009C2855" w:rsidP="00015E3B">
            <w:pPr>
              <w:numPr>
                <w:ilvl w:val="0"/>
                <w:numId w:val="53"/>
              </w:numPr>
              <w:contextualSpacing/>
              <w:jc w:val="both"/>
              <w:rPr>
                <w:rFonts w:ascii="Times New Roman" w:hAnsi="Times New Roman" w:cs="Times New Roman"/>
                <w:lang w:val="uk-UA"/>
              </w:rPr>
            </w:pPr>
            <w:r>
              <w:rPr>
                <w:rFonts w:ascii="Times New Roman" w:hAnsi="Times New Roman" w:cs="Times New Roman"/>
                <w:lang w:val="uk-UA"/>
              </w:rPr>
              <w:t>У</w:t>
            </w:r>
            <w:r w:rsidR="00BA5C0A" w:rsidRPr="00BA5C0A">
              <w:rPr>
                <w:rFonts w:ascii="Times New Roman" w:hAnsi="Times New Roman" w:cs="Times New Roman"/>
                <w:lang w:val="uk-UA"/>
              </w:rPr>
              <w:t xml:space="preserve"> країнах з низьким або середнім рівнем доходу та в окремих випадках у країнах з високим рівнем доходу може бути використаний якісний аналіз РНК ВГС з більш низькою межею виявлення ≤ 1000 МО/мл (3,0 Log10 МО/мл) для забезпечення більш доступних можливостей для діагностики та лікування ВГС (B1).</w:t>
            </w:r>
          </w:p>
          <w:p w14:paraId="0C9895E0" w14:textId="088D2BED" w:rsidR="00BA5C0A" w:rsidRPr="00707E43" w:rsidRDefault="009C2855" w:rsidP="00F5160A">
            <w:pPr>
              <w:numPr>
                <w:ilvl w:val="0"/>
                <w:numId w:val="53"/>
              </w:numPr>
              <w:contextualSpacing/>
              <w:jc w:val="both"/>
              <w:rPr>
                <w:rFonts w:ascii="Times New Roman" w:hAnsi="Times New Roman" w:cs="Times New Roman"/>
                <w:lang w:val="uk-UA"/>
              </w:rPr>
            </w:pPr>
            <w:r w:rsidRPr="00707E43">
              <w:rPr>
                <w:rFonts w:ascii="Times New Roman" w:hAnsi="Times New Roman" w:cs="Times New Roman"/>
                <w:lang w:val="uk-UA"/>
              </w:rPr>
              <w:t>Визначення</w:t>
            </w:r>
            <w:r w:rsidR="00BA5C0A" w:rsidRPr="00707E43">
              <w:rPr>
                <w:rFonts w:ascii="Times New Roman" w:hAnsi="Times New Roman" w:cs="Times New Roman"/>
                <w:lang w:val="uk-UA"/>
              </w:rPr>
              <w:t xml:space="preserve"> </w:t>
            </w:r>
            <w:r w:rsidR="00690065" w:rsidRPr="00707E43">
              <w:rPr>
                <w:rFonts w:ascii="Times New Roman" w:hAnsi="Times New Roman" w:cs="Times New Roman"/>
                <w:lang w:val="uk-UA"/>
              </w:rPr>
              <w:t xml:space="preserve">core Ag ВГС </w:t>
            </w:r>
            <w:r w:rsidR="00BA5C0A" w:rsidRPr="00707E43">
              <w:rPr>
                <w:rFonts w:ascii="Times New Roman" w:hAnsi="Times New Roman" w:cs="Times New Roman"/>
                <w:lang w:val="uk-UA"/>
              </w:rPr>
              <w:t xml:space="preserve">в сироватці або плазмі </w:t>
            </w:r>
            <w:r w:rsidRPr="00707E43">
              <w:rPr>
                <w:rFonts w:ascii="Times New Roman" w:hAnsi="Times New Roman" w:cs="Times New Roman"/>
                <w:lang w:val="uk-UA"/>
              </w:rPr>
              <w:t xml:space="preserve">крові </w:t>
            </w:r>
            <w:r w:rsidR="00BA5C0A" w:rsidRPr="00707E43">
              <w:rPr>
                <w:rFonts w:ascii="Times New Roman" w:hAnsi="Times New Roman" w:cs="Times New Roman"/>
                <w:lang w:val="uk-UA"/>
              </w:rPr>
              <w:t>за допомогою ензимного імуноаналізу типу ELISA можна використовувати як альтернативу вимірюванню рівня РНК ВГС для контролю ефективності лікування, коли аналізи РНК ВГС недоступні та/або дорогі (А1).</w:t>
            </w:r>
          </w:p>
          <w:p w14:paraId="54BA65E3" w14:textId="19A7B44F" w:rsidR="00BA5C0A" w:rsidRPr="00BA5C0A" w:rsidRDefault="00BA5C0A" w:rsidP="00015E3B">
            <w:pPr>
              <w:numPr>
                <w:ilvl w:val="0"/>
                <w:numId w:val="53"/>
              </w:numPr>
              <w:contextualSpacing/>
              <w:jc w:val="both"/>
              <w:rPr>
                <w:rFonts w:ascii="Times New Roman" w:hAnsi="Times New Roman" w:cs="Times New Roman"/>
                <w:lang w:val="uk-UA"/>
              </w:rPr>
            </w:pPr>
            <w:r w:rsidRPr="00BA5C0A">
              <w:rPr>
                <w:rFonts w:ascii="Times New Roman" w:hAnsi="Times New Roman" w:cs="Times New Roman"/>
                <w:lang w:val="uk-UA"/>
              </w:rPr>
              <w:t>У пацієнтів, які отримували схему лікування без IFN, рів</w:t>
            </w:r>
            <w:r w:rsidR="00334506">
              <w:rPr>
                <w:rFonts w:ascii="Times New Roman" w:hAnsi="Times New Roman" w:cs="Times New Roman"/>
                <w:lang w:val="uk-UA"/>
              </w:rPr>
              <w:t>ень</w:t>
            </w:r>
            <w:r w:rsidRPr="00BA5C0A">
              <w:rPr>
                <w:rFonts w:ascii="Times New Roman" w:hAnsi="Times New Roman" w:cs="Times New Roman"/>
                <w:lang w:val="uk-UA"/>
              </w:rPr>
              <w:t xml:space="preserve"> РНК ВГС або </w:t>
            </w:r>
            <w:r w:rsidR="00334506">
              <w:rPr>
                <w:rFonts w:ascii="Times New Roman" w:hAnsi="Times New Roman" w:cs="Times New Roman"/>
                <w:lang w:val="uk-UA"/>
              </w:rPr>
              <w:t xml:space="preserve">наявність </w:t>
            </w:r>
            <w:r w:rsidR="00690065" w:rsidRPr="00690065">
              <w:rPr>
                <w:rFonts w:ascii="Times New Roman" w:hAnsi="Times New Roman" w:cs="Times New Roman"/>
                <w:lang w:val="uk-UA"/>
              </w:rPr>
              <w:t xml:space="preserve">core Ag ВГС </w:t>
            </w:r>
            <w:r w:rsidRPr="00BA5C0A">
              <w:rPr>
                <w:rFonts w:ascii="Times New Roman" w:hAnsi="Times New Roman" w:cs="Times New Roman"/>
                <w:lang w:val="uk-UA"/>
              </w:rPr>
              <w:t>повинні бути ви</w:t>
            </w:r>
            <w:r w:rsidR="009F1581">
              <w:rPr>
                <w:rFonts w:ascii="Times New Roman" w:hAnsi="Times New Roman" w:cs="Times New Roman"/>
                <w:lang w:val="uk-UA"/>
              </w:rPr>
              <w:t>значе</w:t>
            </w:r>
            <w:r w:rsidRPr="00BA5C0A">
              <w:rPr>
                <w:rFonts w:ascii="Times New Roman" w:hAnsi="Times New Roman" w:cs="Times New Roman"/>
                <w:lang w:val="uk-UA"/>
              </w:rPr>
              <w:t>ні перед терапією та через 12 чи 24 тижні після закінчення терапії (для оцінки СВВ12 або СВВ24 відповідно) (A1).</w:t>
            </w:r>
          </w:p>
          <w:p w14:paraId="0DE39DCE" w14:textId="5A3B5D7E" w:rsidR="00BA5C0A" w:rsidRPr="00BA5C0A" w:rsidRDefault="00BA5C0A" w:rsidP="00015E3B">
            <w:pPr>
              <w:numPr>
                <w:ilvl w:val="0"/>
                <w:numId w:val="53"/>
              </w:numPr>
              <w:contextualSpacing/>
              <w:jc w:val="both"/>
              <w:rPr>
                <w:rFonts w:ascii="Times New Roman" w:hAnsi="Times New Roman" w:cs="Times New Roman"/>
                <w:lang w:val="uk-UA"/>
              </w:rPr>
            </w:pPr>
            <w:r w:rsidRPr="00BA5C0A">
              <w:rPr>
                <w:rFonts w:ascii="Times New Roman" w:hAnsi="Times New Roman" w:cs="Times New Roman"/>
                <w:lang w:val="uk-UA"/>
              </w:rPr>
              <w:t xml:space="preserve">У деяких регіонах світу, враховуючи високі показники СВВ12, очікувані при </w:t>
            </w:r>
            <w:r w:rsidR="00EC586F">
              <w:rPr>
                <w:rFonts w:ascii="Times New Roman" w:hAnsi="Times New Roman" w:cs="Times New Roman"/>
                <w:lang w:val="uk-UA"/>
              </w:rPr>
              <w:t xml:space="preserve">використанні </w:t>
            </w:r>
            <w:r w:rsidRPr="00BA5C0A">
              <w:rPr>
                <w:rFonts w:ascii="Times New Roman" w:hAnsi="Times New Roman" w:cs="Times New Roman"/>
                <w:lang w:val="uk-UA"/>
              </w:rPr>
              <w:t>схем на основі ПППД, перевірка СВВ може не проводитися, за винятком пацієнтів з ризиком реінфекції (B2)</w:t>
            </w:r>
          </w:p>
        </w:tc>
      </w:tr>
    </w:tbl>
    <w:p w14:paraId="09B920E6" w14:textId="77777777" w:rsidR="00BA5C0A" w:rsidRPr="00BA5C0A" w:rsidRDefault="00BA5C0A" w:rsidP="00BA5C0A">
      <w:pPr>
        <w:jc w:val="both"/>
        <w:rPr>
          <w:rFonts w:ascii="Times New Roman" w:hAnsi="Times New Roman" w:cs="Times New Roman"/>
          <w:color w:val="000000" w:themeColor="text1"/>
          <w:lang w:val="uk-UA"/>
        </w:rPr>
      </w:pPr>
    </w:p>
    <w:p w14:paraId="1E2FCC62" w14:textId="77777777" w:rsidR="00BA5C0A" w:rsidRPr="00BA5C0A" w:rsidRDefault="00BA5C0A" w:rsidP="00BA5C0A">
      <w:pPr>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sz w:val="32"/>
          <w:szCs w:val="32"/>
          <w:lang w:val="uk-UA"/>
        </w:rPr>
        <w:t>Моніторинг безпеки лікування</w:t>
      </w:r>
    </w:p>
    <w:p w14:paraId="2AC08140" w14:textId="77777777" w:rsidR="00BA5C0A" w:rsidRPr="00BA5C0A" w:rsidRDefault="00BA5C0A" w:rsidP="00BA5C0A">
      <w:pPr>
        <w:jc w:val="both"/>
        <w:rPr>
          <w:rFonts w:ascii="Times New Roman" w:hAnsi="Times New Roman" w:cs="Times New Roman"/>
          <w:color w:val="000000" w:themeColor="text1"/>
          <w:lang w:val="uk-UA"/>
        </w:rPr>
      </w:pPr>
    </w:p>
    <w:p w14:paraId="362B5030" w14:textId="6517639C"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Нові схеми ПППД, як правило, добре переносяться. Частота виражених або важких побічних рекцій, що призводять до припинення прийому препаратів, є низьк</w:t>
      </w:r>
      <w:r w:rsidR="009F1581">
        <w:rPr>
          <w:rFonts w:ascii="Times New Roman" w:hAnsi="Times New Roman" w:cs="Times New Roman"/>
          <w:color w:val="000000" w:themeColor="text1"/>
          <w:lang w:val="uk-UA"/>
        </w:rPr>
        <w:t>ою</w:t>
      </w:r>
      <w:r w:rsidRPr="00BA5C0A">
        <w:rPr>
          <w:rFonts w:ascii="Times New Roman" w:hAnsi="Times New Roman" w:cs="Times New Roman"/>
          <w:color w:val="000000" w:themeColor="text1"/>
          <w:lang w:val="uk-UA"/>
        </w:rPr>
        <w:t>. Однак даних щодо пацієнтів з декомпенсованим цирозом печінки або трансплантатом печінки недостатньо.</w:t>
      </w:r>
    </w:p>
    <w:p w14:paraId="7F908738" w14:textId="77777777" w:rsidR="00EC586F" w:rsidRDefault="00EC586F" w:rsidP="00BA5C0A">
      <w:pPr>
        <w:jc w:val="both"/>
        <w:rPr>
          <w:rFonts w:ascii="Times New Roman" w:hAnsi="Times New Roman" w:cs="Times New Roman"/>
          <w:b/>
          <w:i/>
          <w:color w:val="4472C4" w:themeColor="accent5"/>
          <w:lang w:val="uk-UA"/>
        </w:rPr>
      </w:pPr>
    </w:p>
    <w:p w14:paraId="36B01668" w14:textId="6F99EFC7" w:rsidR="00BA5C0A" w:rsidRPr="00BA5C0A" w:rsidRDefault="00BA5C0A" w:rsidP="00BA5C0A">
      <w:pPr>
        <w:jc w:val="both"/>
        <w:rPr>
          <w:rFonts w:ascii="Times New Roman" w:hAnsi="Times New Roman" w:cs="Times New Roman"/>
          <w:b/>
          <w:i/>
          <w:color w:val="4472C4" w:themeColor="accent5"/>
          <w:lang w:val="uk-UA"/>
        </w:rPr>
      </w:pPr>
      <w:r w:rsidRPr="00BA5C0A">
        <w:rPr>
          <w:rFonts w:ascii="Times New Roman" w:hAnsi="Times New Roman" w:cs="Times New Roman"/>
          <w:b/>
          <w:i/>
          <w:color w:val="4472C4" w:themeColor="accent5"/>
          <w:lang w:val="uk-UA"/>
        </w:rPr>
        <w:t>Софосбувір і велпатасвір (без або з воксілапревіром)</w:t>
      </w:r>
    </w:p>
    <w:p w14:paraId="1C586CE0" w14:textId="77777777" w:rsidR="00BA5C0A" w:rsidRPr="00BA5C0A" w:rsidRDefault="00BA5C0A" w:rsidP="00BA5C0A">
      <w:pPr>
        <w:jc w:val="both"/>
        <w:rPr>
          <w:rFonts w:ascii="Times New Roman" w:hAnsi="Times New Roman" w:cs="Times New Roman"/>
          <w:color w:val="000000" w:themeColor="text1"/>
          <w:lang w:val="uk-UA"/>
        </w:rPr>
      </w:pPr>
    </w:p>
    <w:p w14:paraId="07557FBB" w14:textId="77777777"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Частка пацієнтів, які повністю припинили лікування через побічні реакції під час лікування, становила &lt;1% для пацієнтів, які отримували софосбувір та велпатасвір протягом 12 тижнів.</w:t>
      </w:r>
    </w:p>
    <w:p w14:paraId="7611DECE" w14:textId="7D4118CB"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У клінічних дослідженнях не спостерігалося різниці з групами, які отримували плацебо. Втома і головний біль були найпоширен</w:t>
      </w:r>
      <w:r w:rsidR="00D628F0">
        <w:rPr>
          <w:rFonts w:ascii="Times New Roman" w:hAnsi="Times New Roman" w:cs="Times New Roman"/>
          <w:color w:val="000000" w:themeColor="text1"/>
          <w:lang w:val="uk-UA"/>
        </w:rPr>
        <w:t>іши</w:t>
      </w:r>
      <w:r w:rsidRPr="00BA5C0A">
        <w:rPr>
          <w:rFonts w:ascii="Times New Roman" w:hAnsi="Times New Roman" w:cs="Times New Roman"/>
          <w:color w:val="000000" w:themeColor="text1"/>
          <w:lang w:val="uk-UA"/>
        </w:rPr>
        <w:t>ми побічними реакціями у пацієнтів, які отримували софосбувір та велпатасвір. Функція нирок повинна перевірятися у пацієнтів, які отримують софосбувір.</w:t>
      </w:r>
    </w:p>
    <w:p w14:paraId="269D75AE" w14:textId="77777777" w:rsidR="00BA5C0A" w:rsidRPr="00BA5C0A" w:rsidRDefault="00BA5C0A" w:rsidP="00BA5C0A">
      <w:pPr>
        <w:jc w:val="both"/>
        <w:rPr>
          <w:rFonts w:ascii="Times New Roman" w:hAnsi="Times New Roman" w:cs="Times New Roman"/>
          <w:color w:val="000000" w:themeColor="text1"/>
          <w:lang w:val="uk-UA"/>
        </w:rPr>
      </w:pPr>
    </w:p>
    <w:p w14:paraId="01B85CF8" w14:textId="31B55D52" w:rsidR="00BA5C0A" w:rsidRPr="00BA5C0A" w:rsidRDefault="00BA5C0A" w:rsidP="00BA5C0A">
      <w:pPr>
        <w:jc w:val="both"/>
        <w:rPr>
          <w:rFonts w:ascii="Times New Roman" w:hAnsi="Times New Roman" w:cs="Times New Roman"/>
          <w:color w:val="000000" w:themeColor="text1"/>
          <w:vertAlign w:val="superscript"/>
          <w:lang w:val="uk-UA"/>
        </w:rPr>
      </w:pPr>
      <w:r w:rsidRPr="00BA5C0A">
        <w:rPr>
          <w:rFonts w:ascii="Times New Roman" w:hAnsi="Times New Roman" w:cs="Times New Roman"/>
          <w:color w:val="000000" w:themeColor="text1"/>
          <w:lang w:val="uk-UA"/>
        </w:rPr>
        <w:t xml:space="preserve">Додавання воксілапревіру було пов'язане з </w:t>
      </w:r>
      <w:r w:rsidR="007E6B30">
        <w:rPr>
          <w:rFonts w:ascii="Times New Roman" w:hAnsi="Times New Roman" w:cs="Times New Roman"/>
          <w:color w:val="000000" w:themeColor="text1"/>
          <w:lang w:val="uk-UA"/>
        </w:rPr>
        <w:t>частішими випадками</w:t>
      </w:r>
      <w:r w:rsidRPr="00BA5C0A">
        <w:rPr>
          <w:rFonts w:ascii="Times New Roman" w:hAnsi="Times New Roman" w:cs="Times New Roman"/>
          <w:color w:val="000000" w:themeColor="text1"/>
          <w:lang w:val="uk-UA"/>
        </w:rPr>
        <w:t xml:space="preserve"> діаре</w:t>
      </w:r>
      <w:r w:rsidR="007E6B30">
        <w:rPr>
          <w:rFonts w:ascii="Times New Roman" w:hAnsi="Times New Roman" w:cs="Times New Roman"/>
          <w:color w:val="000000" w:themeColor="text1"/>
          <w:lang w:val="uk-UA"/>
        </w:rPr>
        <w:t>ї</w:t>
      </w:r>
      <w:r w:rsidRPr="00BA5C0A">
        <w:rPr>
          <w:rFonts w:ascii="Times New Roman" w:hAnsi="Times New Roman" w:cs="Times New Roman"/>
          <w:color w:val="000000" w:themeColor="text1"/>
          <w:lang w:val="uk-UA"/>
        </w:rPr>
        <w:t xml:space="preserve"> (18% і 15% у пацієнтів, які отримували потрійну комбінацію, та 7% і 5% серед тих, хто отримував тільки софосбувір і велпатасвір </w:t>
      </w:r>
      <w:r w:rsidR="00D628F0">
        <w:rPr>
          <w:rFonts w:ascii="Times New Roman" w:hAnsi="Times New Roman" w:cs="Times New Roman"/>
          <w:color w:val="000000" w:themeColor="text1"/>
          <w:lang w:val="uk-UA"/>
        </w:rPr>
        <w:t>у</w:t>
      </w:r>
      <w:r w:rsidRPr="00BA5C0A">
        <w:rPr>
          <w:rFonts w:ascii="Times New Roman" w:hAnsi="Times New Roman" w:cs="Times New Roman"/>
          <w:color w:val="000000" w:themeColor="text1"/>
          <w:lang w:val="uk-UA"/>
        </w:rPr>
        <w:t xml:space="preserve"> дослідженнях POLARIS</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2 та POLARIS</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3, відповідно).</w:t>
      </w:r>
      <w:r w:rsidRPr="00BA5C0A">
        <w:rPr>
          <w:rFonts w:ascii="Times New Roman" w:hAnsi="Times New Roman" w:cs="Times New Roman"/>
          <w:color w:val="000000" w:themeColor="text1"/>
          <w:vertAlign w:val="superscript"/>
          <w:lang w:val="uk-UA"/>
        </w:rPr>
        <w:t>71</w:t>
      </w:r>
    </w:p>
    <w:p w14:paraId="18D357E2" w14:textId="77777777" w:rsidR="00BA5C0A" w:rsidRPr="00BA5C0A" w:rsidRDefault="00BA5C0A" w:rsidP="00BA5C0A">
      <w:pPr>
        <w:jc w:val="both"/>
        <w:rPr>
          <w:rFonts w:ascii="Times New Roman" w:hAnsi="Times New Roman" w:cs="Times New Roman"/>
          <w:color w:val="000000" w:themeColor="text1"/>
          <w:lang w:val="uk-UA"/>
        </w:rPr>
      </w:pPr>
    </w:p>
    <w:p w14:paraId="7EDF3F02" w14:textId="77777777" w:rsidR="00BA5C0A" w:rsidRPr="00BA5C0A" w:rsidRDefault="00BA5C0A" w:rsidP="00BA5C0A">
      <w:pPr>
        <w:jc w:val="both"/>
        <w:rPr>
          <w:rFonts w:ascii="Times New Roman" w:hAnsi="Times New Roman" w:cs="Times New Roman"/>
          <w:b/>
          <w:i/>
          <w:color w:val="4472C4" w:themeColor="accent5"/>
          <w:lang w:val="uk-UA"/>
        </w:rPr>
      </w:pPr>
      <w:r w:rsidRPr="00BA5C0A">
        <w:rPr>
          <w:rFonts w:ascii="Times New Roman" w:hAnsi="Times New Roman" w:cs="Times New Roman"/>
          <w:b/>
          <w:i/>
          <w:color w:val="4472C4" w:themeColor="accent5"/>
          <w:lang w:val="uk-UA"/>
        </w:rPr>
        <w:t>Глекапреввир і пібрентасвір</w:t>
      </w:r>
    </w:p>
    <w:p w14:paraId="558132A0" w14:textId="77777777" w:rsidR="00BA5C0A" w:rsidRPr="00BA5C0A" w:rsidRDefault="00BA5C0A" w:rsidP="00BA5C0A">
      <w:pPr>
        <w:jc w:val="both"/>
        <w:rPr>
          <w:rFonts w:ascii="Times New Roman" w:hAnsi="Times New Roman" w:cs="Times New Roman"/>
          <w:color w:val="000000" w:themeColor="text1"/>
          <w:lang w:val="uk-UA"/>
        </w:rPr>
      </w:pPr>
    </w:p>
    <w:p w14:paraId="58800A8D" w14:textId="77777777" w:rsidR="00BA5C0A" w:rsidRPr="00BA5C0A" w:rsidRDefault="00BA5C0A" w:rsidP="00BA5C0A">
      <w:pPr>
        <w:jc w:val="both"/>
        <w:rPr>
          <w:rFonts w:ascii="Times New Roman" w:hAnsi="Times New Roman" w:cs="Times New Roman"/>
          <w:color w:val="000000" w:themeColor="text1"/>
          <w:vertAlign w:val="superscript"/>
          <w:lang w:val="uk-UA"/>
        </w:rPr>
      </w:pPr>
      <w:r w:rsidRPr="00BA5C0A">
        <w:rPr>
          <w:rFonts w:ascii="Times New Roman" w:hAnsi="Times New Roman" w:cs="Times New Roman"/>
          <w:color w:val="000000" w:themeColor="text1"/>
          <w:lang w:val="uk-UA"/>
        </w:rPr>
        <w:lastRenderedPageBreak/>
        <w:t>Частка пацієнтів, які повністю припинили лікування через побічні реакції, становила &lt;0,5% серед пацієнтів, які отримували глікапревір та пібрентасвір протягом 8 або 12 тижнів.</w:t>
      </w:r>
      <w:r w:rsidRPr="00BA5C0A">
        <w:rPr>
          <w:rFonts w:ascii="Times New Roman" w:hAnsi="Times New Roman" w:cs="Times New Roman"/>
          <w:color w:val="000000" w:themeColor="text1"/>
          <w:vertAlign w:val="superscript"/>
          <w:lang w:val="uk-UA"/>
        </w:rPr>
        <w:t>278</w:t>
      </w:r>
    </w:p>
    <w:p w14:paraId="4321A8AD" w14:textId="3942C352" w:rsidR="00BA5C0A" w:rsidRPr="00BA5C0A" w:rsidRDefault="00D628F0" w:rsidP="00BA5C0A">
      <w:pPr>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В</w:t>
      </w:r>
      <w:r w:rsidR="00BA5C0A" w:rsidRPr="00BA5C0A">
        <w:rPr>
          <w:rFonts w:ascii="Times New Roman" w:hAnsi="Times New Roman" w:cs="Times New Roman"/>
          <w:color w:val="000000" w:themeColor="text1"/>
          <w:lang w:val="uk-UA"/>
        </w:rPr>
        <w:t xml:space="preserve"> інтегрованому аналізі 2,265 пацієнтів, які отримували комбінацію глікапревіру та пібрентасвіру в клінічних випробуваннях II та III фази, найчастішими побічними реакціями були втома та головний біль.</w:t>
      </w:r>
    </w:p>
    <w:p w14:paraId="7D50CC6F" w14:textId="77777777" w:rsidR="00BA5C0A" w:rsidRPr="00BA5C0A" w:rsidRDefault="00BA5C0A" w:rsidP="00BA5C0A">
      <w:pPr>
        <w:jc w:val="both"/>
        <w:rPr>
          <w:rFonts w:ascii="Times New Roman" w:hAnsi="Times New Roman" w:cs="Times New Roman"/>
          <w:color w:val="000000" w:themeColor="text1"/>
          <w:lang w:val="uk-UA"/>
        </w:rPr>
      </w:pPr>
    </w:p>
    <w:p w14:paraId="1FBFCB7E" w14:textId="77777777" w:rsidR="00BA5C0A" w:rsidRPr="00FE0578" w:rsidRDefault="00BA5C0A" w:rsidP="00BA5C0A">
      <w:pPr>
        <w:jc w:val="both"/>
        <w:rPr>
          <w:rFonts w:ascii="Times New Roman" w:hAnsi="Times New Roman" w:cs="Times New Roman"/>
          <w:b/>
          <w:i/>
          <w:color w:val="4472C4" w:themeColor="accent5"/>
          <w:lang w:val="uk-UA"/>
        </w:rPr>
      </w:pPr>
      <w:r w:rsidRPr="00FE0578">
        <w:rPr>
          <w:rFonts w:ascii="Times New Roman" w:hAnsi="Times New Roman" w:cs="Times New Roman"/>
          <w:b/>
          <w:i/>
          <w:color w:val="4472C4" w:themeColor="accent5"/>
          <w:lang w:val="uk-UA"/>
        </w:rPr>
        <w:t>Софосбувір і ледіпасвір</w:t>
      </w:r>
    </w:p>
    <w:p w14:paraId="1BEE5C58" w14:textId="77777777" w:rsidR="00BA5C0A" w:rsidRPr="00BA5C0A" w:rsidRDefault="00BA5C0A" w:rsidP="00BA5C0A">
      <w:pPr>
        <w:jc w:val="both"/>
        <w:rPr>
          <w:rFonts w:ascii="Times New Roman" w:hAnsi="Times New Roman" w:cs="Times New Roman"/>
          <w:color w:val="000000" w:themeColor="text1"/>
          <w:lang w:val="uk-UA"/>
        </w:rPr>
      </w:pPr>
    </w:p>
    <w:p w14:paraId="22595EF5" w14:textId="53EBC752"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Частка пацієнтів, які повністю припинили лікування через побічні реакції під час лікування, становили 0%, &lt;1% та 1% серед пацієнтів, які отримували софосбувір та ледіпасвір на 8, 12 та 24 тижні, відповідно. У клінічних дослідженнях втома та головний біль були більш поширені у пацієнтів, які отримували софосбувір та ледіпасвір</w:t>
      </w:r>
      <w:r w:rsidR="00D628F0">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 порівн</w:t>
      </w:r>
      <w:r w:rsidR="00D628F0">
        <w:rPr>
          <w:rFonts w:ascii="Times New Roman" w:hAnsi="Times New Roman" w:cs="Times New Roman"/>
          <w:color w:val="000000" w:themeColor="text1"/>
          <w:lang w:val="uk-UA"/>
        </w:rPr>
        <w:t>юючи з</w:t>
      </w:r>
      <w:r w:rsidRPr="00BA5C0A">
        <w:rPr>
          <w:rFonts w:ascii="Times New Roman" w:hAnsi="Times New Roman" w:cs="Times New Roman"/>
          <w:color w:val="000000" w:themeColor="text1"/>
          <w:lang w:val="uk-UA"/>
        </w:rPr>
        <w:t xml:space="preserve"> плацебо. Перед прийомом софосбувіру повинна бути перевірена функція нирок. У пацієнтів, які отримували схеми, на основі софосбувіру, було зареєстровано декілька випадків важкої легеневої артеріальної гіпертензії, але причинно</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наслідковий зв'язок не було встановлено.</w:t>
      </w:r>
    </w:p>
    <w:p w14:paraId="599C9F50" w14:textId="77777777" w:rsidR="00BA5C0A" w:rsidRPr="00BA5C0A" w:rsidRDefault="00BA5C0A" w:rsidP="00BA5C0A">
      <w:pPr>
        <w:jc w:val="both"/>
        <w:rPr>
          <w:rFonts w:ascii="Times New Roman" w:hAnsi="Times New Roman" w:cs="Times New Roman"/>
          <w:color w:val="000000" w:themeColor="text1"/>
          <w:lang w:val="uk-UA"/>
        </w:rPr>
      </w:pPr>
    </w:p>
    <w:p w14:paraId="6898B6BF" w14:textId="77777777" w:rsidR="00BA5C0A" w:rsidRPr="00FE0578" w:rsidRDefault="00BA5C0A" w:rsidP="00BA5C0A">
      <w:pPr>
        <w:jc w:val="both"/>
        <w:rPr>
          <w:rFonts w:ascii="Times New Roman" w:hAnsi="Times New Roman" w:cs="Times New Roman"/>
          <w:b/>
          <w:i/>
          <w:color w:val="4472C4" w:themeColor="accent5"/>
          <w:lang w:val="uk-UA"/>
        </w:rPr>
      </w:pPr>
      <w:r w:rsidRPr="00FE0578">
        <w:rPr>
          <w:rFonts w:ascii="Times New Roman" w:hAnsi="Times New Roman" w:cs="Times New Roman"/>
          <w:b/>
          <w:i/>
          <w:color w:val="4472C4" w:themeColor="accent5"/>
          <w:lang w:val="uk-UA"/>
        </w:rPr>
        <w:t>Гразопревір та ельбасвір</w:t>
      </w:r>
    </w:p>
    <w:p w14:paraId="45A7B2CD" w14:textId="77777777" w:rsidR="00BA5C0A" w:rsidRPr="00BA5C0A" w:rsidRDefault="00BA5C0A" w:rsidP="00BA5C0A">
      <w:pPr>
        <w:jc w:val="both"/>
        <w:rPr>
          <w:rFonts w:ascii="Times New Roman" w:hAnsi="Times New Roman" w:cs="Times New Roman"/>
          <w:color w:val="000000" w:themeColor="text1"/>
          <w:lang w:val="uk-UA"/>
        </w:rPr>
      </w:pPr>
    </w:p>
    <w:p w14:paraId="4D832E26" w14:textId="2C2267A8"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Серйозні побічні реакції спостерігались у 2,4% пацієнтів, які отримували гразопревір та ельбасвір. Вони призвели до переривань лікування в 0,1% випадків. Найчастішими побічними реакціями були втома, головний біль та нудота, </w:t>
      </w:r>
      <w:r w:rsidR="00D628F0">
        <w:rPr>
          <w:rFonts w:ascii="Times New Roman" w:hAnsi="Times New Roman" w:cs="Times New Roman"/>
          <w:color w:val="000000" w:themeColor="text1"/>
          <w:lang w:val="uk-UA"/>
        </w:rPr>
        <w:t xml:space="preserve">але які фіксувалися </w:t>
      </w:r>
      <w:r w:rsidRPr="00BA5C0A">
        <w:rPr>
          <w:rFonts w:ascii="Times New Roman" w:hAnsi="Times New Roman" w:cs="Times New Roman"/>
          <w:color w:val="000000" w:themeColor="text1"/>
          <w:lang w:val="uk-UA"/>
        </w:rPr>
        <w:t>не частіше, ніж у групах плацебо. Під час ІІ та ІІІ фаз, у 0,8% (13/1690) пацієнтів спостерігалося безсимптомне підвищення рівня АЛТ до</w:t>
      </w:r>
      <w:r w:rsidR="00334506">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&gt;5</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кратної верхньої межі норми, в середньому через 10 тижнів після початку лікування. Три пацієнти (0,18%) припинили лікування через підвищення АЛТ. </w:t>
      </w:r>
    </w:p>
    <w:p w14:paraId="3C8E532D" w14:textId="3EEF5E17" w:rsidR="00BA5C0A" w:rsidRDefault="00BA5C0A" w:rsidP="00BA5C0A">
      <w:pPr>
        <w:jc w:val="both"/>
        <w:rPr>
          <w:rFonts w:ascii="Times New Roman" w:hAnsi="Times New Roman" w:cs="Times New Roman"/>
          <w:color w:val="000000" w:themeColor="text1"/>
          <w:lang w:val="uk-UA"/>
        </w:rPr>
      </w:pPr>
    </w:p>
    <w:p w14:paraId="7FF96BD2" w14:textId="77777777" w:rsidR="00D628F0" w:rsidRPr="00BA5C0A" w:rsidRDefault="00D628F0" w:rsidP="00BA5C0A">
      <w:pPr>
        <w:jc w:val="both"/>
        <w:rPr>
          <w:rFonts w:ascii="Times New Roman" w:hAnsi="Times New Roman" w:cs="Times New Roman"/>
          <w:color w:val="000000" w:themeColor="text1"/>
          <w:lang w:val="uk-UA"/>
        </w:rPr>
      </w:pPr>
    </w:p>
    <w:p w14:paraId="6774B2D6" w14:textId="6B7F21C3" w:rsidR="00BA5C0A" w:rsidRDefault="006326A5" w:rsidP="00BA5C0A">
      <w:pPr>
        <w:jc w:val="both"/>
        <w:rPr>
          <w:rFonts w:ascii="Times New Roman" w:hAnsi="Times New Roman" w:cs="Times New Roman"/>
          <w:b/>
          <w:i/>
          <w:color w:val="4472C4" w:themeColor="accent5"/>
          <w:lang w:val="uk-UA"/>
        </w:rPr>
      </w:pPr>
      <w:r>
        <w:rPr>
          <w:rFonts w:ascii="Times New Roman" w:hAnsi="Times New Roman" w:cs="Times New Roman"/>
          <w:b/>
          <w:i/>
          <w:color w:val="4472C4" w:themeColor="accent5"/>
          <w:lang w:val="uk-UA"/>
        </w:rPr>
        <w:t>О</w:t>
      </w:r>
      <w:r w:rsidRPr="006326A5">
        <w:rPr>
          <w:rFonts w:ascii="Times New Roman" w:hAnsi="Times New Roman" w:cs="Times New Roman"/>
          <w:b/>
          <w:i/>
          <w:color w:val="4472C4" w:themeColor="accent5"/>
          <w:lang w:val="uk-UA"/>
        </w:rPr>
        <w:t>мбітасвір, паритапревір, ритонавір та дасабувір</w:t>
      </w:r>
    </w:p>
    <w:p w14:paraId="34A3EDD5" w14:textId="77777777" w:rsidR="006326A5" w:rsidRPr="00BA5C0A" w:rsidRDefault="006326A5" w:rsidP="00BA5C0A">
      <w:pPr>
        <w:jc w:val="both"/>
        <w:rPr>
          <w:rFonts w:ascii="Times New Roman" w:hAnsi="Times New Roman" w:cs="Times New Roman"/>
          <w:color w:val="000000" w:themeColor="text1"/>
          <w:lang w:val="uk-UA"/>
        </w:rPr>
      </w:pPr>
    </w:p>
    <w:p w14:paraId="02FDBB46" w14:textId="3E2247B4"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На основі інтегрованого аналізу безпеки</w:t>
      </w:r>
      <w:r w:rsidR="00D628F0">
        <w:rPr>
          <w:rFonts w:ascii="Times New Roman" w:hAnsi="Times New Roman" w:cs="Times New Roman"/>
          <w:color w:val="000000" w:themeColor="text1"/>
          <w:lang w:val="uk-UA"/>
        </w:rPr>
        <w:t xml:space="preserve"> лікарських засобів</w:t>
      </w:r>
      <w:r w:rsidRPr="00BA5C0A">
        <w:rPr>
          <w:rFonts w:ascii="Times New Roman" w:hAnsi="Times New Roman" w:cs="Times New Roman"/>
          <w:color w:val="000000" w:themeColor="text1"/>
          <w:lang w:val="uk-UA"/>
        </w:rPr>
        <w:t xml:space="preserve">, </w:t>
      </w:r>
      <w:r w:rsidR="00D628F0">
        <w:rPr>
          <w:rFonts w:ascii="Times New Roman" w:hAnsi="Times New Roman" w:cs="Times New Roman"/>
          <w:color w:val="000000" w:themeColor="text1"/>
          <w:lang w:val="uk-UA"/>
        </w:rPr>
        <w:t>виявлено, що свербіж</w:t>
      </w:r>
      <w:r w:rsidRPr="00BA5C0A">
        <w:rPr>
          <w:rFonts w:ascii="Times New Roman" w:hAnsi="Times New Roman" w:cs="Times New Roman"/>
          <w:color w:val="000000" w:themeColor="text1"/>
          <w:lang w:val="uk-UA"/>
        </w:rPr>
        <w:t>, втома, нудота, астенія та безсоння були найпоширен</w:t>
      </w:r>
      <w:r w:rsidR="00D628F0">
        <w:rPr>
          <w:rFonts w:ascii="Times New Roman" w:hAnsi="Times New Roman" w:cs="Times New Roman"/>
          <w:color w:val="000000" w:themeColor="text1"/>
          <w:lang w:val="uk-UA"/>
        </w:rPr>
        <w:t>іши</w:t>
      </w:r>
      <w:r w:rsidRPr="00BA5C0A">
        <w:rPr>
          <w:rFonts w:ascii="Times New Roman" w:hAnsi="Times New Roman" w:cs="Times New Roman"/>
          <w:color w:val="000000" w:themeColor="text1"/>
          <w:lang w:val="uk-UA"/>
        </w:rPr>
        <w:t xml:space="preserve">ми </w:t>
      </w:r>
      <w:r w:rsidR="00D628F0">
        <w:rPr>
          <w:rFonts w:ascii="Times New Roman" w:hAnsi="Times New Roman" w:cs="Times New Roman"/>
          <w:color w:val="000000" w:themeColor="text1"/>
          <w:lang w:val="uk-UA"/>
        </w:rPr>
        <w:t>побічними реакціями</w:t>
      </w:r>
      <w:r w:rsidRPr="00BA5C0A">
        <w:rPr>
          <w:rFonts w:ascii="Times New Roman" w:hAnsi="Times New Roman" w:cs="Times New Roman"/>
          <w:color w:val="000000" w:themeColor="text1"/>
          <w:lang w:val="uk-UA"/>
        </w:rPr>
        <w:t xml:space="preserve">, що зустрічалися в клінічних випробуваннях з цією комбінацією. Однак частіші побічні </w:t>
      </w:r>
      <w:r w:rsidR="00D628F0">
        <w:rPr>
          <w:rFonts w:ascii="Times New Roman" w:hAnsi="Times New Roman" w:cs="Times New Roman"/>
          <w:color w:val="000000" w:themeColor="text1"/>
          <w:lang w:val="uk-UA"/>
        </w:rPr>
        <w:t>реакції</w:t>
      </w:r>
      <w:r w:rsidRPr="00BA5C0A">
        <w:rPr>
          <w:rFonts w:ascii="Times New Roman" w:hAnsi="Times New Roman" w:cs="Times New Roman"/>
          <w:color w:val="000000" w:themeColor="text1"/>
          <w:lang w:val="uk-UA"/>
        </w:rPr>
        <w:t xml:space="preserve"> були пов'язані з рибавірином, який застосовувався у всіх пацієнтів, інфікованих генотипом 1а, та у деяких пацієнтів, інфікованих генотипом 1b. </w:t>
      </w:r>
      <w:r w:rsidR="00D628F0">
        <w:rPr>
          <w:rFonts w:ascii="Times New Roman" w:hAnsi="Times New Roman" w:cs="Times New Roman"/>
          <w:color w:val="000000" w:themeColor="text1"/>
          <w:lang w:val="uk-UA"/>
        </w:rPr>
        <w:t>Свербіж</w:t>
      </w:r>
      <w:r w:rsidRPr="00BA5C0A">
        <w:rPr>
          <w:rFonts w:ascii="Times New Roman" w:hAnsi="Times New Roman" w:cs="Times New Roman"/>
          <w:color w:val="000000" w:themeColor="text1"/>
          <w:lang w:val="uk-UA"/>
        </w:rPr>
        <w:t xml:space="preserve"> асоціювався з потрійним режимом ПППД. Важкі побічні реакції спостерігалися у &lt;2,5% випадків. Припинення лікування через побічні реакції відбулося в 1</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2% хворих.</w:t>
      </w:r>
    </w:p>
    <w:p w14:paraId="5B0625C0" w14:textId="77777777" w:rsidR="00BA5C0A" w:rsidRPr="00BA5C0A" w:rsidRDefault="00BA5C0A" w:rsidP="00BA5C0A">
      <w:pPr>
        <w:jc w:val="both"/>
        <w:rPr>
          <w:rFonts w:ascii="Times New Roman" w:hAnsi="Times New Roman" w:cs="Times New Roman"/>
          <w:color w:val="000000" w:themeColor="text1"/>
          <w:lang w:val="uk-UA"/>
        </w:rPr>
      </w:pPr>
    </w:p>
    <w:p w14:paraId="15E30EDF" w14:textId="23199962"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Безсимптомне підвищення рівня АЛТ, як правило, відбулося протягом перших 4 тижнів лікування, але все обійшлося без втручання та на фоні безперервного лікування ПППД, і жоден </w:t>
      </w:r>
      <w:r w:rsidR="00D628F0">
        <w:rPr>
          <w:rFonts w:ascii="Times New Roman" w:hAnsi="Times New Roman" w:cs="Times New Roman"/>
          <w:color w:val="000000" w:themeColor="text1"/>
          <w:lang w:val="uk-UA"/>
        </w:rPr>
        <w:t>і</w:t>
      </w:r>
      <w:r w:rsidRPr="00BA5C0A">
        <w:rPr>
          <w:rFonts w:ascii="Times New Roman" w:hAnsi="Times New Roman" w:cs="Times New Roman"/>
          <w:color w:val="000000" w:themeColor="text1"/>
          <w:lang w:val="uk-UA"/>
        </w:rPr>
        <w:t xml:space="preserve">з цих випадків не був пов’язаний з підвищенням білірубіну. Тимчасове підвищення непрямого білірубіну в сироватці крові спостерігалося у пацієнтів з і без рибавірину, і було пов'язано з інгібуванням транспортерів білірубіну OATP1B1 і OATP1B3 </w:t>
      </w:r>
      <w:r w:rsidR="00E76D74">
        <w:rPr>
          <w:rFonts w:ascii="Times New Roman" w:hAnsi="Times New Roman" w:cs="Times New Roman"/>
          <w:color w:val="000000" w:themeColor="text1"/>
          <w:lang w:val="uk-UA"/>
        </w:rPr>
        <w:t>паритапревір</w:t>
      </w:r>
      <w:r w:rsidRPr="00BA5C0A">
        <w:rPr>
          <w:rFonts w:ascii="Times New Roman" w:hAnsi="Times New Roman" w:cs="Times New Roman"/>
          <w:color w:val="000000" w:themeColor="text1"/>
          <w:lang w:val="uk-UA"/>
        </w:rPr>
        <w:t>ом та асоційованим з ним гемолізом. Більш висока частота збільшення загального білірубіну спостерігалося у пацієнтів з цирозом печінки. Використання препаратів, що містять естроген, було пов'язано з більшим ризиком підвищення рівня АЛТ.</w:t>
      </w:r>
    </w:p>
    <w:p w14:paraId="42BE3C81" w14:textId="77777777" w:rsidR="00BA5C0A" w:rsidRPr="00BA5C0A" w:rsidRDefault="00BA5C0A" w:rsidP="00BA5C0A">
      <w:pPr>
        <w:jc w:val="both"/>
        <w:rPr>
          <w:rFonts w:ascii="Times New Roman" w:hAnsi="Times New Roman" w:cs="Times New Roman"/>
          <w:color w:val="000000" w:themeColor="text1"/>
          <w:lang w:val="uk-UA"/>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BA5C0A" w:rsidRPr="00652F9A" w14:paraId="28CD354E" w14:textId="77777777" w:rsidTr="00544369">
        <w:trPr>
          <w:trHeight w:val="544"/>
        </w:trPr>
        <w:tc>
          <w:tcPr>
            <w:tcW w:w="9607" w:type="dxa"/>
            <w:shd w:val="clear" w:color="auto" w:fill="BDD6EE" w:themeFill="accent1" w:themeFillTint="66"/>
          </w:tcPr>
          <w:p w14:paraId="1724033F" w14:textId="21050479" w:rsidR="00BA5C0A" w:rsidRDefault="00BA5C0A" w:rsidP="00BA5C0A">
            <w:pPr>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Рекомендації</w:t>
            </w:r>
          </w:p>
          <w:p w14:paraId="58896CCC" w14:textId="77777777" w:rsidR="00FE0578" w:rsidRPr="00BA5C0A" w:rsidRDefault="00FE0578" w:rsidP="00BA5C0A">
            <w:pPr>
              <w:jc w:val="both"/>
              <w:rPr>
                <w:rFonts w:ascii="Times New Roman" w:hAnsi="Times New Roman" w:cs="Times New Roman"/>
                <w:b/>
                <w:color w:val="4472C4" w:themeColor="accent5"/>
                <w:lang w:val="uk-UA"/>
              </w:rPr>
            </w:pPr>
          </w:p>
          <w:p w14:paraId="5B9D4E51" w14:textId="07B1CE27" w:rsidR="00BA5C0A" w:rsidRPr="00BA5C0A" w:rsidRDefault="00BA5C0A" w:rsidP="00015E3B">
            <w:pPr>
              <w:numPr>
                <w:ilvl w:val="0"/>
                <w:numId w:val="54"/>
              </w:numPr>
              <w:contextualSpacing/>
              <w:jc w:val="both"/>
              <w:rPr>
                <w:rFonts w:ascii="Times New Roman" w:hAnsi="Times New Roman" w:cs="Times New Roman"/>
                <w:lang w:val="uk-UA"/>
              </w:rPr>
            </w:pPr>
            <w:r w:rsidRPr="00BA5C0A">
              <w:rPr>
                <w:rFonts w:ascii="Times New Roman" w:hAnsi="Times New Roman" w:cs="Times New Roman"/>
                <w:lang w:val="uk-UA"/>
              </w:rPr>
              <w:t xml:space="preserve">Пацієнти, які отримують ПППД, повинні оцінюватися </w:t>
            </w:r>
            <w:r w:rsidR="0032023C">
              <w:rPr>
                <w:rFonts w:ascii="Times New Roman" w:hAnsi="Times New Roman" w:cs="Times New Roman"/>
                <w:lang w:val="uk-UA"/>
              </w:rPr>
              <w:t>щодо</w:t>
            </w:r>
            <w:r w:rsidRPr="00BA5C0A">
              <w:rPr>
                <w:rFonts w:ascii="Times New Roman" w:hAnsi="Times New Roman" w:cs="Times New Roman"/>
                <w:lang w:val="uk-UA"/>
              </w:rPr>
              <w:t xml:space="preserve"> побічних </w:t>
            </w:r>
            <w:r w:rsidR="0032023C">
              <w:rPr>
                <w:rFonts w:ascii="Times New Roman" w:hAnsi="Times New Roman" w:cs="Times New Roman"/>
                <w:lang w:val="uk-UA"/>
              </w:rPr>
              <w:t>реакцій</w:t>
            </w:r>
            <w:r w:rsidRPr="00BA5C0A">
              <w:rPr>
                <w:rFonts w:ascii="Times New Roman" w:hAnsi="Times New Roman" w:cs="Times New Roman"/>
                <w:lang w:val="uk-UA"/>
              </w:rPr>
              <w:t xml:space="preserve"> при кожному візиті до лікаря (А1).</w:t>
            </w:r>
          </w:p>
          <w:p w14:paraId="3CD26FBD" w14:textId="341C8D9D" w:rsidR="00BA5C0A" w:rsidRPr="00BA5C0A" w:rsidRDefault="00BA5C0A" w:rsidP="00015E3B">
            <w:pPr>
              <w:numPr>
                <w:ilvl w:val="0"/>
                <w:numId w:val="54"/>
              </w:numPr>
              <w:contextualSpacing/>
              <w:jc w:val="both"/>
              <w:rPr>
                <w:rFonts w:ascii="Times New Roman" w:hAnsi="Times New Roman" w:cs="Times New Roman"/>
                <w:lang w:val="uk-UA"/>
              </w:rPr>
            </w:pPr>
            <w:r w:rsidRPr="00BA5C0A">
              <w:rPr>
                <w:rFonts w:ascii="Times New Roman" w:hAnsi="Times New Roman" w:cs="Times New Roman"/>
                <w:lang w:val="uk-UA"/>
              </w:rPr>
              <w:lastRenderedPageBreak/>
              <w:t>Рів</w:t>
            </w:r>
            <w:r w:rsidR="00334506">
              <w:rPr>
                <w:rFonts w:ascii="Times New Roman" w:hAnsi="Times New Roman" w:cs="Times New Roman"/>
                <w:lang w:val="uk-UA"/>
              </w:rPr>
              <w:t>ень</w:t>
            </w:r>
            <w:r w:rsidRPr="00BA5C0A">
              <w:rPr>
                <w:rFonts w:ascii="Times New Roman" w:hAnsi="Times New Roman" w:cs="Times New Roman"/>
                <w:lang w:val="uk-UA"/>
              </w:rPr>
              <w:t xml:space="preserve"> A</w:t>
            </w:r>
            <w:r w:rsidR="00FE0578">
              <w:rPr>
                <w:rFonts w:ascii="Times New Roman" w:hAnsi="Times New Roman" w:cs="Times New Roman"/>
                <w:lang w:val="uk-UA"/>
              </w:rPr>
              <w:t>Л</w:t>
            </w:r>
            <w:r w:rsidRPr="00BA5C0A">
              <w:rPr>
                <w:rFonts w:ascii="Times New Roman" w:hAnsi="Times New Roman" w:cs="Times New Roman"/>
                <w:lang w:val="uk-UA"/>
              </w:rPr>
              <w:t>T повин</w:t>
            </w:r>
            <w:r w:rsidR="00334506">
              <w:rPr>
                <w:rFonts w:ascii="Times New Roman" w:hAnsi="Times New Roman" w:cs="Times New Roman"/>
                <w:lang w:val="uk-UA"/>
              </w:rPr>
              <w:t>ен</w:t>
            </w:r>
            <w:r w:rsidRPr="00BA5C0A">
              <w:rPr>
                <w:rFonts w:ascii="Times New Roman" w:hAnsi="Times New Roman" w:cs="Times New Roman"/>
                <w:lang w:val="uk-UA"/>
              </w:rPr>
              <w:t xml:space="preserve"> оцінюватися принаймні на початку</w:t>
            </w:r>
            <w:r w:rsidR="00D628F0">
              <w:rPr>
                <w:rFonts w:ascii="Times New Roman" w:hAnsi="Times New Roman" w:cs="Times New Roman"/>
                <w:lang w:val="uk-UA"/>
              </w:rPr>
              <w:t xml:space="preserve"> лікування</w:t>
            </w:r>
            <w:r w:rsidRPr="00BA5C0A">
              <w:rPr>
                <w:rFonts w:ascii="Times New Roman" w:hAnsi="Times New Roman" w:cs="Times New Roman"/>
                <w:lang w:val="uk-UA"/>
              </w:rPr>
              <w:t xml:space="preserve"> та через 12 або 24 тижні після лікування, а також у випадку виявлення симптомів</w:t>
            </w:r>
            <w:r w:rsidR="00FE0578">
              <w:rPr>
                <w:rFonts w:ascii="Times New Roman" w:hAnsi="Times New Roman" w:cs="Times New Roman"/>
                <w:lang w:val="uk-UA"/>
              </w:rPr>
              <w:t>, що вказують на їх підвищення</w:t>
            </w:r>
            <w:r w:rsidRPr="00BA5C0A">
              <w:rPr>
                <w:rFonts w:ascii="Times New Roman" w:hAnsi="Times New Roman" w:cs="Times New Roman"/>
                <w:lang w:val="uk-UA"/>
              </w:rPr>
              <w:t xml:space="preserve"> (В1). </w:t>
            </w:r>
          </w:p>
          <w:p w14:paraId="7015783B" w14:textId="7D62AF41" w:rsidR="00BA5C0A" w:rsidRPr="00BA5C0A" w:rsidRDefault="00BA5C0A" w:rsidP="00015E3B">
            <w:pPr>
              <w:numPr>
                <w:ilvl w:val="0"/>
                <w:numId w:val="54"/>
              </w:numPr>
              <w:contextualSpacing/>
              <w:jc w:val="both"/>
              <w:rPr>
                <w:rFonts w:ascii="Times New Roman" w:hAnsi="Times New Roman" w:cs="Times New Roman"/>
                <w:lang w:val="uk-UA"/>
              </w:rPr>
            </w:pPr>
            <w:r w:rsidRPr="00BA5C0A">
              <w:rPr>
                <w:rFonts w:ascii="Times New Roman" w:hAnsi="Times New Roman" w:cs="Times New Roman"/>
                <w:lang w:val="uk-UA"/>
              </w:rPr>
              <w:t xml:space="preserve">Моніторинг збільшення непрямого білірубіну слід проводити у пацієнтів, які отримують комбінацію </w:t>
            </w:r>
            <w:r w:rsidR="006326A5" w:rsidRPr="006326A5">
              <w:rPr>
                <w:rFonts w:ascii="Times New Roman" w:hAnsi="Times New Roman" w:cs="Times New Roman"/>
                <w:lang w:val="uk-UA"/>
              </w:rPr>
              <w:t xml:space="preserve">омбітасвіру, паритапревіру, ритонавіру та дасабувіру </w:t>
            </w:r>
            <w:r w:rsidRPr="00BA5C0A">
              <w:rPr>
                <w:rFonts w:ascii="Times New Roman" w:hAnsi="Times New Roman" w:cs="Times New Roman"/>
                <w:lang w:val="uk-UA"/>
              </w:rPr>
              <w:t>(А1).</w:t>
            </w:r>
          </w:p>
          <w:p w14:paraId="02B24FB8" w14:textId="3CADB287" w:rsidR="00BA5C0A" w:rsidRPr="00BA5C0A" w:rsidRDefault="00BA5C0A" w:rsidP="00015E3B">
            <w:pPr>
              <w:numPr>
                <w:ilvl w:val="0"/>
                <w:numId w:val="54"/>
              </w:numPr>
              <w:contextualSpacing/>
              <w:jc w:val="both"/>
              <w:rPr>
                <w:rFonts w:ascii="Times New Roman" w:hAnsi="Times New Roman" w:cs="Times New Roman"/>
                <w:lang w:val="uk-UA"/>
              </w:rPr>
            </w:pPr>
            <w:r w:rsidRPr="00BA5C0A">
              <w:rPr>
                <w:rFonts w:ascii="Times New Roman" w:hAnsi="Times New Roman" w:cs="Times New Roman"/>
                <w:lang w:val="uk-UA"/>
              </w:rPr>
              <w:t xml:space="preserve">Функцію нирок необхідно перевіряти щомісяця у пацієнтів зі </w:t>
            </w:r>
            <w:r w:rsidR="00D628F0">
              <w:rPr>
                <w:rFonts w:ascii="Times New Roman" w:hAnsi="Times New Roman" w:cs="Times New Roman"/>
                <w:lang w:val="uk-UA"/>
              </w:rPr>
              <w:t>зниженою</w:t>
            </w:r>
            <w:r w:rsidR="00681632">
              <w:rPr>
                <w:rFonts w:ascii="Times New Roman" w:hAnsi="Times New Roman" w:cs="Times New Roman"/>
                <w:lang w:val="uk-UA"/>
              </w:rPr>
              <w:t xml:space="preserve"> ШКФ</w:t>
            </w:r>
            <w:r w:rsidRPr="00BA5C0A">
              <w:rPr>
                <w:rFonts w:ascii="Times New Roman" w:hAnsi="Times New Roman" w:cs="Times New Roman"/>
                <w:lang w:val="uk-UA"/>
              </w:rPr>
              <w:t>, які отримують софосбувір (А1).</w:t>
            </w:r>
          </w:p>
          <w:p w14:paraId="0DA9090F" w14:textId="592324A9" w:rsidR="00BA5C0A" w:rsidRPr="00BA5C0A" w:rsidRDefault="00BA5C0A" w:rsidP="00015E3B">
            <w:pPr>
              <w:numPr>
                <w:ilvl w:val="0"/>
                <w:numId w:val="54"/>
              </w:numPr>
              <w:contextualSpacing/>
              <w:jc w:val="both"/>
              <w:rPr>
                <w:rFonts w:ascii="Times New Roman" w:hAnsi="Times New Roman" w:cs="Times New Roman"/>
                <w:lang w:val="uk-UA"/>
              </w:rPr>
            </w:pPr>
            <w:r w:rsidRPr="00BA5C0A">
              <w:rPr>
                <w:rFonts w:ascii="Times New Roman" w:hAnsi="Times New Roman" w:cs="Times New Roman"/>
                <w:lang w:val="uk-UA"/>
              </w:rPr>
              <w:t xml:space="preserve">При застосуванні інгібіторів протеази у пацієнтів з важкими порушеннями </w:t>
            </w:r>
            <w:r w:rsidR="00CF0D47">
              <w:rPr>
                <w:rFonts w:ascii="Times New Roman" w:hAnsi="Times New Roman" w:cs="Times New Roman"/>
                <w:lang w:val="uk-UA"/>
              </w:rPr>
              <w:t xml:space="preserve">функції </w:t>
            </w:r>
            <w:r w:rsidRPr="00BA5C0A">
              <w:rPr>
                <w:rFonts w:ascii="Times New Roman" w:hAnsi="Times New Roman" w:cs="Times New Roman"/>
                <w:lang w:val="uk-UA"/>
              </w:rPr>
              <w:t>печінки спостерігал</w:t>
            </w:r>
            <w:r w:rsidR="00CF0D47">
              <w:rPr>
                <w:rFonts w:ascii="Times New Roman" w:hAnsi="Times New Roman" w:cs="Times New Roman"/>
                <w:lang w:val="uk-UA"/>
              </w:rPr>
              <w:t>ася</w:t>
            </w:r>
            <w:r w:rsidRPr="00BA5C0A">
              <w:rPr>
                <w:rFonts w:ascii="Times New Roman" w:hAnsi="Times New Roman" w:cs="Times New Roman"/>
                <w:lang w:val="uk-UA"/>
              </w:rPr>
              <w:t xml:space="preserve"> </w:t>
            </w:r>
            <w:r w:rsidR="00CF0D47">
              <w:rPr>
                <w:rFonts w:ascii="Times New Roman" w:hAnsi="Times New Roman" w:cs="Times New Roman"/>
                <w:lang w:val="uk-UA"/>
              </w:rPr>
              <w:t>в</w:t>
            </w:r>
            <w:r w:rsidR="005325AC">
              <w:rPr>
                <w:rFonts w:ascii="Times New Roman" w:hAnsi="Times New Roman" w:cs="Times New Roman"/>
                <w:lang w:val="uk-UA"/>
              </w:rPr>
              <w:t>иражен</w:t>
            </w:r>
            <w:r w:rsidR="00CF0D47">
              <w:rPr>
                <w:rFonts w:ascii="Times New Roman" w:hAnsi="Times New Roman" w:cs="Times New Roman"/>
                <w:lang w:val="uk-UA"/>
              </w:rPr>
              <w:t>іш</w:t>
            </w:r>
            <w:r w:rsidR="005325AC">
              <w:rPr>
                <w:rFonts w:ascii="Times New Roman" w:hAnsi="Times New Roman" w:cs="Times New Roman"/>
                <w:lang w:val="uk-UA"/>
              </w:rPr>
              <w:t>а взаємодія</w:t>
            </w:r>
            <w:r w:rsidR="00CF0D47">
              <w:rPr>
                <w:rFonts w:ascii="Times New Roman" w:hAnsi="Times New Roman" w:cs="Times New Roman"/>
                <w:lang w:val="uk-UA"/>
              </w:rPr>
              <w:t xml:space="preserve"> препаратів</w:t>
            </w:r>
            <w:r w:rsidR="005325AC">
              <w:rPr>
                <w:rFonts w:ascii="Times New Roman" w:hAnsi="Times New Roman" w:cs="Times New Roman"/>
                <w:lang w:val="uk-UA"/>
              </w:rPr>
              <w:t>. З</w:t>
            </w:r>
            <w:r w:rsidRPr="00BA5C0A">
              <w:rPr>
                <w:rFonts w:ascii="Times New Roman" w:hAnsi="Times New Roman" w:cs="Times New Roman"/>
                <w:lang w:val="uk-UA"/>
              </w:rPr>
              <w:t>астосуванн</w:t>
            </w:r>
            <w:r w:rsidR="007E4C8A">
              <w:rPr>
                <w:rFonts w:ascii="Times New Roman" w:hAnsi="Times New Roman" w:cs="Times New Roman"/>
                <w:lang w:val="uk-UA"/>
              </w:rPr>
              <w:t>я</w:t>
            </w:r>
            <w:r w:rsidRPr="00BA5C0A">
              <w:rPr>
                <w:rFonts w:ascii="Times New Roman" w:hAnsi="Times New Roman" w:cs="Times New Roman"/>
                <w:lang w:val="uk-UA"/>
              </w:rPr>
              <w:t xml:space="preserve"> схем, що містять інгібітори протеази (глекапревір та пібрентасвір; гразопревір та ельбасвір; </w:t>
            </w:r>
            <w:r w:rsidR="006326A5" w:rsidRPr="006326A5">
              <w:rPr>
                <w:rFonts w:ascii="Times New Roman" w:hAnsi="Times New Roman" w:cs="Times New Roman"/>
                <w:lang w:val="uk-UA"/>
              </w:rPr>
              <w:t>комбінаці</w:t>
            </w:r>
            <w:r w:rsidR="006326A5">
              <w:rPr>
                <w:rFonts w:ascii="Times New Roman" w:hAnsi="Times New Roman" w:cs="Times New Roman"/>
                <w:lang w:val="uk-UA"/>
              </w:rPr>
              <w:t>я</w:t>
            </w:r>
            <w:r w:rsidR="006326A5" w:rsidRPr="006326A5">
              <w:rPr>
                <w:rFonts w:ascii="Times New Roman" w:hAnsi="Times New Roman" w:cs="Times New Roman"/>
                <w:lang w:val="uk-UA"/>
              </w:rPr>
              <w:t xml:space="preserve"> омбітасвіру, паритапревіру, ритонавіру та дасабувіру</w:t>
            </w:r>
            <w:r w:rsidRPr="00BA5C0A">
              <w:rPr>
                <w:rFonts w:ascii="Times New Roman" w:hAnsi="Times New Roman" w:cs="Times New Roman"/>
                <w:lang w:val="uk-UA"/>
              </w:rPr>
              <w:t>; софосбувір, велпатасвір та воксілапревір) протипоказані у хворих з декомпенсованим цирозом печінки B та C Child</w:t>
            </w:r>
            <w:r w:rsidR="00FC6D8A">
              <w:rPr>
                <w:rFonts w:ascii="Times New Roman" w:hAnsi="Times New Roman" w:cs="Times New Roman"/>
                <w:lang w:val="uk-UA"/>
              </w:rPr>
              <w:t>–</w:t>
            </w:r>
            <w:r w:rsidRPr="00BA5C0A">
              <w:rPr>
                <w:rFonts w:ascii="Times New Roman" w:hAnsi="Times New Roman" w:cs="Times New Roman"/>
                <w:lang w:val="uk-UA"/>
              </w:rPr>
              <w:t>Pugh (B1)</w:t>
            </w:r>
          </w:p>
        </w:tc>
      </w:tr>
    </w:tbl>
    <w:p w14:paraId="6382CC4C" w14:textId="77777777" w:rsidR="00BA5C0A" w:rsidRPr="00BA5C0A" w:rsidRDefault="00BA5C0A" w:rsidP="00BA5C0A">
      <w:pPr>
        <w:jc w:val="both"/>
        <w:rPr>
          <w:rFonts w:ascii="Times New Roman" w:hAnsi="Times New Roman" w:cs="Times New Roman"/>
          <w:b/>
          <w:color w:val="4472C4" w:themeColor="accent5"/>
          <w:sz w:val="36"/>
          <w:szCs w:val="36"/>
          <w:lang w:val="uk-UA"/>
        </w:rPr>
      </w:pPr>
    </w:p>
    <w:p w14:paraId="2BE46D15" w14:textId="6507BAF0" w:rsidR="00BA5C0A" w:rsidRDefault="00BA5C0A" w:rsidP="00BA5C0A">
      <w:pPr>
        <w:jc w:val="both"/>
        <w:rPr>
          <w:rFonts w:ascii="Times New Roman" w:hAnsi="Times New Roman" w:cs="Times New Roman"/>
          <w:b/>
          <w:color w:val="4472C4" w:themeColor="accent5"/>
          <w:sz w:val="32"/>
          <w:szCs w:val="32"/>
          <w:lang w:val="uk-UA"/>
        </w:rPr>
      </w:pPr>
      <w:r w:rsidRPr="007E4C8A">
        <w:rPr>
          <w:rFonts w:ascii="Times New Roman" w:hAnsi="Times New Roman" w:cs="Times New Roman"/>
          <w:b/>
          <w:color w:val="4472C4" w:themeColor="accent5"/>
          <w:sz w:val="32"/>
          <w:szCs w:val="32"/>
          <w:lang w:val="uk-UA"/>
        </w:rPr>
        <w:t>Моніторинг лікарської взаємодії</w:t>
      </w:r>
    </w:p>
    <w:p w14:paraId="749B80C5" w14:textId="77777777" w:rsidR="007E4C8A" w:rsidRPr="007E4C8A" w:rsidRDefault="007E4C8A" w:rsidP="00BA5C0A">
      <w:pPr>
        <w:jc w:val="both"/>
        <w:rPr>
          <w:rFonts w:ascii="Times New Roman" w:hAnsi="Times New Roman" w:cs="Times New Roman"/>
          <w:b/>
          <w:color w:val="4472C4" w:themeColor="accent5"/>
          <w:sz w:val="32"/>
          <w:szCs w:val="32"/>
          <w:lang w:val="uk-UA"/>
        </w:rPr>
      </w:pPr>
    </w:p>
    <w:p w14:paraId="75398090" w14:textId="34C087B6"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Під час лікування, слід контролювати ефективність та токсичність лік</w:t>
      </w:r>
      <w:r w:rsidR="00CF0D47">
        <w:rPr>
          <w:rFonts w:ascii="Times New Roman" w:hAnsi="Times New Roman" w:cs="Times New Roman"/>
          <w:color w:val="000000" w:themeColor="text1"/>
          <w:lang w:val="uk-UA"/>
        </w:rPr>
        <w:t>арських засобів</w:t>
      </w:r>
      <w:r w:rsidRPr="00BA5C0A">
        <w:rPr>
          <w:rFonts w:ascii="Times New Roman" w:hAnsi="Times New Roman" w:cs="Times New Roman"/>
          <w:color w:val="000000" w:themeColor="text1"/>
          <w:lang w:val="uk-UA"/>
        </w:rPr>
        <w:t xml:space="preserve">, що призначаються додатково для лікування супутніх захворювань </w:t>
      </w:r>
      <w:r w:rsidR="00CF0D47">
        <w:rPr>
          <w:rFonts w:ascii="Times New Roman" w:hAnsi="Times New Roman" w:cs="Times New Roman"/>
          <w:color w:val="000000" w:themeColor="text1"/>
          <w:lang w:val="uk-UA"/>
        </w:rPr>
        <w:t xml:space="preserve">та </w:t>
      </w:r>
      <w:r w:rsidRPr="00BA5C0A">
        <w:rPr>
          <w:rFonts w:ascii="Times New Roman" w:hAnsi="Times New Roman" w:cs="Times New Roman"/>
          <w:color w:val="000000" w:themeColor="text1"/>
          <w:lang w:val="uk-UA"/>
        </w:rPr>
        <w:t>розумі</w:t>
      </w:r>
      <w:r w:rsidR="00CF0D47">
        <w:rPr>
          <w:rFonts w:ascii="Times New Roman" w:hAnsi="Times New Roman" w:cs="Times New Roman"/>
          <w:color w:val="000000" w:themeColor="text1"/>
          <w:lang w:val="uk-UA"/>
        </w:rPr>
        <w:t>ти</w:t>
      </w:r>
      <w:r w:rsidRPr="00BA5C0A">
        <w:rPr>
          <w:rFonts w:ascii="Times New Roman" w:hAnsi="Times New Roman" w:cs="Times New Roman"/>
          <w:color w:val="000000" w:themeColor="text1"/>
          <w:lang w:val="uk-UA"/>
        </w:rPr>
        <w:t xml:space="preserve"> потенційн</w:t>
      </w:r>
      <w:r w:rsidR="00CF0D47">
        <w:rPr>
          <w:rFonts w:ascii="Times New Roman" w:hAnsi="Times New Roman" w:cs="Times New Roman"/>
          <w:color w:val="000000" w:themeColor="text1"/>
          <w:lang w:val="uk-UA"/>
        </w:rPr>
        <w:t>у</w:t>
      </w:r>
      <w:r w:rsidRPr="00BA5C0A">
        <w:rPr>
          <w:rFonts w:ascii="Times New Roman" w:hAnsi="Times New Roman" w:cs="Times New Roman"/>
          <w:color w:val="000000" w:themeColor="text1"/>
          <w:lang w:val="uk-UA"/>
        </w:rPr>
        <w:t xml:space="preserve"> взаємоді</w:t>
      </w:r>
      <w:r w:rsidR="00CF0D47">
        <w:rPr>
          <w:rFonts w:ascii="Times New Roman" w:hAnsi="Times New Roman" w:cs="Times New Roman"/>
          <w:color w:val="000000" w:themeColor="text1"/>
          <w:lang w:val="uk-UA"/>
        </w:rPr>
        <w:t>ю</w:t>
      </w:r>
      <w:r w:rsidRPr="00BA5C0A">
        <w:rPr>
          <w:rFonts w:ascii="Times New Roman" w:hAnsi="Times New Roman" w:cs="Times New Roman"/>
          <w:color w:val="000000" w:themeColor="text1"/>
          <w:lang w:val="uk-UA"/>
        </w:rPr>
        <w:t xml:space="preserve">. Важливо переглянути всі препарати, що приймаються пацієнтом, включаючи безрецептурні препарати та рекреаційні наркотичні </w:t>
      </w:r>
      <w:r w:rsidR="00B2632A">
        <w:rPr>
          <w:rFonts w:ascii="Times New Roman" w:hAnsi="Times New Roman" w:cs="Times New Roman"/>
          <w:color w:val="000000" w:themeColor="text1"/>
          <w:lang w:val="uk-UA"/>
        </w:rPr>
        <w:t>засоби</w:t>
      </w:r>
      <w:r w:rsidRPr="00BA5C0A">
        <w:rPr>
          <w:rFonts w:ascii="Times New Roman" w:hAnsi="Times New Roman" w:cs="Times New Roman"/>
          <w:color w:val="000000" w:themeColor="text1"/>
          <w:lang w:val="uk-UA"/>
        </w:rPr>
        <w:t>. Також слід відповісти на наступні питання: чи всі препарати, що спільно використовуються, є необхідними протягом періоду лікування ВГС (чи можливо зупинити прийом препарату, такого як</w:t>
      </w:r>
      <w:r w:rsidR="00CF0D47">
        <w:rPr>
          <w:rFonts w:ascii="Times New Roman" w:hAnsi="Times New Roman" w:cs="Times New Roman"/>
          <w:color w:val="000000" w:themeColor="text1"/>
          <w:lang w:val="uk-UA"/>
        </w:rPr>
        <w:t>, наприклад,</w:t>
      </w:r>
      <w:r w:rsidRPr="00BA5C0A">
        <w:rPr>
          <w:rFonts w:ascii="Times New Roman" w:hAnsi="Times New Roman" w:cs="Times New Roman"/>
          <w:color w:val="000000" w:themeColor="text1"/>
          <w:lang w:val="uk-UA"/>
        </w:rPr>
        <w:t xml:space="preserve"> статин, протягом 8</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12 тижнів)? Якщо ні, чи існує альтернатив</w:t>
      </w:r>
      <w:r w:rsidR="00CF0D47">
        <w:rPr>
          <w:rFonts w:ascii="Times New Roman" w:hAnsi="Times New Roman" w:cs="Times New Roman"/>
          <w:color w:val="000000" w:themeColor="text1"/>
          <w:lang w:val="uk-UA"/>
        </w:rPr>
        <w:t xml:space="preserve">ний лікарський засіб </w:t>
      </w:r>
      <w:r w:rsidRPr="00BA5C0A">
        <w:rPr>
          <w:rFonts w:ascii="Times New Roman" w:hAnsi="Times New Roman" w:cs="Times New Roman"/>
          <w:color w:val="000000" w:themeColor="text1"/>
          <w:lang w:val="uk-UA"/>
        </w:rPr>
        <w:t>то</w:t>
      </w:r>
      <w:r w:rsidR="00C10F00">
        <w:rPr>
          <w:rFonts w:ascii="Times New Roman" w:hAnsi="Times New Roman" w:cs="Times New Roman"/>
          <w:color w:val="000000" w:themeColor="text1"/>
          <w:lang w:val="uk-UA"/>
        </w:rPr>
        <w:t>го</w:t>
      </w:r>
      <w:r w:rsidRPr="00BA5C0A">
        <w:rPr>
          <w:rFonts w:ascii="Times New Roman" w:hAnsi="Times New Roman" w:cs="Times New Roman"/>
          <w:color w:val="000000" w:themeColor="text1"/>
          <w:lang w:val="uk-UA"/>
        </w:rPr>
        <w:t xml:space="preserve"> ж терапевтично</w:t>
      </w:r>
      <w:r w:rsidR="00C10F00">
        <w:rPr>
          <w:rFonts w:ascii="Times New Roman" w:hAnsi="Times New Roman" w:cs="Times New Roman"/>
          <w:color w:val="000000" w:themeColor="text1"/>
          <w:lang w:val="uk-UA"/>
        </w:rPr>
        <w:t>го</w:t>
      </w:r>
      <w:r w:rsidRPr="00BA5C0A">
        <w:rPr>
          <w:rFonts w:ascii="Times New Roman" w:hAnsi="Times New Roman" w:cs="Times New Roman"/>
          <w:color w:val="000000" w:themeColor="text1"/>
          <w:lang w:val="uk-UA"/>
        </w:rPr>
        <w:t xml:space="preserve"> клас</w:t>
      </w:r>
      <w:r w:rsidR="00C10F00">
        <w:rPr>
          <w:rFonts w:ascii="Times New Roman" w:hAnsi="Times New Roman" w:cs="Times New Roman"/>
          <w:color w:val="000000" w:themeColor="text1"/>
          <w:lang w:val="uk-UA"/>
        </w:rPr>
        <w:t>у</w:t>
      </w:r>
      <w:r w:rsidRPr="00BA5C0A">
        <w:rPr>
          <w:rFonts w:ascii="Times New Roman" w:hAnsi="Times New Roman" w:cs="Times New Roman"/>
          <w:color w:val="000000" w:themeColor="text1"/>
          <w:lang w:val="uk-UA"/>
        </w:rPr>
        <w:t xml:space="preserve"> без взаємодії з лікарськими засобами, які застосовуються для лікування ВГС? </w:t>
      </w:r>
      <w:r w:rsidR="00C10F00">
        <w:rPr>
          <w:rFonts w:ascii="Times New Roman" w:hAnsi="Times New Roman" w:cs="Times New Roman"/>
          <w:color w:val="000000" w:themeColor="text1"/>
          <w:lang w:val="uk-UA"/>
        </w:rPr>
        <w:t>Ч</w:t>
      </w:r>
      <w:r w:rsidRPr="00BA5C0A">
        <w:rPr>
          <w:rFonts w:ascii="Times New Roman" w:hAnsi="Times New Roman" w:cs="Times New Roman"/>
          <w:color w:val="000000" w:themeColor="text1"/>
          <w:lang w:val="uk-UA"/>
        </w:rPr>
        <w:t>и можна управляти лікарськими взаємодіями шляхом зміни дози або плану моніторингу? Для уникнення специфічних взаємодій між лікарськими препаратами (див. вище), пацієнт повинен перед початком застосування будь</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якого нового препарату під час лікування проінформувати про це лікарів.</w:t>
      </w:r>
    </w:p>
    <w:p w14:paraId="3A060E85" w14:textId="77777777" w:rsidR="00BA5C0A" w:rsidRPr="00BA5C0A" w:rsidRDefault="00BA5C0A" w:rsidP="00BA5C0A">
      <w:pPr>
        <w:jc w:val="both"/>
        <w:rPr>
          <w:rFonts w:ascii="Times New Roman" w:hAnsi="Times New Roman" w:cs="Times New Roman"/>
          <w:b/>
          <w:color w:val="4472C4" w:themeColor="accent5"/>
          <w:sz w:val="36"/>
          <w:szCs w:val="36"/>
          <w:lang w:val="uk-UA"/>
        </w:rPr>
      </w:pPr>
    </w:p>
    <w:tbl>
      <w:tblPr>
        <w:tblW w:w="983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BA5C0A" w:rsidRPr="00BA5C0A" w14:paraId="15152D26" w14:textId="77777777" w:rsidTr="00DE108A">
        <w:trPr>
          <w:trHeight w:val="544"/>
        </w:trPr>
        <w:tc>
          <w:tcPr>
            <w:tcW w:w="9836" w:type="dxa"/>
            <w:shd w:val="clear" w:color="auto" w:fill="BDD6EE" w:themeFill="accent1" w:themeFillTint="66"/>
          </w:tcPr>
          <w:p w14:paraId="1567E80D" w14:textId="307D8022" w:rsidR="00BA5C0A" w:rsidRDefault="00BA5C0A" w:rsidP="00BA5C0A">
            <w:pPr>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Рекомендації</w:t>
            </w:r>
          </w:p>
          <w:p w14:paraId="59A95604" w14:textId="77777777" w:rsidR="00DE108A" w:rsidRPr="00BA5C0A" w:rsidRDefault="00DE108A" w:rsidP="00BA5C0A">
            <w:pPr>
              <w:jc w:val="both"/>
              <w:rPr>
                <w:rFonts w:ascii="Times New Roman" w:hAnsi="Times New Roman" w:cs="Times New Roman"/>
                <w:b/>
                <w:color w:val="4472C4" w:themeColor="accent5"/>
                <w:lang w:val="uk-UA"/>
              </w:rPr>
            </w:pPr>
          </w:p>
          <w:p w14:paraId="4E3DE522" w14:textId="77777777" w:rsidR="00BA5C0A" w:rsidRPr="00BA5C0A" w:rsidRDefault="00BA5C0A" w:rsidP="00015E3B">
            <w:pPr>
              <w:numPr>
                <w:ilvl w:val="0"/>
                <w:numId w:val="55"/>
              </w:numPr>
              <w:contextualSpacing/>
              <w:jc w:val="both"/>
              <w:rPr>
                <w:rFonts w:ascii="Times New Roman" w:hAnsi="Times New Roman" w:cs="Times New Roman"/>
                <w:lang w:val="uk-UA"/>
              </w:rPr>
            </w:pPr>
            <w:r w:rsidRPr="00BA5C0A">
              <w:rPr>
                <w:rFonts w:ascii="Times New Roman" w:hAnsi="Times New Roman" w:cs="Times New Roman"/>
                <w:lang w:val="uk-UA"/>
              </w:rPr>
              <w:t>Під час лікування (А1) необхідно стежити за ефективністю та токсичністю додаткових лікарських засобів, що призначаються для лікування супутніх захворювань та потенційною взаємодією лікарських засобів.</w:t>
            </w:r>
          </w:p>
          <w:p w14:paraId="378C1BD9" w14:textId="3442558A" w:rsidR="00BA5C0A" w:rsidRPr="00BA5C0A" w:rsidRDefault="00BA5C0A" w:rsidP="00015E3B">
            <w:pPr>
              <w:numPr>
                <w:ilvl w:val="0"/>
                <w:numId w:val="55"/>
              </w:numPr>
              <w:contextualSpacing/>
              <w:jc w:val="both"/>
              <w:rPr>
                <w:rFonts w:ascii="Times New Roman" w:hAnsi="Times New Roman" w:cs="Times New Roman"/>
                <w:lang w:val="uk-UA"/>
              </w:rPr>
            </w:pPr>
            <w:r w:rsidRPr="00BA5C0A">
              <w:rPr>
                <w:rFonts w:ascii="Times New Roman" w:hAnsi="Times New Roman" w:cs="Times New Roman"/>
                <w:lang w:val="uk-UA"/>
              </w:rPr>
              <w:t>Коли це можливо, прийом супутнього препарату, як</w:t>
            </w:r>
            <w:r w:rsidR="00DE108A">
              <w:rPr>
                <w:rFonts w:ascii="Times New Roman" w:hAnsi="Times New Roman" w:cs="Times New Roman"/>
                <w:lang w:val="uk-UA"/>
              </w:rPr>
              <w:t>ий</w:t>
            </w:r>
            <w:r w:rsidRPr="00BA5C0A">
              <w:rPr>
                <w:rFonts w:ascii="Times New Roman" w:hAnsi="Times New Roman" w:cs="Times New Roman"/>
                <w:lang w:val="uk-UA"/>
              </w:rPr>
              <w:t xml:space="preserve"> може вступати у взаємодію з основним, повинен бути призупинений на період лікування ВГС, або цей препарат повинен бути замінений на альтернативний препарат з меншим потенціалом взаємодії (В1)</w:t>
            </w:r>
          </w:p>
        </w:tc>
      </w:tr>
    </w:tbl>
    <w:p w14:paraId="6871D20F" w14:textId="77777777" w:rsidR="00BA5C0A" w:rsidRPr="00BA5C0A" w:rsidRDefault="00BA5C0A" w:rsidP="00BA5C0A">
      <w:pPr>
        <w:jc w:val="both"/>
        <w:rPr>
          <w:rFonts w:ascii="Times New Roman" w:hAnsi="Times New Roman" w:cs="Times New Roman"/>
          <w:b/>
          <w:color w:val="4472C4" w:themeColor="accent5"/>
          <w:sz w:val="36"/>
          <w:szCs w:val="36"/>
          <w:lang w:val="uk-UA"/>
        </w:rPr>
      </w:pPr>
    </w:p>
    <w:p w14:paraId="71947FAF" w14:textId="03DDAF87" w:rsidR="00BA5C0A" w:rsidRPr="00DE108A" w:rsidRDefault="00BA5C0A" w:rsidP="00BA5C0A">
      <w:pPr>
        <w:jc w:val="both"/>
        <w:rPr>
          <w:rFonts w:ascii="Times New Roman" w:hAnsi="Times New Roman" w:cs="Times New Roman"/>
          <w:b/>
          <w:color w:val="4472C4" w:themeColor="accent5"/>
          <w:sz w:val="32"/>
          <w:szCs w:val="32"/>
          <w:lang w:val="uk-UA"/>
        </w:rPr>
      </w:pPr>
      <w:r w:rsidRPr="00DE108A">
        <w:rPr>
          <w:rFonts w:ascii="Times New Roman" w:hAnsi="Times New Roman" w:cs="Times New Roman"/>
          <w:b/>
          <w:color w:val="4472C4" w:themeColor="accent5"/>
          <w:sz w:val="32"/>
          <w:szCs w:val="32"/>
          <w:lang w:val="uk-UA"/>
        </w:rPr>
        <w:t>Зменшення дозування</w:t>
      </w:r>
    </w:p>
    <w:p w14:paraId="6AA37886" w14:textId="77777777" w:rsidR="00DE108A" w:rsidRPr="00BA5C0A" w:rsidRDefault="00DE108A" w:rsidP="00BA5C0A">
      <w:pPr>
        <w:jc w:val="both"/>
        <w:rPr>
          <w:rFonts w:ascii="Times New Roman" w:hAnsi="Times New Roman" w:cs="Times New Roman"/>
          <w:b/>
          <w:color w:val="4472C4" w:themeColor="accent5"/>
          <w:sz w:val="36"/>
          <w:szCs w:val="36"/>
          <w:lang w:val="uk-UA"/>
        </w:rPr>
      </w:pPr>
    </w:p>
    <w:p w14:paraId="68F34E8A" w14:textId="1EB05307"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Корегування дози не рекомендується для будь</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якої з вищезазначених комбінованих схем ПППД, включаючи схеми на основі інгібіторів протеази при печінковій недостатності та схем софосбувіру та ледіпасвіру для дітей у віці до 12 років. Лікування слід припинити у випадку серйозних побічних реакцій або у разі активізації гепатиту (рівень A</w:t>
      </w:r>
      <w:r w:rsidR="00223671">
        <w:rPr>
          <w:rFonts w:ascii="Times New Roman" w:hAnsi="Times New Roman" w:cs="Times New Roman"/>
          <w:color w:val="000000" w:themeColor="text1"/>
          <w:lang w:val="uk-UA"/>
        </w:rPr>
        <w:t>Л</w:t>
      </w:r>
      <w:r w:rsidRPr="00BA5C0A">
        <w:rPr>
          <w:rFonts w:ascii="Times New Roman" w:hAnsi="Times New Roman" w:cs="Times New Roman"/>
          <w:color w:val="000000" w:themeColor="text1"/>
          <w:lang w:val="uk-UA"/>
        </w:rPr>
        <w:t>T вище</w:t>
      </w:r>
      <w:r w:rsidR="00C10F00">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10 разів</w:t>
      </w:r>
      <w:r w:rsidR="00C10F00">
        <w:rPr>
          <w:rFonts w:ascii="Times New Roman" w:hAnsi="Times New Roman" w:cs="Times New Roman"/>
          <w:color w:val="000000" w:themeColor="text1"/>
          <w:lang w:val="uk-UA"/>
        </w:rPr>
        <w:t xml:space="preserve"> верхньої межі норми</w:t>
      </w:r>
      <w:r w:rsidRPr="00BA5C0A">
        <w:rPr>
          <w:rFonts w:ascii="Times New Roman" w:hAnsi="Times New Roman" w:cs="Times New Roman"/>
          <w:color w:val="000000" w:themeColor="text1"/>
          <w:lang w:val="uk-UA"/>
        </w:rPr>
        <w:t>, тільки якщо він не був таким на момент початку лікування).</w:t>
      </w:r>
    </w:p>
    <w:p w14:paraId="5918E89C" w14:textId="77777777" w:rsidR="00BA5C0A" w:rsidRPr="00BA5C0A" w:rsidRDefault="00BA5C0A" w:rsidP="00BA5C0A">
      <w:pPr>
        <w:jc w:val="both"/>
        <w:rPr>
          <w:rFonts w:ascii="Times New Roman" w:hAnsi="Times New Roman" w:cs="Times New Roman"/>
          <w:color w:val="000000" w:themeColor="text1"/>
          <w:lang w:val="uk-UA"/>
        </w:rPr>
      </w:pPr>
    </w:p>
    <w:p w14:paraId="2BA098C4" w14:textId="2C99D05F"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lastRenderedPageBreak/>
        <w:t xml:space="preserve">Якщо у пацієнтів, які отримують рибавірин (пацієнти з декомпенсованим цирозом </w:t>
      </w:r>
      <w:r w:rsidR="00C10F00">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Child</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Pugh B або C) спостерігається значна анемія (гемоглобін &lt;10г/дл), то дозу рибавірину слід зменшувати поступово </w:t>
      </w:r>
      <w:r w:rsidR="00C10F00">
        <w:rPr>
          <w:rFonts w:ascii="Times New Roman" w:hAnsi="Times New Roman" w:cs="Times New Roman"/>
          <w:color w:val="000000" w:themeColor="text1"/>
          <w:lang w:val="uk-UA"/>
        </w:rPr>
        <w:t>по</w:t>
      </w:r>
      <w:r w:rsidRPr="00BA5C0A">
        <w:rPr>
          <w:rFonts w:ascii="Times New Roman" w:hAnsi="Times New Roman" w:cs="Times New Roman"/>
          <w:color w:val="000000" w:themeColor="text1"/>
          <w:lang w:val="uk-UA"/>
        </w:rPr>
        <w:t xml:space="preserve"> 200 мг. Для пацієнтів з рівнем гемоглобіну, який </w:t>
      </w:r>
      <w:r w:rsidR="00334506" w:rsidRPr="00BA5C0A">
        <w:rPr>
          <w:rFonts w:ascii="Times New Roman" w:hAnsi="Times New Roman" w:cs="Times New Roman"/>
          <w:color w:val="000000" w:themeColor="text1"/>
          <w:lang w:val="uk-UA"/>
        </w:rPr>
        <w:t xml:space="preserve">швидко </w:t>
      </w:r>
      <w:r w:rsidRPr="00BA5C0A">
        <w:rPr>
          <w:rFonts w:ascii="Times New Roman" w:hAnsi="Times New Roman" w:cs="Times New Roman"/>
          <w:color w:val="000000" w:themeColor="text1"/>
          <w:lang w:val="uk-UA"/>
        </w:rPr>
        <w:t xml:space="preserve">зменшується, може знадобитися </w:t>
      </w:r>
      <w:r w:rsidR="00C10F00">
        <w:rPr>
          <w:rFonts w:ascii="Times New Roman" w:hAnsi="Times New Roman" w:cs="Times New Roman"/>
          <w:color w:val="000000" w:themeColor="text1"/>
          <w:lang w:val="uk-UA"/>
        </w:rPr>
        <w:t>швидше</w:t>
      </w:r>
      <w:r w:rsidRPr="00BA5C0A">
        <w:rPr>
          <w:rFonts w:ascii="Times New Roman" w:hAnsi="Times New Roman" w:cs="Times New Roman"/>
          <w:color w:val="000000" w:themeColor="text1"/>
          <w:lang w:val="uk-UA"/>
        </w:rPr>
        <w:t xml:space="preserve"> зменшення дози, особливо якщо базовий рівень гемоглобіну був низьким. Прийом рибавірину слід зупинити, якщо рівень гемоглобіну падає нижче 8,5 г/дл. </w:t>
      </w:r>
      <w:r w:rsidRPr="00BA5C0A">
        <w:rPr>
          <w:rFonts w:ascii="Times New Roman" w:hAnsi="Times New Roman" w:cs="Times New Roman"/>
          <w:color w:val="000000" w:themeColor="text1"/>
          <w:vertAlign w:val="superscript"/>
          <w:lang w:val="uk-UA"/>
        </w:rPr>
        <w:t>280</w:t>
      </w:r>
      <w:r w:rsidR="00FC6D8A">
        <w:rPr>
          <w:rFonts w:ascii="Times New Roman" w:hAnsi="Times New Roman" w:cs="Times New Roman"/>
          <w:color w:val="000000" w:themeColor="text1"/>
          <w:vertAlign w:val="superscript"/>
          <w:lang w:val="uk-UA"/>
        </w:rPr>
        <w:t>–</w:t>
      </w:r>
      <w:r w:rsidRPr="00BA5C0A">
        <w:rPr>
          <w:rFonts w:ascii="Times New Roman" w:hAnsi="Times New Roman" w:cs="Times New Roman"/>
          <w:color w:val="000000" w:themeColor="text1"/>
          <w:vertAlign w:val="superscript"/>
          <w:lang w:val="uk-UA"/>
        </w:rPr>
        <w:t>288</w:t>
      </w:r>
    </w:p>
    <w:p w14:paraId="4B1166DA" w14:textId="77777777" w:rsidR="00BA5C0A" w:rsidRPr="00BA5C0A" w:rsidRDefault="00BA5C0A" w:rsidP="00BA5C0A">
      <w:pPr>
        <w:jc w:val="both"/>
        <w:rPr>
          <w:rFonts w:ascii="Times New Roman" w:hAnsi="Times New Roman" w:cs="Times New Roman"/>
          <w:color w:val="4472C4" w:themeColor="accent5"/>
          <w:lang w:val="uk-UA"/>
        </w:rPr>
      </w:pPr>
    </w:p>
    <w:tbl>
      <w:tblPr>
        <w:tblW w:w="983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BA5C0A" w:rsidRPr="00BA5C0A" w14:paraId="177D7B5E" w14:textId="77777777" w:rsidTr="00223671">
        <w:trPr>
          <w:trHeight w:val="544"/>
        </w:trPr>
        <w:tc>
          <w:tcPr>
            <w:tcW w:w="9836" w:type="dxa"/>
            <w:shd w:val="clear" w:color="auto" w:fill="BDD6EE" w:themeFill="accent1" w:themeFillTint="66"/>
          </w:tcPr>
          <w:p w14:paraId="75A39641" w14:textId="417058C2" w:rsidR="00BA5C0A" w:rsidRDefault="00BA5C0A" w:rsidP="00BA5C0A">
            <w:pPr>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Рекомендації</w:t>
            </w:r>
          </w:p>
          <w:p w14:paraId="0E09E85D" w14:textId="77777777" w:rsidR="00223671" w:rsidRPr="00BA5C0A" w:rsidRDefault="00223671" w:rsidP="00BA5C0A">
            <w:pPr>
              <w:jc w:val="both"/>
              <w:rPr>
                <w:rFonts w:ascii="Times New Roman" w:hAnsi="Times New Roman" w:cs="Times New Roman"/>
                <w:b/>
                <w:color w:val="4472C4" w:themeColor="accent5"/>
                <w:lang w:val="uk-UA"/>
              </w:rPr>
            </w:pPr>
          </w:p>
          <w:p w14:paraId="1FC82C62" w14:textId="77777777" w:rsidR="00BA5C0A" w:rsidRPr="00BA5C0A" w:rsidRDefault="00BA5C0A" w:rsidP="00015E3B">
            <w:pPr>
              <w:numPr>
                <w:ilvl w:val="0"/>
                <w:numId w:val="56"/>
              </w:numPr>
              <w:contextualSpacing/>
              <w:jc w:val="both"/>
              <w:rPr>
                <w:rFonts w:ascii="Times New Roman" w:hAnsi="Times New Roman" w:cs="Times New Roman"/>
                <w:lang w:val="uk-UA"/>
              </w:rPr>
            </w:pPr>
            <w:r w:rsidRPr="00BA5C0A">
              <w:rPr>
                <w:rFonts w:ascii="Times New Roman" w:hAnsi="Times New Roman" w:cs="Times New Roman"/>
                <w:lang w:val="uk-UA"/>
              </w:rPr>
              <w:t>Лікування слід припинити у випадку серйозних побічних реакцій або у випадку активізації гепатиту (підвищення АЛТ&gt; в 10 разів вище верхньої межі норми) (B1).</w:t>
            </w:r>
          </w:p>
          <w:p w14:paraId="5D5B6D50" w14:textId="793CF801" w:rsidR="00BA5C0A" w:rsidRPr="00BA5C0A" w:rsidRDefault="00BA5C0A" w:rsidP="00015E3B">
            <w:pPr>
              <w:numPr>
                <w:ilvl w:val="0"/>
                <w:numId w:val="56"/>
              </w:numPr>
              <w:contextualSpacing/>
              <w:jc w:val="both"/>
              <w:rPr>
                <w:rFonts w:ascii="Times New Roman" w:hAnsi="Times New Roman" w:cs="Times New Roman"/>
                <w:lang w:val="uk-UA"/>
              </w:rPr>
            </w:pPr>
            <w:r w:rsidRPr="00BA5C0A">
              <w:rPr>
                <w:rFonts w:ascii="Times New Roman" w:hAnsi="Times New Roman" w:cs="Times New Roman"/>
                <w:lang w:val="uk-UA"/>
              </w:rPr>
              <w:t xml:space="preserve">У пацієнтів, яким потрібен рибавірин (пацієнти з декомпенсованим циррозом </w:t>
            </w:r>
            <w:r w:rsidR="00C10F00">
              <w:rPr>
                <w:rFonts w:ascii="Times New Roman" w:hAnsi="Times New Roman" w:cs="Times New Roman"/>
                <w:lang w:val="uk-UA"/>
              </w:rPr>
              <w:t>(</w:t>
            </w:r>
            <w:r w:rsidRPr="00BA5C0A">
              <w:rPr>
                <w:rFonts w:ascii="Times New Roman" w:hAnsi="Times New Roman" w:cs="Times New Roman"/>
                <w:lang w:val="uk-UA"/>
              </w:rPr>
              <w:t>Child</w:t>
            </w:r>
            <w:r w:rsidR="00FC6D8A">
              <w:rPr>
                <w:rFonts w:ascii="Times New Roman" w:hAnsi="Times New Roman" w:cs="Times New Roman"/>
                <w:lang w:val="uk-UA"/>
              </w:rPr>
              <w:t>–</w:t>
            </w:r>
            <w:r w:rsidRPr="00BA5C0A">
              <w:rPr>
                <w:rFonts w:ascii="Times New Roman" w:hAnsi="Times New Roman" w:cs="Times New Roman"/>
                <w:lang w:val="uk-UA"/>
              </w:rPr>
              <w:t>Pugh B або C), доз</w:t>
            </w:r>
            <w:r w:rsidR="00223671">
              <w:rPr>
                <w:rFonts w:ascii="Times New Roman" w:hAnsi="Times New Roman" w:cs="Times New Roman"/>
                <w:lang w:val="uk-UA"/>
              </w:rPr>
              <w:t>у</w:t>
            </w:r>
            <w:r w:rsidRPr="00BA5C0A">
              <w:rPr>
                <w:rFonts w:ascii="Times New Roman" w:hAnsi="Times New Roman" w:cs="Times New Roman"/>
                <w:lang w:val="uk-UA"/>
              </w:rPr>
              <w:t xml:space="preserve"> рибавірину потрібно зменшувати поступово на 200 мг, якщо рівень гемоглобіну знижується до 10 г/дл. Прийом рибавірину слід зупинити, якщо рівень гемоглобіну знижується нижче 8,5 г/дл (А1).</w:t>
            </w:r>
          </w:p>
        </w:tc>
      </w:tr>
    </w:tbl>
    <w:p w14:paraId="43F28ECE" w14:textId="77777777" w:rsidR="00BA5C0A" w:rsidRPr="00BA5C0A" w:rsidRDefault="00BA5C0A" w:rsidP="00BA5C0A">
      <w:pPr>
        <w:jc w:val="both"/>
        <w:rPr>
          <w:rFonts w:ascii="Times New Roman" w:hAnsi="Times New Roman" w:cs="Times New Roman"/>
          <w:b/>
          <w:color w:val="4472C4" w:themeColor="accent5"/>
          <w:sz w:val="36"/>
          <w:szCs w:val="36"/>
          <w:lang w:val="uk-UA"/>
        </w:rPr>
      </w:pPr>
    </w:p>
    <w:p w14:paraId="4B5D3D84" w14:textId="0399E423" w:rsidR="00BA5C0A" w:rsidRPr="00223671" w:rsidRDefault="00BA5C0A" w:rsidP="00BA5C0A">
      <w:pPr>
        <w:jc w:val="both"/>
        <w:rPr>
          <w:rFonts w:ascii="Times New Roman" w:hAnsi="Times New Roman" w:cs="Times New Roman"/>
          <w:b/>
          <w:color w:val="4472C4" w:themeColor="accent5"/>
          <w:sz w:val="32"/>
          <w:szCs w:val="32"/>
          <w:lang w:val="uk-UA"/>
        </w:rPr>
      </w:pPr>
      <w:r w:rsidRPr="00223671">
        <w:rPr>
          <w:rFonts w:ascii="Times New Roman" w:hAnsi="Times New Roman" w:cs="Times New Roman"/>
          <w:b/>
          <w:color w:val="4472C4" w:themeColor="accent5"/>
          <w:sz w:val="32"/>
          <w:szCs w:val="32"/>
          <w:lang w:val="uk-UA"/>
        </w:rPr>
        <w:t>Заходи щодо покращення дотримання режиму лікування</w:t>
      </w:r>
    </w:p>
    <w:p w14:paraId="41D1B9C1" w14:textId="77777777" w:rsidR="00223671" w:rsidRPr="00BA5C0A" w:rsidRDefault="00223671" w:rsidP="00BA5C0A">
      <w:pPr>
        <w:jc w:val="both"/>
        <w:rPr>
          <w:rFonts w:ascii="Times New Roman" w:hAnsi="Times New Roman" w:cs="Times New Roman"/>
          <w:b/>
          <w:color w:val="4472C4" w:themeColor="accent5"/>
          <w:sz w:val="36"/>
          <w:szCs w:val="36"/>
          <w:lang w:val="uk-UA"/>
        </w:rPr>
      </w:pPr>
    </w:p>
    <w:p w14:paraId="530DD222" w14:textId="59ADC3A7" w:rsidR="00BA5C0A" w:rsidRPr="00BA5C0A" w:rsidRDefault="00B2632A" w:rsidP="00BA5C0A">
      <w:pPr>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Дотримання</w:t>
      </w:r>
      <w:r w:rsidRPr="00BA5C0A">
        <w:rPr>
          <w:rFonts w:ascii="Times New Roman" w:hAnsi="Times New Roman" w:cs="Times New Roman"/>
          <w:color w:val="000000" w:themeColor="text1"/>
          <w:lang w:val="uk-UA"/>
        </w:rPr>
        <w:t xml:space="preserve"> </w:t>
      </w:r>
      <w:r w:rsidR="00BA5C0A" w:rsidRPr="00BA5C0A">
        <w:rPr>
          <w:rFonts w:ascii="Times New Roman" w:hAnsi="Times New Roman" w:cs="Times New Roman"/>
          <w:color w:val="000000" w:themeColor="text1"/>
          <w:lang w:val="uk-UA"/>
        </w:rPr>
        <w:t>режимів прийому препаратів пов'язан</w:t>
      </w:r>
      <w:r>
        <w:rPr>
          <w:rFonts w:ascii="Times New Roman" w:hAnsi="Times New Roman" w:cs="Times New Roman"/>
          <w:color w:val="000000" w:themeColor="text1"/>
          <w:lang w:val="uk-UA"/>
        </w:rPr>
        <w:t>о</w:t>
      </w:r>
      <w:r w:rsidR="00BA5C0A" w:rsidRPr="00BA5C0A">
        <w:rPr>
          <w:rFonts w:ascii="Times New Roman" w:hAnsi="Times New Roman" w:cs="Times New Roman"/>
          <w:color w:val="000000" w:themeColor="text1"/>
          <w:lang w:val="uk-UA"/>
        </w:rPr>
        <w:t xml:space="preserve"> з високими показниками СВВ. На відміну від цього, не притримання режимів прийому ліків, пов'язано з ризиком вірусологічного прориву або рецидиву після лікування та виникнення резистентності на ранній стадії лікування. Таким чином, слід запровадити прості заходи для посилення прихильності до лікування. Перед початком </w:t>
      </w:r>
      <w:r w:rsidR="00ED60B9">
        <w:rPr>
          <w:rFonts w:ascii="Times New Roman" w:hAnsi="Times New Roman" w:cs="Times New Roman"/>
          <w:color w:val="000000" w:themeColor="text1"/>
          <w:lang w:val="uk-UA"/>
        </w:rPr>
        <w:t>проти</w:t>
      </w:r>
      <w:r w:rsidR="00BA5C0A" w:rsidRPr="00BA5C0A">
        <w:rPr>
          <w:rFonts w:ascii="Times New Roman" w:hAnsi="Times New Roman" w:cs="Times New Roman"/>
          <w:color w:val="000000" w:themeColor="text1"/>
          <w:lang w:val="uk-UA"/>
        </w:rPr>
        <w:t xml:space="preserve">вірусної терапії, пацієнтам слід розповісти про щоденний розклад прийому препаратів та очікувані побічні реакції, які можуть виникати під час лікування. Є дані </w:t>
      </w:r>
      <w:r>
        <w:rPr>
          <w:rFonts w:ascii="Times New Roman" w:hAnsi="Times New Roman" w:cs="Times New Roman"/>
          <w:color w:val="000000" w:themeColor="text1"/>
          <w:lang w:val="uk-UA"/>
        </w:rPr>
        <w:t>щодо</w:t>
      </w:r>
      <w:r w:rsidR="00BA5C0A" w:rsidRPr="00BA5C0A">
        <w:rPr>
          <w:rFonts w:ascii="Times New Roman" w:hAnsi="Times New Roman" w:cs="Times New Roman"/>
          <w:color w:val="000000" w:themeColor="text1"/>
          <w:lang w:val="uk-UA"/>
        </w:rPr>
        <w:t xml:space="preserve"> пацієнтів </w:t>
      </w:r>
      <w:r w:rsidR="00F776B3">
        <w:rPr>
          <w:rFonts w:ascii="Times New Roman" w:hAnsi="Times New Roman" w:cs="Times New Roman"/>
          <w:color w:val="000000" w:themeColor="text1"/>
          <w:lang w:val="uk-UA"/>
        </w:rPr>
        <w:t>ЗПТ</w:t>
      </w:r>
      <w:r>
        <w:rPr>
          <w:rFonts w:ascii="Times New Roman" w:hAnsi="Times New Roman" w:cs="Times New Roman"/>
          <w:color w:val="000000" w:themeColor="text1"/>
          <w:lang w:val="uk-UA"/>
        </w:rPr>
        <w:t>, які мають високі показники</w:t>
      </w:r>
      <w:r w:rsidR="00BA5C0A" w:rsidRPr="00BA5C0A">
        <w:rPr>
          <w:rFonts w:ascii="Times New Roman" w:hAnsi="Times New Roman" w:cs="Times New Roman"/>
          <w:color w:val="000000" w:themeColor="text1"/>
          <w:lang w:val="uk-UA"/>
        </w:rPr>
        <w:t xml:space="preserve"> завершення лікування та показники СВВ.</w:t>
      </w:r>
      <w:r w:rsidR="00BA5C0A" w:rsidRPr="00BA5C0A">
        <w:rPr>
          <w:rFonts w:ascii="Times New Roman" w:hAnsi="Times New Roman" w:cs="Times New Roman"/>
          <w:color w:val="000000" w:themeColor="text1"/>
          <w:vertAlign w:val="superscript"/>
          <w:lang w:val="uk-UA"/>
        </w:rPr>
        <w:t>289,290</w:t>
      </w:r>
    </w:p>
    <w:p w14:paraId="544352BE" w14:textId="77777777" w:rsidR="00BA5C0A" w:rsidRPr="00BA5C0A" w:rsidRDefault="00BA5C0A" w:rsidP="00BA5C0A">
      <w:pPr>
        <w:jc w:val="both"/>
        <w:rPr>
          <w:rFonts w:ascii="Times New Roman" w:hAnsi="Times New Roman" w:cs="Times New Roman"/>
          <w:color w:val="000000" w:themeColor="text1"/>
          <w:lang w:val="uk-UA"/>
        </w:rPr>
      </w:pPr>
    </w:p>
    <w:p w14:paraId="35CA2E8C" w14:textId="0338799A"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Ключовим елементом ефективного лікування ВГС є </w:t>
      </w:r>
      <w:r w:rsidR="00F776B3">
        <w:rPr>
          <w:rFonts w:ascii="Times New Roman" w:hAnsi="Times New Roman" w:cs="Times New Roman"/>
          <w:color w:val="000000" w:themeColor="text1"/>
          <w:lang w:val="uk-UA"/>
        </w:rPr>
        <w:t xml:space="preserve">забезпечення єдності та доступності послуг </w:t>
      </w:r>
      <w:r w:rsidRPr="00BA5C0A">
        <w:rPr>
          <w:rFonts w:ascii="Times New Roman" w:hAnsi="Times New Roman" w:cs="Times New Roman"/>
          <w:color w:val="000000" w:themeColor="text1"/>
          <w:lang w:val="uk-UA"/>
        </w:rPr>
        <w:t>з лікування нарко</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 та алкогольної залежності, </w:t>
      </w:r>
      <w:r w:rsidR="00F776B3">
        <w:rPr>
          <w:rFonts w:ascii="Times New Roman" w:hAnsi="Times New Roman" w:cs="Times New Roman"/>
          <w:color w:val="000000" w:themeColor="text1"/>
          <w:lang w:val="uk-UA"/>
        </w:rPr>
        <w:t>доступ до послуг пов</w:t>
      </w:r>
      <w:r w:rsidR="00B2632A">
        <w:rPr>
          <w:rFonts w:ascii="Times New Roman" w:hAnsi="Times New Roman" w:cs="Times New Roman"/>
          <w:color w:val="000000" w:themeColor="text1"/>
          <w:lang w:val="uk-UA"/>
        </w:rPr>
        <w:t>’</w:t>
      </w:r>
      <w:r w:rsidR="00F776B3">
        <w:rPr>
          <w:rFonts w:ascii="Times New Roman" w:hAnsi="Times New Roman" w:cs="Times New Roman"/>
          <w:color w:val="000000" w:themeColor="text1"/>
          <w:lang w:val="uk-UA"/>
        </w:rPr>
        <w:t xml:space="preserve">язаних з ВІЛ, </w:t>
      </w:r>
      <w:r w:rsidRPr="00BA5C0A">
        <w:rPr>
          <w:rFonts w:ascii="Times New Roman" w:hAnsi="Times New Roman" w:cs="Times New Roman"/>
          <w:color w:val="000000" w:themeColor="text1"/>
          <w:lang w:val="uk-UA"/>
        </w:rPr>
        <w:t>психіатричн</w:t>
      </w:r>
      <w:r w:rsidR="00F776B3">
        <w:rPr>
          <w:rFonts w:ascii="Times New Roman" w:hAnsi="Times New Roman" w:cs="Times New Roman"/>
          <w:color w:val="000000" w:themeColor="text1"/>
          <w:lang w:val="uk-UA"/>
        </w:rPr>
        <w:t>ої</w:t>
      </w:r>
      <w:r w:rsidRPr="00BA5C0A">
        <w:rPr>
          <w:rFonts w:ascii="Times New Roman" w:hAnsi="Times New Roman" w:cs="Times New Roman"/>
          <w:color w:val="000000" w:themeColor="text1"/>
          <w:lang w:val="uk-UA"/>
        </w:rPr>
        <w:t xml:space="preserve"> підтримк</w:t>
      </w:r>
      <w:r w:rsidR="00F776B3">
        <w:rPr>
          <w:rFonts w:ascii="Times New Roman" w:hAnsi="Times New Roman" w:cs="Times New Roman"/>
          <w:color w:val="000000" w:themeColor="text1"/>
          <w:lang w:val="uk-UA"/>
        </w:rPr>
        <w:t>и</w:t>
      </w:r>
      <w:r w:rsidRPr="00BA5C0A">
        <w:rPr>
          <w:rFonts w:ascii="Times New Roman" w:hAnsi="Times New Roman" w:cs="Times New Roman"/>
          <w:color w:val="000000" w:themeColor="text1"/>
          <w:lang w:val="uk-UA"/>
        </w:rPr>
        <w:t xml:space="preserve">, соціальних працівників (включаючи підтримку </w:t>
      </w:r>
      <w:r w:rsidR="00B2632A">
        <w:rPr>
          <w:rFonts w:ascii="Times New Roman" w:hAnsi="Times New Roman" w:cs="Times New Roman"/>
          <w:color w:val="000000" w:themeColor="text1"/>
          <w:lang w:val="uk-UA"/>
        </w:rPr>
        <w:t>рівний</w:t>
      </w:r>
      <w:r w:rsidR="00FC6D8A">
        <w:rPr>
          <w:rFonts w:ascii="Times New Roman" w:hAnsi="Times New Roman" w:cs="Times New Roman"/>
          <w:color w:val="000000" w:themeColor="text1"/>
          <w:lang w:val="uk-UA"/>
        </w:rPr>
        <w:t>–</w:t>
      </w:r>
      <w:r w:rsidR="00B2632A">
        <w:rPr>
          <w:rFonts w:ascii="Times New Roman" w:hAnsi="Times New Roman" w:cs="Times New Roman"/>
          <w:color w:val="000000" w:themeColor="text1"/>
          <w:lang w:val="uk-UA"/>
        </w:rPr>
        <w:t>рівному</w:t>
      </w:r>
      <w:r w:rsidRPr="00BA5C0A">
        <w:rPr>
          <w:rFonts w:ascii="Times New Roman" w:hAnsi="Times New Roman" w:cs="Times New Roman"/>
          <w:color w:val="000000" w:themeColor="text1"/>
          <w:lang w:val="uk-UA"/>
        </w:rPr>
        <w:t>)</w:t>
      </w:r>
      <w:r w:rsidR="00F776B3">
        <w:rPr>
          <w:rFonts w:ascii="Times New Roman" w:hAnsi="Times New Roman" w:cs="Times New Roman"/>
          <w:color w:val="000000" w:themeColor="text1"/>
          <w:lang w:val="uk-UA"/>
        </w:rPr>
        <w:t xml:space="preserve"> тощо</w:t>
      </w:r>
      <w:r w:rsidRPr="00BA5C0A">
        <w:rPr>
          <w:rFonts w:ascii="Times New Roman" w:hAnsi="Times New Roman" w:cs="Times New Roman"/>
          <w:color w:val="000000" w:themeColor="text1"/>
          <w:lang w:val="uk-UA"/>
        </w:rPr>
        <w:t xml:space="preserve">. Заходи щодо підвищення прихильності є міждисциплінарними. Вони включають служби освіти та моніторингу ВГС та, зокрема, допомогу спеціалізованої медсестри. </w:t>
      </w:r>
      <w:r w:rsidRPr="00BA5C0A">
        <w:rPr>
          <w:rFonts w:ascii="Times New Roman" w:hAnsi="Times New Roman" w:cs="Times New Roman"/>
          <w:color w:val="000000" w:themeColor="text1"/>
          <w:vertAlign w:val="superscript"/>
          <w:lang w:val="uk-UA"/>
        </w:rPr>
        <w:t>291,292</w:t>
      </w:r>
      <w:r w:rsidRPr="00BA5C0A">
        <w:rPr>
          <w:rFonts w:ascii="Times New Roman" w:hAnsi="Times New Roman" w:cs="Times New Roman"/>
          <w:color w:val="000000" w:themeColor="text1"/>
          <w:lang w:val="uk-UA"/>
        </w:rPr>
        <w:t xml:space="preserve"> Для іноземних пацієнтів перед початком лікування необхідно вирішити проблеми, пов’язані з мовним бар’єром для досягнення повного розуміння.</w:t>
      </w:r>
    </w:p>
    <w:p w14:paraId="28687D70" w14:textId="77777777" w:rsidR="00BA5C0A" w:rsidRPr="00BA5C0A" w:rsidRDefault="00BA5C0A" w:rsidP="00BA5C0A">
      <w:pPr>
        <w:jc w:val="both"/>
        <w:rPr>
          <w:rFonts w:ascii="Times New Roman" w:hAnsi="Times New Roman" w:cs="Times New Roman"/>
          <w:color w:val="000000" w:themeColor="text1"/>
          <w:lang w:val="uk-UA"/>
        </w:rPr>
      </w:pPr>
    </w:p>
    <w:p w14:paraId="4BA0FD97" w14:textId="13A9B8A6"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Щоб збільшити ймовірність отримання максимальної користі для пацієнтів, які </w:t>
      </w:r>
      <w:r w:rsidR="00B2632A">
        <w:rPr>
          <w:rFonts w:ascii="Times New Roman" w:hAnsi="Times New Roman" w:cs="Times New Roman"/>
          <w:color w:val="000000" w:themeColor="text1"/>
          <w:lang w:val="uk-UA"/>
        </w:rPr>
        <w:t>приймають</w:t>
      </w:r>
      <w:r w:rsidR="00B2632A" w:rsidRPr="00BA5C0A">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 xml:space="preserve">нові схеми лікування ВГС, слід присвятити увагу оцінці та підготовці до лікування, а також моніторингу та підтримці прихильності до лікування, що стало набагато легшим зі схемами без IFN. </w:t>
      </w:r>
      <w:r w:rsidR="005852CA">
        <w:rPr>
          <w:rFonts w:ascii="Times New Roman" w:hAnsi="Times New Roman" w:cs="Times New Roman"/>
          <w:color w:val="000000" w:themeColor="text1"/>
          <w:lang w:val="uk-UA"/>
        </w:rPr>
        <w:t>Можна використовувати і</w:t>
      </w:r>
      <w:r w:rsidRPr="00BA5C0A">
        <w:rPr>
          <w:rFonts w:ascii="Times New Roman" w:hAnsi="Times New Roman" w:cs="Times New Roman"/>
          <w:color w:val="000000" w:themeColor="text1"/>
          <w:lang w:val="uk-UA"/>
        </w:rPr>
        <w:t>нструменти</w:t>
      </w:r>
      <w:r w:rsidR="005852CA">
        <w:rPr>
          <w:rFonts w:ascii="Times New Roman" w:hAnsi="Times New Roman" w:cs="Times New Roman"/>
          <w:color w:val="000000" w:themeColor="text1"/>
          <w:lang w:val="uk-UA"/>
        </w:rPr>
        <w:t>, які використовуються для</w:t>
      </w:r>
      <w:r w:rsidRPr="00BA5C0A">
        <w:rPr>
          <w:rFonts w:ascii="Times New Roman" w:hAnsi="Times New Roman" w:cs="Times New Roman"/>
          <w:color w:val="000000" w:themeColor="text1"/>
          <w:lang w:val="uk-UA"/>
        </w:rPr>
        <w:t xml:space="preserve"> оцінки</w:t>
      </w:r>
      <w:r w:rsidR="005852CA">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хронічно</w:t>
      </w:r>
      <w:r w:rsidR="005852CA">
        <w:rPr>
          <w:rFonts w:ascii="Times New Roman" w:hAnsi="Times New Roman" w:cs="Times New Roman"/>
          <w:color w:val="000000" w:themeColor="text1"/>
          <w:lang w:val="uk-UA"/>
        </w:rPr>
        <w:t>го</w:t>
      </w:r>
      <w:r w:rsidRPr="00BA5C0A">
        <w:rPr>
          <w:rFonts w:ascii="Times New Roman" w:hAnsi="Times New Roman" w:cs="Times New Roman"/>
          <w:color w:val="000000" w:themeColor="text1"/>
          <w:lang w:val="uk-UA"/>
        </w:rPr>
        <w:t xml:space="preserve"> захворюванн</w:t>
      </w:r>
      <w:r w:rsidR="005852CA">
        <w:rPr>
          <w:rFonts w:ascii="Times New Roman" w:hAnsi="Times New Roman" w:cs="Times New Roman"/>
          <w:color w:val="000000" w:themeColor="text1"/>
          <w:lang w:val="uk-UA"/>
        </w:rPr>
        <w:t>я</w:t>
      </w:r>
      <w:r w:rsidRPr="00BA5C0A">
        <w:rPr>
          <w:rFonts w:ascii="Times New Roman" w:hAnsi="Times New Roman" w:cs="Times New Roman"/>
          <w:color w:val="000000" w:themeColor="text1"/>
          <w:lang w:val="uk-UA"/>
        </w:rPr>
        <w:t>.</w:t>
      </w:r>
      <w:r w:rsidRPr="00BA5C0A">
        <w:rPr>
          <w:rFonts w:ascii="Times New Roman" w:hAnsi="Times New Roman" w:cs="Times New Roman"/>
          <w:color w:val="000000" w:themeColor="text1"/>
          <w:vertAlign w:val="superscript"/>
          <w:lang w:val="uk-UA"/>
        </w:rPr>
        <w:t>293</w:t>
      </w:r>
    </w:p>
    <w:p w14:paraId="7A2D63C4" w14:textId="77777777" w:rsidR="00BA5C0A" w:rsidRPr="00BA5C0A" w:rsidRDefault="00BA5C0A" w:rsidP="00BA5C0A">
      <w:pPr>
        <w:jc w:val="both"/>
        <w:rPr>
          <w:rFonts w:ascii="Times New Roman" w:hAnsi="Times New Roman" w:cs="Times New Roman"/>
          <w:color w:val="000000" w:themeColor="text1"/>
          <w:lang w:val="uk-UA"/>
        </w:rPr>
      </w:pPr>
    </w:p>
    <w:p w14:paraId="3A595535" w14:textId="66F42B92"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Вживання алкоголю (</w:t>
      </w:r>
      <w:r w:rsidR="005852CA">
        <w:rPr>
          <w:rFonts w:ascii="Times New Roman" w:hAnsi="Times New Roman" w:cs="Times New Roman"/>
          <w:color w:val="000000" w:themeColor="text1"/>
          <w:lang w:val="uk-UA"/>
        </w:rPr>
        <w:t>бал</w:t>
      </w:r>
      <w:r w:rsidRPr="00BA5C0A">
        <w:rPr>
          <w:rFonts w:ascii="Times New Roman" w:hAnsi="Times New Roman" w:cs="Times New Roman"/>
          <w:color w:val="000000" w:themeColor="text1"/>
          <w:lang w:val="uk-UA"/>
        </w:rPr>
        <w:t xml:space="preserve"> Audit</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C</w:t>
      </w:r>
      <w:r w:rsidR="005852CA">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&gt;4) було пов'язано з невеликим зменшенням СВВ; однак, показники СВВ були хорошими, незалежно від показника Audit</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C, а надмірне споживання алкоголю не повинно бути підставою для зупин</w:t>
      </w:r>
      <w:r w:rsidR="00B2632A">
        <w:rPr>
          <w:rFonts w:ascii="Times New Roman" w:hAnsi="Times New Roman" w:cs="Times New Roman"/>
          <w:color w:val="000000" w:themeColor="text1"/>
          <w:lang w:val="uk-UA"/>
        </w:rPr>
        <w:t>ки л</w:t>
      </w:r>
      <w:r w:rsidRPr="00BA5C0A">
        <w:rPr>
          <w:rFonts w:ascii="Times New Roman" w:hAnsi="Times New Roman" w:cs="Times New Roman"/>
          <w:color w:val="000000" w:themeColor="text1"/>
          <w:lang w:val="uk-UA"/>
        </w:rPr>
        <w:t>ікування.</w:t>
      </w:r>
      <w:r w:rsidRPr="00BA5C0A">
        <w:rPr>
          <w:rFonts w:ascii="Times New Roman" w:hAnsi="Times New Roman" w:cs="Times New Roman"/>
          <w:color w:val="000000" w:themeColor="text1"/>
          <w:vertAlign w:val="superscript"/>
          <w:lang w:val="uk-UA"/>
        </w:rPr>
        <w:t>294</w:t>
      </w:r>
      <w:r w:rsidRPr="00BA5C0A">
        <w:rPr>
          <w:rFonts w:ascii="Times New Roman" w:hAnsi="Times New Roman" w:cs="Times New Roman"/>
          <w:color w:val="000000" w:themeColor="text1"/>
          <w:lang w:val="uk-UA"/>
        </w:rPr>
        <w:t xml:space="preserve"> Пацієнти з гепатитом С, </w:t>
      </w:r>
      <w:r w:rsidR="005852CA">
        <w:rPr>
          <w:rFonts w:ascii="Times New Roman" w:hAnsi="Times New Roman" w:cs="Times New Roman"/>
          <w:color w:val="000000" w:themeColor="text1"/>
          <w:lang w:val="uk-UA"/>
        </w:rPr>
        <w:t>які</w:t>
      </w:r>
      <w:r w:rsidRPr="00BA5C0A">
        <w:rPr>
          <w:rFonts w:ascii="Times New Roman" w:hAnsi="Times New Roman" w:cs="Times New Roman"/>
          <w:color w:val="000000" w:themeColor="text1"/>
          <w:lang w:val="uk-UA"/>
        </w:rPr>
        <w:t xml:space="preserve"> постійно вживають алкоголь під час лікування, повинні отримувати додаткову підтримку</w:t>
      </w:r>
      <w:r w:rsidR="00B2632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vertAlign w:val="superscript"/>
          <w:lang w:val="uk-UA"/>
        </w:rPr>
        <w:t>252</w:t>
      </w:r>
      <w:r w:rsidR="00FC6D8A">
        <w:rPr>
          <w:rFonts w:ascii="Times New Roman" w:hAnsi="Times New Roman" w:cs="Times New Roman"/>
          <w:color w:val="000000" w:themeColor="text1"/>
          <w:vertAlign w:val="superscript"/>
          <w:lang w:val="uk-UA"/>
        </w:rPr>
        <w:t>–</w:t>
      </w:r>
      <w:r w:rsidRPr="00BA5C0A">
        <w:rPr>
          <w:rFonts w:ascii="Times New Roman" w:hAnsi="Times New Roman" w:cs="Times New Roman"/>
          <w:color w:val="000000" w:themeColor="text1"/>
          <w:vertAlign w:val="superscript"/>
          <w:lang w:val="uk-UA"/>
        </w:rPr>
        <w:t>298</w:t>
      </w:r>
      <w:r w:rsidRPr="00BA5C0A">
        <w:rPr>
          <w:rFonts w:ascii="Times New Roman" w:hAnsi="Times New Roman" w:cs="Times New Roman"/>
          <w:color w:val="000000" w:themeColor="text1"/>
          <w:lang w:val="uk-UA"/>
        </w:rPr>
        <w:t xml:space="preserve"> Фармацевти повинні проводити консультації щодо потенційних лікарських взаємодій.</w:t>
      </w:r>
    </w:p>
    <w:p w14:paraId="1026A79A" w14:textId="77777777" w:rsidR="00BA5C0A" w:rsidRPr="00BA5C0A" w:rsidRDefault="00BA5C0A" w:rsidP="00BA5C0A">
      <w:pPr>
        <w:jc w:val="both"/>
        <w:rPr>
          <w:rFonts w:ascii="Times New Roman" w:hAnsi="Times New Roman" w:cs="Times New Roman"/>
          <w:color w:val="000000" w:themeColor="text1"/>
          <w:lang w:val="uk-UA"/>
        </w:rPr>
      </w:pPr>
    </w:p>
    <w:tbl>
      <w:tblPr>
        <w:tblW w:w="983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BA5C0A" w:rsidRPr="00BA5C0A" w14:paraId="688B2BFC" w14:textId="77777777" w:rsidTr="00F776B3">
        <w:trPr>
          <w:trHeight w:val="544"/>
        </w:trPr>
        <w:tc>
          <w:tcPr>
            <w:tcW w:w="9836" w:type="dxa"/>
            <w:shd w:val="clear" w:color="auto" w:fill="BDD6EE" w:themeFill="accent1" w:themeFillTint="66"/>
          </w:tcPr>
          <w:p w14:paraId="35F86E27" w14:textId="6BC47BF2" w:rsidR="00BA5C0A" w:rsidRDefault="00BA5C0A" w:rsidP="00BA5C0A">
            <w:pPr>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Рекомендації</w:t>
            </w:r>
          </w:p>
          <w:p w14:paraId="6BD3EA92" w14:textId="77777777" w:rsidR="00F776B3" w:rsidRPr="00BA5C0A" w:rsidRDefault="00F776B3" w:rsidP="00BA5C0A">
            <w:pPr>
              <w:jc w:val="both"/>
              <w:rPr>
                <w:rFonts w:ascii="Times New Roman" w:hAnsi="Times New Roman" w:cs="Times New Roman"/>
                <w:b/>
                <w:color w:val="4472C4" w:themeColor="accent5"/>
                <w:lang w:val="uk-UA"/>
              </w:rPr>
            </w:pPr>
          </w:p>
          <w:p w14:paraId="16A69248" w14:textId="77777777" w:rsidR="00BA5C0A" w:rsidRPr="00BA5C0A" w:rsidRDefault="00BA5C0A" w:rsidP="00015E3B">
            <w:pPr>
              <w:numPr>
                <w:ilvl w:val="0"/>
                <w:numId w:val="57"/>
              </w:numPr>
              <w:contextualSpacing/>
              <w:jc w:val="both"/>
              <w:rPr>
                <w:rFonts w:ascii="Times New Roman" w:hAnsi="Times New Roman" w:cs="Times New Roman"/>
                <w:lang w:val="uk-UA"/>
              </w:rPr>
            </w:pPr>
            <w:r w:rsidRPr="00BA5C0A">
              <w:rPr>
                <w:rFonts w:ascii="Times New Roman" w:hAnsi="Times New Roman" w:cs="Times New Roman"/>
                <w:lang w:val="uk-UA"/>
              </w:rPr>
              <w:t>Лікування ВГС повинно здійснюватися мультидисциплінарною командою у складі лікарів з досвідом оцінки та лікування ВГС (А1).</w:t>
            </w:r>
          </w:p>
          <w:p w14:paraId="0F468BE8" w14:textId="6376B66E" w:rsidR="00BA5C0A" w:rsidRPr="00BA5C0A" w:rsidRDefault="00BA5C0A" w:rsidP="00015E3B">
            <w:pPr>
              <w:numPr>
                <w:ilvl w:val="0"/>
                <w:numId w:val="57"/>
              </w:numPr>
              <w:contextualSpacing/>
              <w:jc w:val="both"/>
              <w:rPr>
                <w:rFonts w:ascii="Times New Roman" w:hAnsi="Times New Roman" w:cs="Times New Roman"/>
                <w:lang w:val="uk-UA"/>
              </w:rPr>
            </w:pPr>
            <w:r w:rsidRPr="00BA5C0A">
              <w:rPr>
                <w:rFonts w:ascii="Times New Roman" w:hAnsi="Times New Roman" w:cs="Times New Roman"/>
                <w:lang w:val="uk-UA"/>
              </w:rPr>
              <w:lastRenderedPageBreak/>
              <w:t>Пацієнтів із ВГС</w:t>
            </w:r>
            <w:r w:rsidR="00FC6D8A">
              <w:rPr>
                <w:rFonts w:ascii="Times New Roman" w:hAnsi="Times New Roman" w:cs="Times New Roman"/>
                <w:lang w:val="uk-UA"/>
              </w:rPr>
              <w:t>–</w:t>
            </w:r>
            <w:r w:rsidRPr="00BA5C0A">
              <w:rPr>
                <w:rFonts w:ascii="Times New Roman" w:hAnsi="Times New Roman" w:cs="Times New Roman"/>
                <w:lang w:val="uk-UA"/>
              </w:rPr>
              <w:t xml:space="preserve">інфекцією слід консультувати щодо важливості </w:t>
            </w:r>
            <w:r w:rsidR="00B2632A">
              <w:rPr>
                <w:rFonts w:ascii="Times New Roman" w:hAnsi="Times New Roman" w:cs="Times New Roman"/>
                <w:lang w:val="uk-UA"/>
              </w:rPr>
              <w:t xml:space="preserve">прихильності до </w:t>
            </w:r>
            <w:r w:rsidRPr="00BA5C0A">
              <w:rPr>
                <w:rFonts w:ascii="Times New Roman" w:hAnsi="Times New Roman" w:cs="Times New Roman"/>
                <w:lang w:val="uk-UA"/>
              </w:rPr>
              <w:t>лікування для досягнення СВВ (A1).</w:t>
            </w:r>
          </w:p>
          <w:p w14:paraId="2071FC27" w14:textId="005CC3B1" w:rsidR="00BA5C0A" w:rsidRPr="00BA5C0A" w:rsidRDefault="00BA5C0A" w:rsidP="00015E3B">
            <w:pPr>
              <w:numPr>
                <w:ilvl w:val="0"/>
                <w:numId w:val="57"/>
              </w:numPr>
              <w:contextualSpacing/>
              <w:jc w:val="both"/>
              <w:rPr>
                <w:rFonts w:ascii="Times New Roman" w:hAnsi="Times New Roman" w:cs="Times New Roman"/>
                <w:lang w:val="uk-UA"/>
              </w:rPr>
            </w:pPr>
            <w:r w:rsidRPr="00BA5C0A">
              <w:rPr>
                <w:rFonts w:ascii="Times New Roman" w:hAnsi="Times New Roman" w:cs="Times New Roman"/>
                <w:lang w:val="uk-UA"/>
              </w:rPr>
              <w:t>У лікуванні ВГС у соціально</w:t>
            </w:r>
            <w:r w:rsidR="00B2632A">
              <w:rPr>
                <w:rFonts w:ascii="Times New Roman" w:hAnsi="Times New Roman" w:cs="Times New Roman"/>
                <w:lang w:val="uk-UA"/>
              </w:rPr>
              <w:t xml:space="preserve"> неблагополучних</w:t>
            </w:r>
            <w:r w:rsidRPr="00BA5C0A">
              <w:rPr>
                <w:rFonts w:ascii="Times New Roman" w:hAnsi="Times New Roman" w:cs="Times New Roman"/>
                <w:lang w:val="uk-UA"/>
              </w:rPr>
              <w:t xml:space="preserve"> пацієнтів та мігрантів повинні брати участь служби соціальної підтримки (В1).</w:t>
            </w:r>
          </w:p>
          <w:p w14:paraId="4FE338D6" w14:textId="59B326B9" w:rsidR="00BA5C0A" w:rsidRPr="00BA5C0A" w:rsidRDefault="00BA5C0A" w:rsidP="00015E3B">
            <w:pPr>
              <w:numPr>
                <w:ilvl w:val="0"/>
                <w:numId w:val="57"/>
              </w:numPr>
              <w:contextualSpacing/>
              <w:jc w:val="both"/>
              <w:rPr>
                <w:rFonts w:ascii="Times New Roman" w:hAnsi="Times New Roman" w:cs="Times New Roman"/>
                <w:lang w:val="uk-UA"/>
              </w:rPr>
            </w:pPr>
            <w:r w:rsidRPr="00BA5C0A">
              <w:rPr>
                <w:rFonts w:ascii="Times New Roman" w:hAnsi="Times New Roman" w:cs="Times New Roman"/>
                <w:lang w:val="uk-UA"/>
              </w:rPr>
              <w:t>Рекомендована підтримка груп рівний</w:t>
            </w:r>
            <w:r w:rsidR="00FC6D8A">
              <w:rPr>
                <w:rFonts w:ascii="Times New Roman" w:hAnsi="Times New Roman" w:cs="Times New Roman"/>
                <w:lang w:val="uk-UA"/>
              </w:rPr>
              <w:t>–</w:t>
            </w:r>
            <w:r w:rsidRPr="00BA5C0A">
              <w:rPr>
                <w:rFonts w:ascii="Times New Roman" w:hAnsi="Times New Roman" w:cs="Times New Roman"/>
                <w:lang w:val="uk-UA"/>
              </w:rPr>
              <w:t>рівному та оцінка активності пацієнтів для поліпшення клінічного контролю ВГС (В2).</w:t>
            </w:r>
          </w:p>
          <w:p w14:paraId="5B084D52" w14:textId="403868DD" w:rsidR="00BA5C0A" w:rsidRPr="00BA5C0A" w:rsidRDefault="00BA5C0A" w:rsidP="00015E3B">
            <w:pPr>
              <w:numPr>
                <w:ilvl w:val="0"/>
                <w:numId w:val="57"/>
              </w:numPr>
              <w:contextualSpacing/>
              <w:jc w:val="both"/>
              <w:rPr>
                <w:rFonts w:ascii="Times New Roman" w:hAnsi="Times New Roman" w:cs="Times New Roman"/>
                <w:lang w:val="uk-UA"/>
              </w:rPr>
            </w:pPr>
            <w:r w:rsidRPr="00BA5C0A">
              <w:rPr>
                <w:rFonts w:ascii="Times New Roman" w:hAnsi="Times New Roman" w:cs="Times New Roman"/>
                <w:lang w:val="uk-UA"/>
              </w:rPr>
              <w:t>Пацієнти з надмірним споживанням алкоголю під час лікування повинні отримувати додаткову підтримку (В1)</w:t>
            </w:r>
          </w:p>
        </w:tc>
      </w:tr>
    </w:tbl>
    <w:p w14:paraId="3E2363A6" w14:textId="77777777" w:rsidR="00BA5C0A" w:rsidRPr="00BA5C0A" w:rsidRDefault="00BA5C0A" w:rsidP="00BA5C0A">
      <w:pPr>
        <w:jc w:val="both"/>
        <w:rPr>
          <w:rFonts w:ascii="Times New Roman" w:hAnsi="Times New Roman" w:cs="Times New Roman"/>
          <w:b/>
          <w:color w:val="4472C4" w:themeColor="accent5"/>
          <w:sz w:val="36"/>
          <w:szCs w:val="36"/>
          <w:lang w:val="uk-UA"/>
        </w:rPr>
      </w:pPr>
    </w:p>
    <w:p w14:paraId="6EB2AFDE" w14:textId="77777777" w:rsidR="00BA5C0A" w:rsidRPr="00F776B3" w:rsidRDefault="00BA5C0A" w:rsidP="00BA5C0A">
      <w:pPr>
        <w:jc w:val="both"/>
        <w:rPr>
          <w:rFonts w:ascii="Times New Roman" w:hAnsi="Times New Roman" w:cs="Times New Roman"/>
          <w:b/>
          <w:color w:val="4472C4" w:themeColor="accent5"/>
          <w:sz w:val="32"/>
          <w:szCs w:val="32"/>
          <w:lang w:val="uk-UA"/>
        </w:rPr>
      </w:pPr>
      <w:r w:rsidRPr="00F776B3">
        <w:rPr>
          <w:rFonts w:ascii="Times New Roman" w:hAnsi="Times New Roman" w:cs="Times New Roman"/>
          <w:b/>
          <w:color w:val="4472C4" w:themeColor="accent5"/>
          <w:sz w:val="32"/>
          <w:szCs w:val="32"/>
          <w:lang w:val="uk-UA"/>
        </w:rPr>
        <w:t>Подальше лікування пацієнтів, які досягають СВВ</w:t>
      </w:r>
    </w:p>
    <w:p w14:paraId="5811CC50" w14:textId="77777777" w:rsidR="00BA5C0A" w:rsidRPr="00BA5C0A" w:rsidRDefault="00BA5C0A" w:rsidP="00BA5C0A">
      <w:pPr>
        <w:jc w:val="both"/>
        <w:rPr>
          <w:rFonts w:ascii="Times New Roman" w:hAnsi="Times New Roman" w:cs="Times New Roman"/>
          <w:b/>
          <w:color w:val="000000" w:themeColor="text1"/>
          <w:sz w:val="36"/>
          <w:szCs w:val="36"/>
          <w:lang w:val="uk-UA"/>
        </w:rPr>
      </w:pPr>
    </w:p>
    <w:p w14:paraId="3DD7EBDC" w14:textId="09DAF46E" w:rsidR="00BA5C0A" w:rsidRPr="00BA5C0A" w:rsidRDefault="00B2632A" w:rsidP="00BA5C0A">
      <w:pPr>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Досягнення СВВ розглядається як повне виліковування у пацієнтів, які не мають цирозу. </w:t>
      </w:r>
      <w:r w:rsidR="00BA5C0A" w:rsidRPr="00BA5C0A">
        <w:rPr>
          <w:rFonts w:ascii="Times New Roman" w:hAnsi="Times New Roman" w:cs="Times New Roman"/>
          <w:color w:val="000000" w:themeColor="text1"/>
          <w:lang w:val="uk-UA"/>
        </w:rPr>
        <w:t xml:space="preserve">Пацієнти з існуючими супутніми фактрами захворювання печінки (зокрема, історія надмірного споживання алкоголю, ожиріння та/або діабет 2 типу) повинні </w:t>
      </w:r>
      <w:r w:rsidR="00F776B3">
        <w:rPr>
          <w:rFonts w:ascii="Times New Roman" w:hAnsi="Times New Roman" w:cs="Times New Roman"/>
          <w:color w:val="000000" w:themeColor="text1"/>
          <w:lang w:val="uk-UA"/>
        </w:rPr>
        <w:t xml:space="preserve">за необхідності отримувати додадкові послуги. </w:t>
      </w:r>
    </w:p>
    <w:p w14:paraId="1F8025C0" w14:textId="77777777" w:rsidR="00BA5C0A" w:rsidRPr="00BA5C0A" w:rsidRDefault="00BA5C0A" w:rsidP="00BA5C0A">
      <w:pPr>
        <w:jc w:val="both"/>
        <w:rPr>
          <w:rFonts w:ascii="Times New Roman" w:hAnsi="Times New Roman" w:cs="Times New Roman"/>
          <w:color w:val="000000" w:themeColor="text1"/>
          <w:lang w:val="uk-UA"/>
        </w:rPr>
      </w:pPr>
    </w:p>
    <w:p w14:paraId="1234ED87" w14:textId="02D67714"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Пацієнти з </w:t>
      </w:r>
      <w:r w:rsidR="00F776B3">
        <w:rPr>
          <w:rFonts w:ascii="Times New Roman" w:hAnsi="Times New Roman" w:cs="Times New Roman"/>
          <w:color w:val="000000" w:themeColor="text1"/>
          <w:lang w:val="uk-UA"/>
        </w:rPr>
        <w:t>вираженим</w:t>
      </w:r>
      <w:r w:rsidRPr="00BA5C0A">
        <w:rPr>
          <w:rFonts w:ascii="Times New Roman" w:hAnsi="Times New Roman" w:cs="Times New Roman"/>
          <w:color w:val="000000" w:themeColor="text1"/>
          <w:lang w:val="uk-UA"/>
        </w:rPr>
        <w:t xml:space="preserve"> фіброзом (оцінка METAVIR F3) та пацієнти з цирозом печінки (F4), які досягають СВВ, повинні </w:t>
      </w:r>
      <w:r w:rsidR="00F776B3">
        <w:rPr>
          <w:rFonts w:ascii="Times New Roman" w:hAnsi="Times New Roman" w:cs="Times New Roman"/>
          <w:color w:val="000000" w:themeColor="text1"/>
          <w:lang w:val="uk-UA"/>
        </w:rPr>
        <w:t xml:space="preserve">проходити </w:t>
      </w:r>
      <w:r w:rsidR="00F776B3" w:rsidRPr="00BA5C0A">
        <w:rPr>
          <w:rFonts w:ascii="Times New Roman" w:hAnsi="Times New Roman" w:cs="Times New Roman"/>
          <w:color w:val="000000" w:themeColor="text1"/>
          <w:lang w:val="uk-UA"/>
        </w:rPr>
        <w:t>ультразвуков</w:t>
      </w:r>
      <w:r w:rsidR="00F776B3">
        <w:rPr>
          <w:rFonts w:ascii="Times New Roman" w:hAnsi="Times New Roman" w:cs="Times New Roman"/>
          <w:color w:val="000000" w:themeColor="text1"/>
          <w:lang w:val="uk-UA"/>
        </w:rPr>
        <w:t>е</w:t>
      </w:r>
      <w:r w:rsidR="00F776B3" w:rsidRPr="00BA5C0A">
        <w:rPr>
          <w:rFonts w:ascii="Times New Roman" w:hAnsi="Times New Roman" w:cs="Times New Roman"/>
          <w:color w:val="000000" w:themeColor="text1"/>
          <w:lang w:val="uk-UA"/>
        </w:rPr>
        <w:t xml:space="preserve"> дослідження</w:t>
      </w:r>
      <w:r w:rsidR="00F776B3">
        <w:rPr>
          <w:rFonts w:ascii="Times New Roman" w:hAnsi="Times New Roman" w:cs="Times New Roman"/>
          <w:color w:val="000000" w:themeColor="text1"/>
          <w:lang w:val="uk-UA"/>
        </w:rPr>
        <w:t xml:space="preserve"> </w:t>
      </w:r>
      <w:r w:rsidR="00D628F0">
        <w:rPr>
          <w:rFonts w:ascii="Times New Roman" w:hAnsi="Times New Roman" w:cs="Times New Roman"/>
          <w:color w:val="000000" w:themeColor="text1"/>
          <w:lang w:val="uk-UA"/>
        </w:rPr>
        <w:t>щодо</w:t>
      </w:r>
      <w:r w:rsidRPr="00BA5C0A">
        <w:rPr>
          <w:rFonts w:ascii="Times New Roman" w:hAnsi="Times New Roman" w:cs="Times New Roman"/>
          <w:color w:val="000000" w:themeColor="text1"/>
          <w:lang w:val="uk-UA"/>
        </w:rPr>
        <w:t xml:space="preserve"> розвитку ГЦК кожні 6 місяців, </w:t>
      </w:r>
      <w:r w:rsidR="003B2B06">
        <w:rPr>
          <w:rFonts w:ascii="Times New Roman" w:hAnsi="Times New Roman" w:cs="Times New Roman"/>
          <w:color w:val="000000" w:themeColor="text1"/>
          <w:lang w:val="uk-UA"/>
        </w:rPr>
        <w:t xml:space="preserve">та проходити ендоскопію якщо попередньо було виявлено варикозне розширення вен стравоходу </w:t>
      </w:r>
      <w:r w:rsidRPr="00BA5C0A">
        <w:rPr>
          <w:rFonts w:ascii="Times New Roman" w:hAnsi="Times New Roman" w:cs="Times New Roman"/>
          <w:color w:val="000000" w:themeColor="text1"/>
          <w:lang w:val="uk-UA"/>
        </w:rPr>
        <w:t xml:space="preserve">(хоча первинні варикозні кровотечі спостерігаються рідко після СВВ). </w:t>
      </w:r>
    </w:p>
    <w:p w14:paraId="1388FF0E" w14:textId="77777777" w:rsidR="00BA5C0A" w:rsidRPr="00BA5C0A" w:rsidRDefault="00BA5C0A" w:rsidP="00BA5C0A">
      <w:pPr>
        <w:jc w:val="both"/>
        <w:rPr>
          <w:rFonts w:ascii="Times New Roman" w:hAnsi="Times New Roman" w:cs="Times New Roman"/>
          <w:color w:val="000000" w:themeColor="text1"/>
          <w:lang w:val="uk-UA"/>
        </w:rPr>
      </w:pPr>
    </w:p>
    <w:p w14:paraId="09AD799B" w14:textId="47DD2EAF"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 xml:space="preserve">Наявність кофакторів захворювання печінки, таких як </w:t>
      </w:r>
      <w:r w:rsidR="005852CA">
        <w:rPr>
          <w:rFonts w:ascii="Times New Roman" w:hAnsi="Times New Roman" w:cs="Times New Roman"/>
          <w:color w:val="000000" w:themeColor="text1"/>
          <w:lang w:val="uk-UA"/>
        </w:rPr>
        <w:t>зловживання</w:t>
      </w:r>
      <w:r w:rsidRPr="00BA5C0A">
        <w:rPr>
          <w:rFonts w:ascii="Times New Roman" w:hAnsi="Times New Roman" w:cs="Times New Roman"/>
          <w:color w:val="000000" w:themeColor="text1"/>
          <w:lang w:val="uk-UA"/>
        </w:rPr>
        <w:t xml:space="preserve"> алкогол</w:t>
      </w:r>
      <w:r w:rsidR="005852CA">
        <w:rPr>
          <w:rFonts w:ascii="Times New Roman" w:hAnsi="Times New Roman" w:cs="Times New Roman"/>
          <w:color w:val="000000" w:themeColor="text1"/>
          <w:lang w:val="uk-UA"/>
        </w:rPr>
        <w:t>ем в анамнезі</w:t>
      </w:r>
      <w:r w:rsidRPr="00BA5C0A">
        <w:rPr>
          <w:rFonts w:ascii="Times New Roman" w:hAnsi="Times New Roman" w:cs="Times New Roman"/>
          <w:color w:val="000000" w:themeColor="text1"/>
          <w:lang w:val="uk-UA"/>
        </w:rPr>
        <w:t xml:space="preserve">, метаболічний синдром, </w:t>
      </w:r>
      <w:r w:rsidR="005852CA">
        <w:rPr>
          <w:rFonts w:ascii="Times New Roman" w:hAnsi="Times New Roman" w:cs="Times New Roman"/>
          <w:color w:val="000000" w:themeColor="text1"/>
          <w:lang w:val="uk-UA"/>
        </w:rPr>
        <w:t>який м</w:t>
      </w:r>
      <w:r w:rsidRPr="00BA5C0A">
        <w:rPr>
          <w:rFonts w:ascii="Times New Roman" w:hAnsi="Times New Roman" w:cs="Times New Roman"/>
          <w:color w:val="000000" w:themeColor="text1"/>
          <w:lang w:val="uk-UA"/>
        </w:rPr>
        <w:t>ож</w:t>
      </w:r>
      <w:r w:rsidR="005852CA">
        <w:rPr>
          <w:rFonts w:ascii="Times New Roman" w:hAnsi="Times New Roman" w:cs="Times New Roman"/>
          <w:color w:val="000000" w:themeColor="text1"/>
          <w:lang w:val="uk-UA"/>
        </w:rPr>
        <w:t>е бути</w:t>
      </w:r>
      <w:r w:rsidRPr="00BA5C0A">
        <w:rPr>
          <w:rFonts w:ascii="Times New Roman" w:hAnsi="Times New Roman" w:cs="Times New Roman"/>
          <w:color w:val="000000" w:themeColor="text1"/>
          <w:lang w:val="uk-UA"/>
        </w:rPr>
        <w:t xml:space="preserve"> пов'язаний з ожирінням та/або діабетом 2 типу, може визначати, чи необхідні додаткові оцінки. </w:t>
      </w:r>
      <w:r w:rsidR="008F28C6" w:rsidRPr="00BA5C0A">
        <w:rPr>
          <w:rFonts w:ascii="Times New Roman" w:hAnsi="Times New Roman" w:cs="Times New Roman"/>
          <w:color w:val="000000" w:themeColor="text1"/>
          <w:lang w:val="uk-UA"/>
        </w:rPr>
        <w:t>Довго</w:t>
      </w:r>
      <w:r w:rsidR="008F28C6">
        <w:rPr>
          <w:rFonts w:ascii="Times New Roman" w:hAnsi="Times New Roman" w:cs="Times New Roman"/>
          <w:color w:val="000000" w:themeColor="text1"/>
          <w:lang w:val="uk-UA"/>
        </w:rPr>
        <w:t>тривалі</w:t>
      </w:r>
      <w:r w:rsidR="008F28C6" w:rsidRPr="00BA5C0A">
        <w:rPr>
          <w:rFonts w:ascii="Times New Roman" w:hAnsi="Times New Roman" w:cs="Times New Roman"/>
          <w:color w:val="000000" w:themeColor="text1"/>
          <w:lang w:val="uk-UA"/>
        </w:rPr>
        <w:t xml:space="preserve"> </w:t>
      </w:r>
      <w:r w:rsidRPr="00BA5C0A">
        <w:rPr>
          <w:rFonts w:ascii="Times New Roman" w:hAnsi="Times New Roman" w:cs="Times New Roman"/>
          <w:color w:val="000000" w:themeColor="text1"/>
          <w:lang w:val="uk-UA"/>
        </w:rPr>
        <w:t>дослідження, проведені після досягнення</w:t>
      </w:r>
      <w:r w:rsidR="008F28C6">
        <w:rPr>
          <w:rFonts w:ascii="Times New Roman" w:hAnsi="Times New Roman" w:cs="Times New Roman"/>
          <w:color w:val="000000" w:themeColor="text1"/>
          <w:lang w:val="uk-UA"/>
        </w:rPr>
        <w:t xml:space="preserve"> у пацієнтів</w:t>
      </w:r>
      <w:r w:rsidRPr="00BA5C0A">
        <w:rPr>
          <w:rFonts w:ascii="Times New Roman" w:hAnsi="Times New Roman" w:cs="Times New Roman"/>
          <w:color w:val="000000" w:themeColor="text1"/>
          <w:lang w:val="uk-UA"/>
        </w:rPr>
        <w:t xml:space="preserve"> СВВ, показали, що хоча ризик розвитку ГЦК знижується</w:t>
      </w:r>
      <w:r w:rsidR="00334506">
        <w:rPr>
          <w:rFonts w:ascii="Times New Roman" w:hAnsi="Times New Roman" w:cs="Times New Roman"/>
          <w:color w:val="000000" w:themeColor="text1"/>
          <w:lang w:val="uk-UA"/>
        </w:rPr>
        <w:t>, порівнюючи</w:t>
      </w:r>
      <w:r w:rsidRPr="00BA5C0A">
        <w:rPr>
          <w:rFonts w:ascii="Times New Roman" w:hAnsi="Times New Roman" w:cs="Times New Roman"/>
          <w:color w:val="000000" w:themeColor="text1"/>
          <w:lang w:val="uk-UA"/>
        </w:rPr>
        <w:t xml:space="preserve"> з тими, хто не отримував лікування або у пацієнтів, які не досяг</w:t>
      </w:r>
      <w:r w:rsidR="003B2B06">
        <w:rPr>
          <w:rFonts w:ascii="Times New Roman" w:hAnsi="Times New Roman" w:cs="Times New Roman"/>
          <w:color w:val="000000" w:themeColor="text1"/>
          <w:lang w:val="uk-UA"/>
        </w:rPr>
        <w:t>ли</w:t>
      </w:r>
      <w:r w:rsidRPr="00BA5C0A">
        <w:rPr>
          <w:rFonts w:ascii="Times New Roman" w:hAnsi="Times New Roman" w:cs="Times New Roman"/>
          <w:color w:val="000000" w:themeColor="text1"/>
          <w:lang w:val="uk-UA"/>
        </w:rPr>
        <w:t xml:space="preserve"> СВВ, він залишається </w:t>
      </w:r>
      <w:r w:rsidR="00334506">
        <w:rPr>
          <w:rFonts w:ascii="Times New Roman" w:hAnsi="Times New Roman" w:cs="Times New Roman"/>
          <w:color w:val="000000" w:themeColor="text1"/>
          <w:lang w:val="uk-UA"/>
        </w:rPr>
        <w:t xml:space="preserve">високим </w:t>
      </w:r>
      <w:r w:rsidRPr="00BA5C0A">
        <w:rPr>
          <w:rFonts w:ascii="Times New Roman" w:hAnsi="Times New Roman" w:cs="Times New Roman"/>
          <w:color w:val="000000" w:themeColor="text1"/>
          <w:lang w:val="uk-UA"/>
        </w:rPr>
        <w:t>серед пацієнтів з цирозом печінки та вилікованим ВГС.</w:t>
      </w:r>
      <w:r w:rsidRPr="00BA5C0A">
        <w:rPr>
          <w:rFonts w:ascii="Times New Roman" w:hAnsi="Times New Roman" w:cs="Times New Roman"/>
          <w:color w:val="000000" w:themeColor="text1"/>
          <w:vertAlign w:val="superscript"/>
          <w:lang w:val="uk-UA"/>
        </w:rPr>
        <w:t xml:space="preserve">3,4,8,152,299 </w:t>
      </w:r>
      <w:r w:rsidRPr="00BA5C0A">
        <w:rPr>
          <w:rFonts w:ascii="Times New Roman" w:hAnsi="Times New Roman" w:cs="Times New Roman"/>
          <w:color w:val="000000" w:themeColor="text1"/>
          <w:lang w:val="uk-UA"/>
        </w:rPr>
        <w:t>Таким чином, тривалість спостереження за ГЦК у пацієнтів з розвиненою формою фіброзу або цирозу, які досягають СВВ, є пожиттєвою.</w:t>
      </w:r>
    </w:p>
    <w:p w14:paraId="5F1EE7A7" w14:textId="77777777" w:rsidR="00BA5C0A" w:rsidRPr="00BA5C0A" w:rsidRDefault="00BA5C0A" w:rsidP="00BA5C0A">
      <w:pPr>
        <w:jc w:val="both"/>
        <w:rPr>
          <w:rFonts w:ascii="Times New Roman" w:hAnsi="Times New Roman" w:cs="Times New Roman"/>
          <w:color w:val="000000" w:themeColor="text1"/>
          <w:lang w:val="uk-UA"/>
        </w:rPr>
      </w:pPr>
    </w:p>
    <w:p w14:paraId="3FA9E249" w14:textId="2417EE6B"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Відп</w:t>
      </w:r>
      <w:r w:rsidR="003B2B06">
        <w:rPr>
          <w:rFonts w:ascii="Times New Roman" w:hAnsi="Times New Roman" w:cs="Times New Roman"/>
          <w:color w:val="000000" w:themeColor="text1"/>
          <w:lang w:val="uk-UA"/>
        </w:rPr>
        <w:t>о</w:t>
      </w:r>
      <w:r w:rsidRPr="00BA5C0A">
        <w:rPr>
          <w:rFonts w:ascii="Times New Roman" w:hAnsi="Times New Roman" w:cs="Times New Roman"/>
          <w:color w:val="000000" w:themeColor="text1"/>
          <w:lang w:val="uk-UA"/>
        </w:rPr>
        <w:t xml:space="preserve">відно </w:t>
      </w:r>
      <w:r w:rsidR="005852CA">
        <w:rPr>
          <w:rFonts w:ascii="Times New Roman" w:hAnsi="Times New Roman" w:cs="Times New Roman"/>
          <w:color w:val="000000" w:themeColor="text1"/>
          <w:lang w:val="uk-UA"/>
        </w:rPr>
        <w:t xml:space="preserve">до </w:t>
      </w:r>
      <w:r w:rsidRPr="00BA5C0A">
        <w:rPr>
          <w:rFonts w:ascii="Times New Roman" w:hAnsi="Times New Roman" w:cs="Times New Roman"/>
          <w:color w:val="000000" w:themeColor="text1"/>
          <w:lang w:val="uk-UA"/>
        </w:rPr>
        <w:t>даних, показники реінфекції після успішного лікування ВГС серед пацієнтів з високим ступенем ризику, таких як ВІЛ</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інфіковані пацієнти або </w:t>
      </w:r>
      <w:r w:rsidR="00C07829">
        <w:rPr>
          <w:rFonts w:ascii="Times New Roman" w:hAnsi="Times New Roman" w:cs="Times New Roman"/>
          <w:color w:val="000000" w:themeColor="text1"/>
          <w:lang w:val="uk-UA"/>
        </w:rPr>
        <w:t>ЧСЧ</w:t>
      </w:r>
      <w:r w:rsidRPr="00BA5C0A">
        <w:rPr>
          <w:rFonts w:ascii="Times New Roman" w:hAnsi="Times New Roman" w:cs="Times New Roman"/>
          <w:color w:val="000000" w:themeColor="text1"/>
          <w:lang w:val="uk-UA"/>
        </w:rPr>
        <w:t>, складають близько 1</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8% на рік.</w:t>
      </w:r>
      <w:r w:rsidRPr="00BA5C0A">
        <w:rPr>
          <w:rFonts w:ascii="Times New Roman" w:hAnsi="Times New Roman" w:cs="Times New Roman"/>
          <w:color w:val="000000" w:themeColor="text1"/>
          <w:vertAlign w:val="superscript"/>
          <w:lang w:val="uk-UA"/>
        </w:rPr>
        <w:t>246</w:t>
      </w:r>
      <w:r w:rsidR="00FC6D8A">
        <w:rPr>
          <w:rFonts w:ascii="Times New Roman" w:hAnsi="Times New Roman" w:cs="Times New Roman"/>
          <w:color w:val="000000" w:themeColor="text1"/>
          <w:vertAlign w:val="superscript"/>
          <w:lang w:val="uk-UA"/>
        </w:rPr>
        <w:t>–</w:t>
      </w:r>
      <w:r w:rsidRPr="00BA5C0A">
        <w:rPr>
          <w:rFonts w:ascii="Times New Roman" w:hAnsi="Times New Roman" w:cs="Times New Roman"/>
          <w:color w:val="000000" w:themeColor="text1"/>
          <w:vertAlign w:val="superscript"/>
          <w:lang w:val="uk-UA"/>
        </w:rPr>
        <w:t xml:space="preserve"> 249,251,300</w:t>
      </w:r>
      <w:r w:rsidR="00FC6D8A">
        <w:rPr>
          <w:rFonts w:ascii="Times New Roman" w:hAnsi="Times New Roman" w:cs="Times New Roman"/>
          <w:color w:val="000000" w:themeColor="text1"/>
          <w:vertAlign w:val="superscript"/>
          <w:lang w:val="uk-UA"/>
        </w:rPr>
        <w:t>–</w:t>
      </w:r>
      <w:r w:rsidRPr="00BA5C0A">
        <w:rPr>
          <w:rFonts w:ascii="Times New Roman" w:hAnsi="Times New Roman" w:cs="Times New Roman"/>
          <w:color w:val="000000" w:themeColor="text1"/>
          <w:vertAlign w:val="superscript"/>
          <w:lang w:val="uk-UA"/>
        </w:rPr>
        <w:t>304</w:t>
      </w:r>
      <w:r w:rsidRPr="00BA5C0A">
        <w:rPr>
          <w:rFonts w:ascii="Times New Roman" w:hAnsi="Times New Roman" w:cs="Times New Roman"/>
          <w:color w:val="000000" w:themeColor="text1"/>
          <w:lang w:val="uk-UA"/>
        </w:rPr>
        <w:t xml:space="preserve"> Як нещодавно було запропоновано, </w:t>
      </w:r>
      <w:r w:rsidRPr="00BA5C0A">
        <w:rPr>
          <w:rFonts w:ascii="Times New Roman" w:hAnsi="Times New Roman" w:cs="Times New Roman"/>
          <w:color w:val="000000" w:themeColor="text1"/>
          <w:vertAlign w:val="superscript"/>
          <w:lang w:val="uk-UA"/>
        </w:rPr>
        <w:t>305</w:t>
      </w:r>
      <w:r w:rsidRPr="00BA5C0A">
        <w:rPr>
          <w:rFonts w:ascii="Times New Roman" w:hAnsi="Times New Roman" w:cs="Times New Roman"/>
          <w:color w:val="000000" w:themeColor="text1"/>
          <w:lang w:val="uk-UA"/>
        </w:rPr>
        <w:t>простота безінтерферонової терапії може підвищувати ймовірність реінфекції. Щоб максимально використовувати переваги терапії, ризики реінфекції повинні підкреслюватися пацієнтам, які перебувають у групі ризику, і зміна їх поведінки повинна підтримуватися. Пацієнти з групи ризику повинні перевірятися на реінфекцію, а реінфікованим пацієнтам, через 3 місяці, у випадку розвитку хронічної інфекції, слід запропонувати лікування.</w:t>
      </w:r>
    </w:p>
    <w:p w14:paraId="01000EB6" w14:textId="77777777" w:rsidR="00BA5C0A" w:rsidRPr="00BA5C0A" w:rsidRDefault="00BA5C0A" w:rsidP="00BA5C0A">
      <w:pPr>
        <w:jc w:val="both"/>
        <w:rPr>
          <w:rFonts w:ascii="Times New Roman" w:hAnsi="Times New Roman" w:cs="Times New Roman"/>
          <w:color w:val="4472C4" w:themeColor="accent5"/>
          <w:lang w:val="uk-UA"/>
        </w:rPr>
      </w:pPr>
    </w:p>
    <w:tbl>
      <w:tblPr>
        <w:tblW w:w="983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BA5C0A" w:rsidRPr="00BA5C0A" w14:paraId="4E31C79D" w14:textId="77777777" w:rsidTr="003B2B06">
        <w:trPr>
          <w:trHeight w:val="544"/>
        </w:trPr>
        <w:tc>
          <w:tcPr>
            <w:tcW w:w="9836" w:type="dxa"/>
            <w:shd w:val="clear" w:color="auto" w:fill="BDD6EE" w:themeFill="accent1" w:themeFillTint="66"/>
          </w:tcPr>
          <w:p w14:paraId="7A4102DA" w14:textId="5D937974" w:rsidR="00BA5C0A" w:rsidRDefault="00BA5C0A" w:rsidP="00BA5C0A">
            <w:pPr>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Рекомендації</w:t>
            </w:r>
          </w:p>
          <w:p w14:paraId="7DA743EF" w14:textId="77777777" w:rsidR="00074BEC" w:rsidRPr="00BA5C0A" w:rsidRDefault="00074BEC" w:rsidP="00BA5C0A">
            <w:pPr>
              <w:jc w:val="both"/>
              <w:rPr>
                <w:rFonts w:ascii="Times New Roman" w:hAnsi="Times New Roman" w:cs="Times New Roman"/>
                <w:b/>
                <w:color w:val="4472C4" w:themeColor="accent5"/>
                <w:lang w:val="uk-UA"/>
              </w:rPr>
            </w:pPr>
          </w:p>
          <w:p w14:paraId="2B1761E1" w14:textId="7CEE872A" w:rsidR="00BA5C0A" w:rsidRPr="00BA5C0A" w:rsidRDefault="00BA5C0A" w:rsidP="00015E3B">
            <w:pPr>
              <w:numPr>
                <w:ilvl w:val="0"/>
                <w:numId w:val="58"/>
              </w:numPr>
              <w:contextualSpacing/>
              <w:jc w:val="both"/>
              <w:rPr>
                <w:rFonts w:ascii="Times New Roman" w:hAnsi="Times New Roman" w:cs="Times New Roman"/>
                <w:lang w:val="uk-UA"/>
              </w:rPr>
            </w:pPr>
            <w:r w:rsidRPr="00BA5C0A">
              <w:rPr>
                <w:rFonts w:ascii="Times New Roman" w:hAnsi="Times New Roman" w:cs="Times New Roman"/>
                <w:lang w:val="uk-UA"/>
              </w:rPr>
              <w:t>Пацієнти з помірним фіброзом (оцінка МЕТА</w:t>
            </w:r>
            <w:r w:rsidRPr="00BA5C0A">
              <w:rPr>
                <w:rFonts w:ascii="Times New Roman" w:hAnsi="Times New Roman" w:cs="Times New Roman"/>
                <w:lang w:val="en-US"/>
              </w:rPr>
              <w:t>VIR</w:t>
            </w:r>
            <w:r w:rsidRPr="00BA5C0A">
              <w:rPr>
                <w:rFonts w:ascii="Times New Roman" w:hAnsi="Times New Roman" w:cs="Times New Roman"/>
                <w:lang w:val="uk-UA"/>
              </w:rPr>
              <w:t xml:space="preserve"> F0</w:t>
            </w:r>
            <w:r w:rsidR="00FC6D8A">
              <w:rPr>
                <w:rFonts w:ascii="Times New Roman" w:hAnsi="Times New Roman" w:cs="Times New Roman"/>
                <w:lang w:val="uk-UA"/>
              </w:rPr>
              <w:t>–</w:t>
            </w:r>
            <w:r w:rsidRPr="00BA5C0A">
              <w:rPr>
                <w:rFonts w:ascii="Times New Roman" w:hAnsi="Times New Roman" w:cs="Times New Roman"/>
                <w:lang w:val="uk-UA"/>
              </w:rPr>
              <w:t>F2), які досягли СВВ та не знаходяться у групі ризику реінфекції, можуть бути зняті з нагляду за ВГС</w:t>
            </w:r>
            <w:r w:rsidR="00FC6D8A">
              <w:rPr>
                <w:rFonts w:ascii="Times New Roman" w:hAnsi="Times New Roman" w:cs="Times New Roman"/>
                <w:lang w:val="uk-UA"/>
              </w:rPr>
              <w:t>–</w:t>
            </w:r>
            <w:r w:rsidRPr="00BA5C0A">
              <w:rPr>
                <w:rFonts w:ascii="Times New Roman" w:hAnsi="Times New Roman" w:cs="Times New Roman"/>
                <w:lang w:val="uk-UA"/>
              </w:rPr>
              <w:t xml:space="preserve"> інфекцією, за умови, що вони не мають інших супутніх захворювань (А1).</w:t>
            </w:r>
          </w:p>
          <w:p w14:paraId="3B12BD58" w14:textId="380FAA21" w:rsidR="00BA5C0A" w:rsidRPr="00BA5C0A" w:rsidRDefault="00074BEC" w:rsidP="00015E3B">
            <w:pPr>
              <w:numPr>
                <w:ilvl w:val="0"/>
                <w:numId w:val="58"/>
              </w:numPr>
              <w:contextualSpacing/>
              <w:jc w:val="both"/>
              <w:rPr>
                <w:rFonts w:ascii="Times New Roman" w:hAnsi="Times New Roman" w:cs="Times New Roman"/>
                <w:lang w:val="uk-UA"/>
              </w:rPr>
            </w:pPr>
            <w:r>
              <w:rPr>
                <w:rFonts w:ascii="Times New Roman" w:hAnsi="Times New Roman" w:cs="Times New Roman"/>
                <w:lang w:val="uk-UA"/>
              </w:rPr>
              <w:t>Пацієнти</w:t>
            </w:r>
            <w:r w:rsidR="00BA5C0A" w:rsidRPr="00BA5C0A">
              <w:rPr>
                <w:rFonts w:ascii="Times New Roman" w:hAnsi="Times New Roman" w:cs="Times New Roman"/>
                <w:lang w:val="uk-UA"/>
              </w:rPr>
              <w:t xml:space="preserve"> із прогресуючим фіброзом (F3) або цирозом (F4), які досягли СВВ</w:t>
            </w:r>
            <w:r>
              <w:rPr>
                <w:rFonts w:ascii="Times New Roman" w:hAnsi="Times New Roman" w:cs="Times New Roman"/>
                <w:lang w:val="uk-UA"/>
              </w:rPr>
              <w:t>,</w:t>
            </w:r>
            <w:r w:rsidR="00BA5C0A" w:rsidRPr="00BA5C0A">
              <w:rPr>
                <w:rFonts w:ascii="Times New Roman" w:hAnsi="Times New Roman" w:cs="Times New Roman"/>
                <w:lang w:val="uk-UA"/>
              </w:rPr>
              <w:t xml:space="preserve"> повинні знаходитися під наглядом </w:t>
            </w:r>
            <w:r w:rsidR="00D628F0">
              <w:rPr>
                <w:rFonts w:ascii="Times New Roman" w:hAnsi="Times New Roman" w:cs="Times New Roman"/>
                <w:lang w:val="uk-UA"/>
              </w:rPr>
              <w:t>щодо</w:t>
            </w:r>
            <w:r w:rsidR="00BA5C0A" w:rsidRPr="00BA5C0A">
              <w:rPr>
                <w:rFonts w:ascii="Times New Roman" w:hAnsi="Times New Roman" w:cs="Times New Roman"/>
                <w:lang w:val="uk-UA"/>
              </w:rPr>
              <w:t xml:space="preserve"> ГЦК та проходити обстеження кожні 6 місяців за допомогою ультразвукового дослідження (А1).</w:t>
            </w:r>
          </w:p>
          <w:p w14:paraId="58F6B32E" w14:textId="0C39E585" w:rsidR="00BA5C0A" w:rsidRPr="00BA5C0A" w:rsidRDefault="00BA5C0A" w:rsidP="00015E3B">
            <w:pPr>
              <w:numPr>
                <w:ilvl w:val="0"/>
                <w:numId w:val="58"/>
              </w:numPr>
              <w:contextualSpacing/>
              <w:jc w:val="both"/>
              <w:rPr>
                <w:rFonts w:ascii="Times New Roman" w:hAnsi="Times New Roman" w:cs="Times New Roman"/>
                <w:lang w:val="uk-UA"/>
              </w:rPr>
            </w:pPr>
            <w:r w:rsidRPr="00BA5C0A">
              <w:rPr>
                <w:rFonts w:ascii="Times New Roman" w:hAnsi="Times New Roman" w:cs="Times New Roman"/>
                <w:lang w:val="uk-UA"/>
              </w:rPr>
              <w:t xml:space="preserve">У хворих </w:t>
            </w:r>
            <w:r w:rsidR="005852CA">
              <w:rPr>
                <w:rFonts w:ascii="Times New Roman" w:hAnsi="Times New Roman" w:cs="Times New Roman"/>
                <w:lang w:val="uk-UA"/>
              </w:rPr>
              <w:t>з</w:t>
            </w:r>
            <w:r w:rsidRPr="00BA5C0A">
              <w:rPr>
                <w:rFonts w:ascii="Times New Roman" w:hAnsi="Times New Roman" w:cs="Times New Roman"/>
                <w:lang w:val="uk-UA"/>
              </w:rPr>
              <w:t xml:space="preserve"> цироз</w:t>
            </w:r>
            <w:r w:rsidR="005852CA">
              <w:rPr>
                <w:rFonts w:ascii="Times New Roman" w:hAnsi="Times New Roman" w:cs="Times New Roman"/>
                <w:lang w:val="uk-UA"/>
              </w:rPr>
              <w:t>ом</w:t>
            </w:r>
            <w:r w:rsidRPr="00BA5C0A">
              <w:rPr>
                <w:rFonts w:ascii="Times New Roman" w:hAnsi="Times New Roman" w:cs="Times New Roman"/>
                <w:lang w:val="uk-UA"/>
              </w:rPr>
              <w:t xml:space="preserve"> печінки слід проводити спостереження </w:t>
            </w:r>
            <w:r w:rsidR="00D628F0">
              <w:rPr>
                <w:rFonts w:ascii="Times New Roman" w:hAnsi="Times New Roman" w:cs="Times New Roman"/>
                <w:lang w:val="uk-UA"/>
              </w:rPr>
              <w:t>щодо</w:t>
            </w:r>
            <w:r w:rsidRPr="00BA5C0A">
              <w:rPr>
                <w:rFonts w:ascii="Times New Roman" w:hAnsi="Times New Roman" w:cs="Times New Roman"/>
                <w:lang w:val="uk-UA"/>
              </w:rPr>
              <w:t xml:space="preserve"> варикозного розширення вен стравоходу шляхом ендоскопії, у разі присутності варікозу під час </w:t>
            </w:r>
            <w:r w:rsidRPr="00BA5C0A">
              <w:rPr>
                <w:rFonts w:ascii="Times New Roman" w:hAnsi="Times New Roman" w:cs="Times New Roman"/>
                <w:lang w:val="uk-UA"/>
              </w:rPr>
              <w:lastRenderedPageBreak/>
              <w:t>попередньої ендоскопії, хоча портальна гіпертензія рідко спостерігається у хворих після досягнення СВВ (при відсутності додаткових причин захворювання печінки) (A1).</w:t>
            </w:r>
          </w:p>
          <w:p w14:paraId="0B44E03A" w14:textId="77777777" w:rsidR="00BA5C0A" w:rsidRPr="00BA5C0A" w:rsidRDefault="00BA5C0A" w:rsidP="00015E3B">
            <w:pPr>
              <w:numPr>
                <w:ilvl w:val="0"/>
                <w:numId w:val="58"/>
              </w:numPr>
              <w:contextualSpacing/>
              <w:jc w:val="both"/>
              <w:rPr>
                <w:rFonts w:ascii="Times New Roman" w:hAnsi="Times New Roman" w:cs="Times New Roman"/>
                <w:lang w:val="uk-UA"/>
              </w:rPr>
            </w:pPr>
            <w:r w:rsidRPr="00BA5C0A">
              <w:rPr>
                <w:rFonts w:ascii="Times New Roman" w:hAnsi="Times New Roman" w:cs="Times New Roman"/>
                <w:lang w:val="uk-UA"/>
              </w:rPr>
              <w:t>Необхідно пояснити пацієнту ризик реінфекції для попередження ризикованої поведінки (B1).</w:t>
            </w:r>
          </w:p>
          <w:p w14:paraId="6C5AD5DA" w14:textId="77EB7740" w:rsidR="00BA5C0A" w:rsidRPr="00BA5C0A" w:rsidRDefault="00BA5C0A" w:rsidP="00015E3B">
            <w:pPr>
              <w:numPr>
                <w:ilvl w:val="0"/>
                <w:numId w:val="58"/>
              </w:numPr>
              <w:contextualSpacing/>
              <w:jc w:val="both"/>
              <w:rPr>
                <w:rFonts w:ascii="Times New Roman" w:hAnsi="Times New Roman" w:cs="Times New Roman"/>
                <w:lang w:val="uk-UA"/>
              </w:rPr>
            </w:pPr>
            <w:r w:rsidRPr="00BA5C0A">
              <w:rPr>
                <w:rFonts w:ascii="Times New Roman" w:hAnsi="Times New Roman" w:cs="Times New Roman"/>
                <w:lang w:val="uk-UA"/>
              </w:rPr>
              <w:t xml:space="preserve">Після СВВ моніторинг реінфекції ВГС </w:t>
            </w:r>
            <w:r w:rsidR="008F28C6">
              <w:rPr>
                <w:rFonts w:ascii="Times New Roman" w:hAnsi="Times New Roman" w:cs="Times New Roman"/>
                <w:lang w:val="uk-UA"/>
              </w:rPr>
              <w:t>необхідно</w:t>
            </w:r>
            <w:r w:rsidR="008F28C6" w:rsidRPr="00BA5C0A">
              <w:rPr>
                <w:rFonts w:ascii="Times New Roman" w:hAnsi="Times New Roman" w:cs="Times New Roman"/>
                <w:lang w:val="uk-UA"/>
              </w:rPr>
              <w:t xml:space="preserve"> </w:t>
            </w:r>
            <w:r w:rsidRPr="00BA5C0A">
              <w:rPr>
                <w:rFonts w:ascii="Times New Roman" w:hAnsi="Times New Roman" w:cs="Times New Roman"/>
                <w:lang w:val="uk-UA"/>
              </w:rPr>
              <w:t>проводит</w:t>
            </w:r>
            <w:r w:rsidR="008F28C6">
              <w:rPr>
                <w:rFonts w:ascii="Times New Roman" w:hAnsi="Times New Roman" w:cs="Times New Roman"/>
                <w:lang w:val="uk-UA"/>
              </w:rPr>
              <w:t>и щопівроку</w:t>
            </w:r>
            <w:r w:rsidRPr="00BA5C0A">
              <w:rPr>
                <w:rFonts w:ascii="Times New Roman" w:hAnsi="Times New Roman" w:cs="Times New Roman"/>
                <w:lang w:val="uk-UA"/>
              </w:rPr>
              <w:t xml:space="preserve"> чи, принаймні, рекомендується щорічна оцінка серед ЛВІН, або </w:t>
            </w:r>
            <w:r w:rsidR="00C07829">
              <w:rPr>
                <w:rFonts w:ascii="Times New Roman" w:hAnsi="Times New Roman" w:cs="Times New Roman"/>
                <w:lang w:val="uk-UA"/>
              </w:rPr>
              <w:t>ЧСЧ</w:t>
            </w:r>
            <w:r w:rsidRPr="00BA5C0A">
              <w:rPr>
                <w:rFonts w:ascii="Times New Roman" w:hAnsi="Times New Roman" w:cs="Times New Roman"/>
                <w:lang w:val="uk-UA"/>
              </w:rPr>
              <w:t>, що постійно практикують ризиковану поведінку (А1).</w:t>
            </w:r>
          </w:p>
          <w:p w14:paraId="73CB02A7" w14:textId="54752D85" w:rsidR="00BA5C0A" w:rsidRPr="00BA5C0A" w:rsidRDefault="00074BEC" w:rsidP="00015E3B">
            <w:pPr>
              <w:numPr>
                <w:ilvl w:val="0"/>
                <w:numId w:val="58"/>
              </w:numPr>
              <w:contextualSpacing/>
              <w:jc w:val="both"/>
              <w:rPr>
                <w:rFonts w:ascii="Times New Roman" w:hAnsi="Times New Roman" w:cs="Times New Roman"/>
                <w:lang w:val="uk-UA"/>
              </w:rPr>
            </w:pPr>
            <w:r>
              <w:rPr>
                <w:rFonts w:ascii="Times New Roman" w:hAnsi="Times New Roman" w:cs="Times New Roman"/>
                <w:lang w:val="uk-UA"/>
              </w:rPr>
              <w:t>Повторне лікування</w:t>
            </w:r>
            <w:r w:rsidR="00BA5C0A" w:rsidRPr="00BA5C0A">
              <w:rPr>
                <w:rFonts w:ascii="Times New Roman" w:hAnsi="Times New Roman" w:cs="Times New Roman"/>
                <w:lang w:val="uk-UA"/>
              </w:rPr>
              <w:t xml:space="preserve"> </w:t>
            </w:r>
            <w:r>
              <w:rPr>
                <w:rFonts w:ascii="Times New Roman" w:hAnsi="Times New Roman" w:cs="Times New Roman"/>
                <w:lang w:val="uk-UA"/>
              </w:rPr>
              <w:t>має</w:t>
            </w:r>
            <w:r w:rsidR="00BA5C0A" w:rsidRPr="00BA5C0A">
              <w:rPr>
                <w:rFonts w:ascii="Times New Roman" w:hAnsi="Times New Roman" w:cs="Times New Roman"/>
                <w:lang w:val="uk-UA"/>
              </w:rPr>
              <w:t xml:space="preserve"> бути доступн</w:t>
            </w:r>
            <w:r>
              <w:rPr>
                <w:rFonts w:ascii="Times New Roman" w:hAnsi="Times New Roman" w:cs="Times New Roman"/>
                <w:lang w:val="uk-UA"/>
              </w:rPr>
              <w:t>им</w:t>
            </w:r>
            <w:r w:rsidR="005852CA">
              <w:rPr>
                <w:rFonts w:ascii="Times New Roman" w:hAnsi="Times New Roman" w:cs="Times New Roman"/>
                <w:lang w:val="uk-UA"/>
              </w:rPr>
              <w:t xml:space="preserve"> у випадку повторного</w:t>
            </w:r>
            <w:r w:rsidR="00BA5C0A" w:rsidRPr="00BA5C0A">
              <w:rPr>
                <w:rFonts w:ascii="Times New Roman" w:hAnsi="Times New Roman" w:cs="Times New Roman"/>
                <w:lang w:val="uk-UA"/>
              </w:rPr>
              <w:t xml:space="preserve"> інфікування (A1)</w:t>
            </w:r>
          </w:p>
        </w:tc>
      </w:tr>
    </w:tbl>
    <w:p w14:paraId="66C3B11E" w14:textId="77777777" w:rsidR="00BA5C0A" w:rsidRPr="00BA5C0A" w:rsidRDefault="00BA5C0A" w:rsidP="00BA5C0A">
      <w:pPr>
        <w:jc w:val="both"/>
        <w:rPr>
          <w:rFonts w:ascii="Times New Roman" w:hAnsi="Times New Roman" w:cs="Times New Roman"/>
          <w:b/>
          <w:color w:val="4472C4" w:themeColor="accent5"/>
          <w:sz w:val="36"/>
          <w:szCs w:val="36"/>
          <w:lang w:val="uk-UA"/>
        </w:rPr>
      </w:pPr>
    </w:p>
    <w:p w14:paraId="7C6EB8FE" w14:textId="6BC0C7FD" w:rsidR="00BA5C0A" w:rsidRDefault="008D650D" w:rsidP="00074BEC">
      <w:pPr>
        <w:jc w:val="both"/>
        <w:rPr>
          <w:rFonts w:ascii="Times New Roman" w:hAnsi="Times New Roman" w:cs="Times New Roman"/>
          <w:b/>
          <w:color w:val="4472C4" w:themeColor="accent5"/>
          <w:sz w:val="32"/>
          <w:szCs w:val="32"/>
          <w:lang w:val="uk-UA"/>
        </w:rPr>
      </w:pPr>
      <w:r>
        <w:rPr>
          <w:rFonts w:ascii="Times New Roman" w:hAnsi="Times New Roman" w:cs="Times New Roman"/>
          <w:b/>
          <w:color w:val="4472C4" w:themeColor="accent5"/>
          <w:sz w:val="32"/>
          <w:szCs w:val="32"/>
          <w:lang w:val="uk-UA"/>
        </w:rPr>
        <w:t>Моніторинг пацієнтів</w:t>
      </w:r>
      <w:r w:rsidR="00BA5C0A" w:rsidRPr="00074BEC">
        <w:rPr>
          <w:rFonts w:ascii="Times New Roman" w:hAnsi="Times New Roman" w:cs="Times New Roman"/>
          <w:b/>
          <w:color w:val="4472C4" w:themeColor="accent5"/>
          <w:sz w:val="32"/>
          <w:szCs w:val="32"/>
          <w:lang w:val="uk-UA"/>
        </w:rPr>
        <w:t>, які не</w:t>
      </w:r>
      <w:r>
        <w:rPr>
          <w:rFonts w:ascii="Times New Roman" w:hAnsi="Times New Roman" w:cs="Times New Roman"/>
          <w:b/>
          <w:color w:val="4472C4" w:themeColor="accent5"/>
          <w:sz w:val="32"/>
          <w:szCs w:val="32"/>
          <w:lang w:val="uk-UA"/>
        </w:rPr>
        <w:t xml:space="preserve"> пройшли лікування та пацієнтів</w:t>
      </w:r>
      <w:r w:rsidR="00BA5C0A" w:rsidRPr="00074BEC">
        <w:rPr>
          <w:rFonts w:ascii="Times New Roman" w:hAnsi="Times New Roman" w:cs="Times New Roman"/>
          <w:b/>
          <w:color w:val="4472C4" w:themeColor="accent5"/>
          <w:sz w:val="32"/>
          <w:szCs w:val="32"/>
          <w:lang w:val="uk-UA"/>
        </w:rPr>
        <w:t xml:space="preserve"> з невдалим</w:t>
      </w:r>
      <w:r w:rsidR="005852CA">
        <w:rPr>
          <w:rFonts w:ascii="Times New Roman" w:hAnsi="Times New Roman" w:cs="Times New Roman"/>
          <w:b/>
          <w:color w:val="4472C4" w:themeColor="accent5"/>
          <w:sz w:val="32"/>
          <w:szCs w:val="32"/>
          <w:lang w:val="uk-UA"/>
        </w:rPr>
        <w:t>и</w:t>
      </w:r>
      <w:r w:rsidR="00BA5C0A" w:rsidRPr="00074BEC">
        <w:rPr>
          <w:rFonts w:ascii="Times New Roman" w:hAnsi="Times New Roman" w:cs="Times New Roman"/>
          <w:b/>
          <w:color w:val="4472C4" w:themeColor="accent5"/>
          <w:sz w:val="32"/>
          <w:szCs w:val="32"/>
          <w:lang w:val="uk-UA"/>
        </w:rPr>
        <w:t xml:space="preserve"> результат</w:t>
      </w:r>
      <w:r w:rsidR="005852CA">
        <w:rPr>
          <w:rFonts w:ascii="Times New Roman" w:hAnsi="Times New Roman" w:cs="Times New Roman"/>
          <w:b/>
          <w:color w:val="4472C4" w:themeColor="accent5"/>
          <w:sz w:val="32"/>
          <w:szCs w:val="32"/>
          <w:lang w:val="uk-UA"/>
        </w:rPr>
        <w:t>а</w:t>
      </w:r>
      <w:r w:rsidR="00BA5C0A" w:rsidRPr="00074BEC">
        <w:rPr>
          <w:rFonts w:ascii="Times New Roman" w:hAnsi="Times New Roman" w:cs="Times New Roman"/>
          <w:b/>
          <w:color w:val="4472C4" w:themeColor="accent5"/>
          <w:sz w:val="32"/>
          <w:szCs w:val="32"/>
          <w:lang w:val="uk-UA"/>
        </w:rPr>
        <w:t>м</w:t>
      </w:r>
      <w:r w:rsidR="005852CA">
        <w:rPr>
          <w:rFonts w:ascii="Times New Roman" w:hAnsi="Times New Roman" w:cs="Times New Roman"/>
          <w:b/>
          <w:color w:val="4472C4" w:themeColor="accent5"/>
          <w:sz w:val="32"/>
          <w:szCs w:val="32"/>
          <w:lang w:val="uk-UA"/>
        </w:rPr>
        <w:t>и</w:t>
      </w:r>
      <w:r w:rsidR="00BA5C0A" w:rsidRPr="00074BEC">
        <w:rPr>
          <w:rFonts w:ascii="Times New Roman" w:hAnsi="Times New Roman" w:cs="Times New Roman"/>
          <w:b/>
          <w:color w:val="4472C4" w:themeColor="accent5"/>
          <w:sz w:val="32"/>
          <w:szCs w:val="32"/>
          <w:lang w:val="uk-UA"/>
        </w:rPr>
        <w:t xml:space="preserve"> лікування</w:t>
      </w:r>
    </w:p>
    <w:p w14:paraId="1C422257" w14:textId="77777777" w:rsidR="00074BEC" w:rsidRPr="00074BEC" w:rsidRDefault="00074BEC" w:rsidP="00074BEC">
      <w:pPr>
        <w:jc w:val="both"/>
        <w:rPr>
          <w:rFonts w:ascii="Times New Roman" w:hAnsi="Times New Roman" w:cs="Times New Roman"/>
          <w:b/>
          <w:color w:val="4472C4" w:themeColor="accent5"/>
          <w:sz w:val="32"/>
          <w:szCs w:val="32"/>
          <w:lang w:val="uk-UA"/>
        </w:rPr>
      </w:pPr>
    </w:p>
    <w:p w14:paraId="3EBBD418" w14:textId="350CABD4" w:rsidR="00BA5C0A" w:rsidRPr="00BA5C0A" w:rsidRDefault="00BA5C0A" w:rsidP="00BA5C0A">
      <w:pPr>
        <w:jc w:val="both"/>
        <w:rPr>
          <w:rFonts w:ascii="Times New Roman" w:hAnsi="Times New Roman" w:cs="Times New Roman"/>
          <w:color w:val="000000" w:themeColor="text1"/>
          <w:lang w:val="uk-UA"/>
        </w:rPr>
      </w:pPr>
      <w:r w:rsidRPr="00BA5C0A">
        <w:rPr>
          <w:rFonts w:ascii="Times New Roman" w:hAnsi="Times New Roman" w:cs="Times New Roman"/>
          <w:color w:val="000000" w:themeColor="text1"/>
          <w:lang w:val="uk-UA"/>
        </w:rPr>
        <w:t>Пацієнти, які не отримували лікування та ті, хто не реагував на попереднє лікування, повинні регулярно проходити обстеження. Причина відмови від лікування повинна бути чітко задокументован</w:t>
      </w:r>
      <w:r w:rsidR="005852CA">
        <w:rPr>
          <w:rFonts w:ascii="Times New Roman" w:hAnsi="Times New Roman" w:cs="Times New Roman"/>
          <w:color w:val="000000" w:themeColor="text1"/>
          <w:lang w:val="uk-UA"/>
        </w:rPr>
        <w:t>а</w:t>
      </w:r>
      <w:r w:rsidRPr="00BA5C0A">
        <w:rPr>
          <w:rFonts w:ascii="Times New Roman" w:hAnsi="Times New Roman" w:cs="Times New Roman"/>
          <w:color w:val="000000" w:themeColor="text1"/>
          <w:lang w:val="uk-UA"/>
        </w:rPr>
        <w:t>. Пацієнти, які не отримували лікування, повинні проходити обстеження кожні 1</w:t>
      </w:r>
      <w:r w:rsidR="00FC6D8A">
        <w:rPr>
          <w:rFonts w:ascii="Times New Roman" w:hAnsi="Times New Roman" w:cs="Times New Roman"/>
          <w:color w:val="000000" w:themeColor="text1"/>
          <w:lang w:val="uk-UA"/>
        </w:rPr>
        <w:t>–</w:t>
      </w:r>
      <w:r w:rsidRPr="00BA5C0A">
        <w:rPr>
          <w:rFonts w:ascii="Times New Roman" w:hAnsi="Times New Roman" w:cs="Times New Roman"/>
          <w:color w:val="000000" w:themeColor="text1"/>
          <w:lang w:val="uk-UA"/>
        </w:rPr>
        <w:t xml:space="preserve">2 роки </w:t>
      </w:r>
      <w:r w:rsidR="00716E8C">
        <w:rPr>
          <w:rFonts w:ascii="Times New Roman" w:hAnsi="Times New Roman" w:cs="Times New Roman"/>
          <w:color w:val="000000" w:themeColor="text1"/>
          <w:lang w:val="uk-UA"/>
        </w:rPr>
        <w:t>із використанням</w:t>
      </w:r>
      <w:r w:rsidRPr="00BA5C0A">
        <w:rPr>
          <w:rFonts w:ascii="Times New Roman" w:hAnsi="Times New Roman" w:cs="Times New Roman"/>
          <w:color w:val="000000" w:themeColor="text1"/>
          <w:lang w:val="uk-UA"/>
        </w:rPr>
        <w:t xml:space="preserve"> неінвазивн</w:t>
      </w:r>
      <w:r w:rsidR="00716E8C">
        <w:rPr>
          <w:rFonts w:ascii="Times New Roman" w:hAnsi="Times New Roman" w:cs="Times New Roman"/>
          <w:color w:val="000000" w:themeColor="text1"/>
          <w:lang w:val="uk-UA"/>
        </w:rPr>
        <w:t>их</w:t>
      </w:r>
      <w:r w:rsidRPr="00BA5C0A">
        <w:rPr>
          <w:rFonts w:ascii="Times New Roman" w:hAnsi="Times New Roman" w:cs="Times New Roman"/>
          <w:color w:val="000000" w:themeColor="text1"/>
          <w:lang w:val="uk-UA"/>
        </w:rPr>
        <w:t xml:space="preserve"> метод</w:t>
      </w:r>
      <w:r w:rsidR="00716E8C">
        <w:rPr>
          <w:rFonts w:ascii="Times New Roman" w:hAnsi="Times New Roman" w:cs="Times New Roman"/>
          <w:color w:val="000000" w:themeColor="text1"/>
          <w:lang w:val="uk-UA"/>
        </w:rPr>
        <w:t>ів</w:t>
      </w:r>
      <w:r w:rsidRPr="00BA5C0A">
        <w:rPr>
          <w:rFonts w:ascii="Times New Roman" w:hAnsi="Times New Roman" w:cs="Times New Roman"/>
          <w:color w:val="000000" w:themeColor="text1"/>
          <w:lang w:val="uk-UA"/>
        </w:rPr>
        <w:t>.</w:t>
      </w:r>
      <w:r w:rsidRPr="00BA5C0A">
        <w:rPr>
          <w:rFonts w:ascii="Times New Roman" w:hAnsi="Times New Roman" w:cs="Times New Roman"/>
          <w:color w:val="000000" w:themeColor="text1"/>
          <w:vertAlign w:val="superscript"/>
          <w:lang w:val="uk-UA"/>
        </w:rPr>
        <w:t xml:space="preserve"> 41</w:t>
      </w:r>
      <w:r w:rsidRPr="00BA5C0A">
        <w:rPr>
          <w:rFonts w:ascii="Times New Roman" w:hAnsi="Times New Roman" w:cs="Times New Roman"/>
          <w:color w:val="000000" w:themeColor="text1"/>
          <w:lang w:val="uk-UA"/>
        </w:rPr>
        <w:t xml:space="preserve"> Пацієнти з розвиненою формою фіброзу (оцінка METAVIR F3) та цирозом мають проходити ультразвукове дослідження кожні 6 місяців.</w:t>
      </w:r>
    </w:p>
    <w:p w14:paraId="46C4853E" w14:textId="77777777" w:rsidR="00BA5C0A" w:rsidRPr="00BA5C0A" w:rsidRDefault="00BA5C0A" w:rsidP="00BA5C0A">
      <w:pPr>
        <w:jc w:val="both"/>
        <w:rPr>
          <w:rFonts w:ascii="Times New Roman" w:hAnsi="Times New Roman" w:cs="Times New Roman"/>
          <w:color w:val="000000" w:themeColor="text1"/>
          <w:lang w:val="uk-UA"/>
        </w:rPr>
      </w:pPr>
    </w:p>
    <w:tbl>
      <w:tblPr>
        <w:tblW w:w="983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BA5C0A" w:rsidRPr="00652F9A" w14:paraId="69125EF1" w14:textId="77777777" w:rsidTr="00716E8C">
        <w:trPr>
          <w:trHeight w:val="544"/>
        </w:trPr>
        <w:tc>
          <w:tcPr>
            <w:tcW w:w="9836" w:type="dxa"/>
            <w:shd w:val="clear" w:color="auto" w:fill="BDD6EE" w:themeFill="accent1" w:themeFillTint="66"/>
          </w:tcPr>
          <w:p w14:paraId="7C388445" w14:textId="690259ED" w:rsidR="00BA5C0A" w:rsidRDefault="00BA5C0A" w:rsidP="00BA5C0A">
            <w:pPr>
              <w:tabs>
                <w:tab w:val="left" w:pos="1083"/>
              </w:tabs>
              <w:jc w:val="both"/>
              <w:rPr>
                <w:rFonts w:ascii="Times New Roman" w:hAnsi="Times New Roman" w:cs="Times New Roman"/>
                <w:b/>
                <w:color w:val="4472C4" w:themeColor="accent5"/>
                <w:lang w:val="uk-UA"/>
              </w:rPr>
            </w:pPr>
            <w:r w:rsidRPr="00BA5C0A">
              <w:rPr>
                <w:rFonts w:ascii="Times New Roman" w:hAnsi="Times New Roman" w:cs="Times New Roman"/>
                <w:b/>
                <w:color w:val="4472C4" w:themeColor="accent5"/>
                <w:lang w:val="uk-UA"/>
              </w:rPr>
              <w:t>Рекомендації</w:t>
            </w:r>
          </w:p>
          <w:p w14:paraId="1A40D99A" w14:textId="77777777" w:rsidR="00716E8C" w:rsidRPr="00BA5C0A" w:rsidRDefault="00716E8C" w:rsidP="00BA5C0A">
            <w:pPr>
              <w:tabs>
                <w:tab w:val="left" w:pos="1083"/>
              </w:tabs>
              <w:jc w:val="both"/>
              <w:rPr>
                <w:rFonts w:ascii="Times New Roman" w:hAnsi="Times New Roman" w:cs="Times New Roman"/>
                <w:b/>
                <w:lang w:val="uk-UA"/>
              </w:rPr>
            </w:pPr>
          </w:p>
          <w:p w14:paraId="1F3748B9" w14:textId="77777777" w:rsidR="00BA5C0A" w:rsidRPr="00BA5C0A" w:rsidRDefault="00BA5C0A" w:rsidP="00015E3B">
            <w:pPr>
              <w:numPr>
                <w:ilvl w:val="0"/>
                <w:numId w:val="59"/>
              </w:numPr>
              <w:tabs>
                <w:tab w:val="left" w:pos="1083"/>
              </w:tabs>
              <w:contextualSpacing/>
              <w:jc w:val="both"/>
              <w:rPr>
                <w:rFonts w:ascii="Times New Roman" w:hAnsi="Times New Roman" w:cs="Times New Roman"/>
                <w:lang w:val="uk-UA"/>
              </w:rPr>
            </w:pPr>
            <w:r w:rsidRPr="00BA5C0A">
              <w:rPr>
                <w:rFonts w:ascii="Times New Roman" w:hAnsi="Times New Roman" w:cs="Times New Roman"/>
                <w:lang w:val="uk-UA"/>
              </w:rPr>
              <w:t>“Наївні” пацієнти з хронічним гепатитом С та ті, хто зазнав невдалого попереднього лікування, повинні регулярно обстежуватися (А1).</w:t>
            </w:r>
          </w:p>
          <w:p w14:paraId="26EDAC36" w14:textId="49948FCB" w:rsidR="00BA5C0A" w:rsidRPr="00BA5C0A" w:rsidRDefault="00BA5C0A" w:rsidP="00015E3B">
            <w:pPr>
              <w:numPr>
                <w:ilvl w:val="0"/>
                <w:numId w:val="59"/>
              </w:numPr>
              <w:tabs>
                <w:tab w:val="left" w:pos="1083"/>
              </w:tabs>
              <w:contextualSpacing/>
              <w:jc w:val="both"/>
              <w:rPr>
                <w:rFonts w:ascii="Times New Roman" w:hAnsi="Times New Roman" w:cs="Times New Roman"/>
                <w:lang w:val="uk-UA"/>
              </w:rPr>
            </w:pPr>
            <w:r w:rsidRPr="00BA5C0A">
              <w:rPr>
                <w:rFonts w:ascii="Times New Roman" w:hAnsi="Times New Roman" w:cs="Times New Roman"/>
                <w:lang w:val="uk-UA"/>
              </w:rPr>
              <w:t>Неінвазивні методи найкраще підходять для подальшої оцінки</w:t>
            </w:r>
            <w:r w:rsidR="00716E8C">
              <w:rPr>
                <w:rFonts w:ascii="Times New Roman" w:hAnsi="Times New Roman" w:cs="Times New Roman"/>
                <w:lang w:val="uk-UA"/>
              </w:rPr>
              <w:t xml:space="preserve"> порушень стану печінки та мають проводитись раз на 1</w:t>
            </w:r>
            <w:r w:rsidR="00FC6D8A">
              <w:rPr>
                <w:rFonts w:ascii="Times New Roman" w:hAnsi="Times New Roman" w:cs="Times New Roman"/>
                <w:lang w:val="uk-UA"/>
              </w:rPr>
              <w:t>–</w:t>
            </w:r>
            <w:r w:rsidR="00716E8C">
              <w:rPr>
                <w:rFonts w:ascii="Times New Roman" w:hAnsi="Times New Roman" w:cs="Times New Roman"/>
                <w:lang w:val="uk-UA"/>
              </w:rPr>
              <w:t xml:space="preserve">2 роки </w:t>
            </w:r>
            <w:r w:rsidRPr="00BA5C0A">
              <w:rPr>
                <w:rFonts w:ascii="Times New Roman" w:hAnsi="Times New Roman" w:cs="Times New Roman"/>
                <w:lang w:val="uk-UA"/>
              </w:rPr>
              <w:t xml:space="preserve"> (A1).</w:t>
            </w:r>
          </w:p>
          <w:p w14:paraId="06F466A4" w14:textId="75D8E9A2" w:rsidR="00BA5C0A" w:rsidRPr="00BA5C0A" w:rsidRDefault="00716E8C" w:rsidP="00015E3B">
            <w:pPr>
              <w:numPr>
                <w:ilvl w:val="0"/>
                <w:numId w:val="59"/>
              </w:numPr>
              <w:tabs>
                <w:tab w:val="left" w:pos="1083"/>
              </w:tabs>
              <w:contextualSpacing/>
              <w:jc w:val="both"/>
              <w:rPr>
                <w:rFonts w:ascii="Times New Roman" w:hAnsi="Times New Roman" w:cs="Times New Roman"/>
                <w:lang w:val="uk-UA"/>
              </w:rPr>
            </w:pPr>
            <w:r>
              <w:rPr>
                <w:rFonts w:ascii="Times New Roman" w:hAnsi="Times New Roman" w:cs="Times New Roman"/>
                <w:lang w:val="uk-UA"/>
              </w:rPr>
              <w:t xml:space="preserve">Оцінка щодо ГЦК має здійснюватись раз на 6 місяців для пацієнтів, </w:t>
            </w:r>
            <w:r w:rsidR="00BA5C0A" w:rsidRPr="00BA5C0A">
              <w:rPr>
                <w:rFonts w:ascii="Times New Roman" w:hAnsi="Times New Roman" w:cs="Times New Roman"/>
                <w:lang w:val="uk-UA"/>
              </w:rPr>
              <w:t xml:space="preserve">з </w:t>
            </w:r>
            <w:r>
              <w:rPr>
                <w:rFonts w:ascii="Times New Roman" w:hAnsi="Times New Roman" w:cs="Times New Roman"/>
                <w:lang w:val="uk-UA"/>
              </w:rPr>
              <w:t>вираженим</w:t>
            </w:r>
            <w:r w:rsidR="00BA5C0A" w:rsidRPr="00BA5C0A">
              <w:rPr>
                <w:rFonts w:ascii="Times New Roman" w:hAnsi="Times New Roman" w:cs="Times New Roman"/>
                <w:lang w:val="uk-UA"/>
              </w:rPr>
              <w:t xml:space="preserve"> фіброзом (F3) та цирозом (A1).</w:t>
            </w:r>
          </w:p>
        </w:tc>
      </w:tr>
    </w:tbl>
    <w:p w14:paraId="1E22015B" w14:textId="1B59A476" w:rsidR="00BA5C0A" w:rsidRDefault="00BA5C0A" w:rsidP="005852CA">
      <w:pPr>
        <w:jc w:val="both"/>
        <w:rPr>
          <w:rFonts w:ascii="Times New Roman" w:hAnsi="Times New Roman" w:cs="Times New Roman"/>
          <w:color w:val="000000" w:themeColor="text1"/>
          <w:lang w:val="uk-UA"/>
        </w:rPr>
      </w:pPr>
    </w:p>
    <w:p w14:paraId="5907009B" w14:textId="7CAF2DEB" w:rsidR="00770318" w:rsidRDefault="00770318" w:rsidP="005852CA">
      <w:pPr>
        <w:jc w:val="both"/>
        <w:rPr>
          <w:rFonts w:ascii="Times New Roman" w:hAnsi="Times New Roman" w:cs="Times New Roman"/>
          <w:color w:val="000000" w:themeColor="text1"/>
          <w:lang w:val="uk-UA"/>
        </w:rPr>
      </w:pPr>
    </w:p>
    <w:p w14:paraId="67819AFD" w14:textId="7223B73F" w:rsidR="00770318" w:rsidRDefault="00770318" w:rsidP="005852CA">
      <w:pPr>
        <w:jc w:val="both"/>
        <w:rPr>
          <w:rFonts w:ascii="Times New Roman" w:hAnsi="Times New Roman" w:cs="Times New Roman"/>
          <w:color w:val="000000" w:themeColor="text1"/>
          <w:lang w:val="uk-UA"/>
        </w:rPr>
      </w:pPr>
    </w:p>
    <w:p w14:paraId="5F39D5D5" w14:textId="48CD4696" w:rsidR="00770318" w:rsidRDefault="00770318" w:rsidP="005852CA">
      <w:pPr>
        <w:jc w:val="both"/>
        <w:rPr>
          <w:rFonts w:ascii="Times New Roman" w:hAnsi="Times New Roman" w:cs="Times New Roman"/>
          <w:color w:val="000000" w:themeColor="text1"/>
          <w:lang w:val="uk-UA"/>
        </w:rPr>
      </w:pPr>
    </w:p>
    <w:p w14:paraId="0619CC27" w14:textId="26B9979C" w:rsidR="00770318" w:rsidRDefault="00770318" w:rsidP="005852CA">
      <w:pPr>
        <w:jc w:val="both"/>
        <w:rPr>
          <w:rFonts w:ascii="Times New Roman" w:hAnsi="Times New Roman" w:cs="Times New Roman"/>
          <w:color w:val="000000" w:themeColor="text1"/>
          <w:lang w:val="uk-UA"/>
        </w:rPr>
      </w:pPr>
    </w:p>
    <w:p w14:paraId="38FA124A" w14:textId="6C9C79D2" w:rsidR="00770318" w:rsidRDefault="00770318" w:rsidP="005852CA">
      <w:pPr>
        <w:jc w:val="both"/>
        <w:rPr>
          <w:rFonts w:ascii="Times New Roman" w:hAnsi="Times New Roman" w:cs="Times New Roman"/>
          <w:color w:val="000000" w:themeColor="text1"/>
          <w:lang w:val="uk-UA"/>
        </w:rPr>
      </w:pPr>
    </w:p>
    <w:p w14:paraId="49FA5E6E" w14:textId="25058697" w:rsidR="00770318" w:rsidRDefault="00770318" w:rsidP="005852CA">
      <w:pPr>
        <w:jc w:val="both"/>
        <w:rPr>
          <w:rFonts w:ascii="Times New Roman" w:hAnsi="Times New Roman" w:cs="Times New Roman"/>
          <w:color w:val="000000" w:themeColor="text1"/>
          <w:lang w:val="uk-UA"/>
        </w:rPr>
      </w:pPr>
    </w:p>
    <w:p w14:paraId="60092685" w14:textId="5A17AA16" w:rsidR="00770318" w:rsidRDefault="00770318" w:rsidP="005852CA">
      <w:pPr>
        <w:jc w:val="both"/>
        <w:rPr>
          <w:rFonts w:ascii="Times New Roman" w:hAnsi="Times New Roman" w:cs="Times New Roman"/>
          <w:color w:val="000000" w:themeColor="text1"/>
          <w:lang w:val="uk-UA"/>
        </w:rPr>
      </w:pPr>
    </w:p>
    <w:p w14:paraId="58E4EBCD" w14:textId="61370132" w:rsidR="00770318" w:rsidRDefault="00770318" w:rsidP="005852CA">
      <w:pPr>
        <w:jc w:val="both"/>
        <w:rPr>
          <w:rFonts w:ascii="Times New Roman" w:hAnsi="Times New Roman" w:cs="Times New Roman"/>
          <w:color w:val="000000" w:themeColor="text1"/>
          <w:lang w:val="uk-UA"/>
        </w:rPr>
      </w:pPr>
    </w:p>
    <w:p w14:paraId="1635C052" w14:textId="271FC582" w:rsidR="00770318" w:rsidRDefault="00770318" w:rsidP="005852CA">
      <w:pPr>
        <w:jc w:val="both"/>
        <w:rPr>
          <w:rFonts w:ascii="Times New Roman" w:hAnsi="Times New Roman" w:cs="Times New Roman"/>
          <w:color w:val="000000" w:themeColor="text1"/>
          <w:lang w:val="uk-UA"/>
        </w:rPr>
      </w:pPr>
    </w:p>
    <w:p w14:paraId="08E8DD27" w14:textId="6878DB3C" w:rsidR="00770318" w:rsidRDefault="00770318" w:rsidP="005852CA">
      <w:pPr>
        <w:jc w:val="both"/>
        <w:rPr>
          <w:rFonts w:ascii="Times New Roman" w:hAnsi="Times New Roman" w:cs="Times New Roman"/>
          <w:color w:val="000000" w:themeColor="text1"/>
          <w:lang w:val="uk-UA"/>
        </w:rPr>
      </w:pPr>
    </w:p>
    <w:p w14:paraId="7F7F843B" w14:textId="5A00B9CD" w:rsidR="00770318" w:rsidRDefault="00770318" w:rsidP="005852CA">
      <w:pPr>
        <w:jc w:val="both"/>
        <w:rPr>
          <w:rFonts w:ascii="Times New Roman" w:hAnsi="Times New Roman" w:cs="Times New Roman"/>
          <w:color w:val="000000" w:themeColor="text1"/>
          <w:lang w:val="uk-UA"/>
        </w:rPr>
      </w:pPr>
    </w:p>
    <w:p w14:paraId="68E4DCBD" w14:textId="2EF534C0" w:rsidR="00770318" w:rsidRDefault="00770318" w:rsidP="005852CA">
      <w:pPr>
        <w:jc w:val="both"/>
        <w:rPr>
          <w:rFonts w:ascii="Times New Roman" w:hAnsi="Times New Roman" w:cs="Times New Roman"/>
          <w:color w:val="000000" w:themeColor="text1"/>
          <w:lang w:val="uk-UA"/>
        </w:rPr>
      </w:pPr>
    </w:p>
    <w:p w14:paraId="0FF5676B" w14:textId="548D3A27" w:rsidR="00770318" w:rsidRDefault="00770318" w:rsidP="005852CA">
      <w:pPr>
        <w:jc w:val="both"/>
        <w:rPr>
          <w:rFonts w:ascii="Times New Roman" w:hAnsi="Times New Roman" w:cs="Times New Roman"/>
          <w:color w:val="000000" w:themeColor="text1"/>
          <w:lang w:val="uk-UA"/>
        </w:rPr>
      </w:pPr>
    </w:p>
    <w:p w14:paraId="48FCD28B" w14:textId="2625F950" w:rsidR="00770318" w:rsidRDefault="00770318" w:rsidP="005852CA">
      <w:pPr>
        <w:jc w:val="both"/>
        <w:rPr>
          <w:rFonts w:ascii="Times New Roman" w:hAnsi="Times New Roman" w:cs="Times New Roman"/>
          <w:color w:val="000000" w:themeColor="text1"/>
          <w:lang w:val="uk-UA"/>
        </w:rPr>
      </w:pPr>
    </w:p>
    <w:p w14:paraId="19DA2B3C" w14:textId="06DE70F2" w:rsidR="00770318" w:rsidRDefault="00770318" w:rsidP="005852CA">
      <w:pPr>
        <w:jc w:val="both"/>
        <w:rPr>
          <w:rFonts w:ascii="Times New Roman" w:hAnsi="Times New Roman" w:cs="Times New Roman"/>
          <w:color w:val="000000" w:themeColor="text1"/>
          <w:lang w:val="uk-UA"/>
        </w:rPr>
      </w:pPr>
    </w:p>
    <w:p w14:paraId="1E9F9B67" w14:textId="77777777" w:rsidR="00A74698" w:rsidRDefault="00A74698" w:rsidP="005852CA">
      <w:pPr>
        <w:jc w:val="both"/>
        <w:rPr>
          <w:rFonts w:ascii="Times New Roman" w:hAnsi="Times New Roman" w:cs="Times New Roman"/>
          <w:color w:val="000000" w:themeColor="text1"/>
          <w:lang w:val="uk-UA"/>
        </w:rPr>
      </w:pPr>
    </w:p>
    <w:p w14:paraId="20B057EB" w14:textId="282996B5" w:rsidR="00770318" w:rsidRDefault="00770318" w:rsidP="005852CA">
      <w:pPr>
        <w:jc w:val="both"/>
        <w:rPr>
          <w:rFonts w:ascii="Times New Roman" w:hAnsi="Times New Roman" w:cs="Times New Roman"/>
          <w:color w:val="000000" w:themeColor="text1"/>
          <w:lang w:val="uk-UA"/>
        </w:rPr>
      </w:pPr>
    </w:p>
    <w:p w14:paraId="5E876A67" w14:textId="0C09EAA8" w:rsidR="00770318" w:rsidRDefault="00770318" w:rsidP="005852CA">
      <w:pPr>
        <w:jc w:val="both"/>
        <w:rPr>
          <w:rFonts w:ascii="Times New Roman" w:hAnsi="Times New Roman" w:cs="Times New Roman"/>
          <w:color w:val="000000" w:themeColor="text1"/>
          <w:lang w:val="uk-UA"/>
        </w:rPr>
      </w:pPr>
    </w:p>
    <w:p w14:paraId="737BDE75" w14:textId="72122DE1" w:rsidR="00770318" w:rsidRDefault="00770318" w:rsidP="005852CA">
      <w:pPr>
        <w:jc w:val="both"/>
        <w:rPr>
          <w:rFonts w:ascii="Times New Roman" w:hAnsi="Times New Roman" w:cs="Times New Roman"/>
          <w:color w:val="000000" w:themeColor="text1"/>
          <w:lang w:val="uk-UA"/>
        </w:rPr>
      </w:pPr>
    </w:p>
    <w:p w14:paraId="3E7708D9" w14:textId="779B4D43" w:rsidR="00770318" w:rsidRDefault="00770318" w:rsidP="005852CA">
      <w:pPr>
        <w:jc w:val="both"/>
        <w:rPr>
          <w:rFonts w:ascii="Times New Roman" w:hAnsi="Times New Roman" w:cs="Times New Roman"/>
          <w:color w:val="000000" w:themeColor="text1"/>
          <w:lang w:val="uk-UA"/>
        </w:rPr>
      </w:pPr>
    </w:p>
    <w:p w14:paraId="1BEFFAC7" w14:textId="60746C72" w:rsidR="00770318" w:rsidRDefault="00770318" w:rsidP="005852CA">
      <w:pPr>
        <w:jc w:val="both"/>
        <w:rPr>
          <w:rFonts w:ascii="Times New Roman" w:hAnsi="Times New Roman" w:cs="Times New Roman"/>
          <w:color w:val="000000" w:themeColor="text1"/>
          <w:lang w:val="uk-UA"/>
        </w:rPr>
      </w:pPr>
    </w:p>
    <w:p w14:paraId="3D0542D4" w14:textId="77777777" w:rsidR="00A74698" w:rsidRPr="00BA5C0A" w:rsidRDefault="00A74698" w:rsidP="00A74698">
      <w:pPr>
        <w:contextualSpacing/>
        <w:jc w:val="both"/>
        <w:rPr>
          <w:rFonts w:ascii="Times New Roman" w:hAnsi="Times New Roman" w:cs="Times New Roman"/>
          <w:b/>
          <w:color w:val="4472C4" w:themeColor="accent5"/>
          <w:sz w:val="36"/>
          <w:szCs w:val="36"/>
          <w:lang w:val="uk-UA"/>
        </w:rPr>
      </w:pPr>
      <w:r w:rsidRPr="00BA5C0A">
        <w:rPr>
          <w:rFonts w:ascii="Times New Roman" w:hAnsi="Times New Roman" w:cs="Times New Roman"/>
          <w:b/>
          <w:color w:val="4472C4" w:themeColor="accent5"/>
          <w:sz w:val="36"/>
          <w:szCs w:val="36"/>
          <w:lang w:val="uk-UA"/>
        </w:rPr>
        <w:lastRenderedPageBreak/>
        <w:t>Посилання та література:</w:t>
      </w:r>
    </w:p>
    <w:p w14:paraId="217E4912" w14:textId="6C198DB1" w:rsidR="00A74698" w:rsidRPr="0080595E"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 [1] </w:t>
      </w:r>
      <w:r w:rsidRPr="00BA5C0A">
        <w:rPr>
          <w:rFonts w:ascii="Times" w:hAnsi="Times" w:cs="Times"/>
          <w:color w:val="0D6C9E"/>
          <w:sz w:val="18"/>
          <w:szCs w:val="18"/>
          <w:lang w:val="en-US"/>
        </w:rPr>
        <w:t xml:space="preserve">Polaris Observatory HCV Collaborators. Global prevalence and genotype distribution of hepatitis C virus infection in 2015: a modelling study. </w:t>
      </w:r>
      <w:r w:rsidRPr="0080595E">
        <w:rPr>
          <w:rFonts w:ascii="Times" w:hAnsi="Times" w:cs="Times"/>
          <w:color w:val="0D6C9E"/>
          <w:sz w:val="18"/>
          <w:szCs w:val="18"/>
          <w:lang w:val="en-US"/>
        </w:rPr>
        <w:t>Lancet Gastroenterol Hepatol 2017;2:161–176</w:t>
      </w:r>
      <w:r w:rsidRPr="0080595E">
        <w:rPr>
          <w:rFonts w:ascii="Times" w:hAnsi="Times" w:cs="Times"/>
          <w:color w:val="000000"/>
          <w:sz w:val="18"/>
          <w:szCs w:val="18"/>
          <w:lang w:val="en-US"/>
        </w:rPr>
        <w:t xml:space="preserve">. </w:t>
      </w:r>
    </w:p>
    <w:p w14:paraId="04C5FD87" w14:textId="77777777" w:rsidR="00A74698" w:rsidRPr="00BA5C0A" w:rsidRDefault="00A74698" w:rsidP="00A74698">
      <w:pPr>
        <w:widowControl w:val="0"/>
        <w:autoSpaceDE w:val="0"/>
        <w:autoSpaceDN w:val="0"/>
        <w:adjustRightInd w:val="0"/>
        <w:spacing w:after="240"/>
        <w:ind w:left="426"/>
        <w:contextualSpacing/>
        <w:rPr>
          <w:rFonts w:ascii="Times" w:hAnsi="Times" w:cs="Times"/>
          <w:color w:val="000000"/>
        </w:rPr>
      </w:pPr>
      <w:r w:rsidRPr="00BA5C0A">
        <w:rPr>
          <w:rFonts w:ascii="Times" w:hAnsi="Times" w:cs="Times"/>
          <w:color w:val="000000"/>
          <w:sz w:val="18"/>
          <w:szCs w:val="18"/>
          <w:lang w:val="en-US"/>
        </w:rPr>
        <w:t xml:space="preserve">[2] </w:t>
      </w:r>
      <w:r w:rsidRPr="00BA5C0A">
        <w:rPr>
          <w:rFonts w:ascii="Times" w:hAnsi="Times" w:cs="Times"/>
          <w:color w:val="0D6C9E"/>
          <w:sz w:val="18"/>
          <w:szCs w:val="18"/>
          <w:lang w:val="en-US"/>
        </w:rPr>
        <w:t xml:space="preserve">European Union HCV Collaborators. Hepatitis C virus prevalence and level of intervention required to achieve the WHO targets for elimina- tion in the European Union by 2030: a modelling study. </w:t>
      </w:r>
      <w:r w:rsidRPr="00BA5C0A">
        <w:rPr>
          <w:rFonts w:ascii="Times" w:hAnsi="Times" w:cs="Times"/>
          <w:color w:val="0D6C9E"/>
          <w:sz w:val="18"/>
          <w:szCs w:val="18"/>
        </w:rPr>
        <w:t>Lancet Gastroenterol Hepatol 2017;2:325–336</w:t>
      </w:r>
      <w:r w:rsidRPr="00BA5C0A">
        <w:rPr>
          <w:rFonts w:ascii="Times" w:hAnsi="Times" w:cs="Times"/>
          <w:color w:val="000000"/>
          <w:sz w:val="18"/>
          <w:szCs w:val="18"/>
        </w:rPr>
        <w:t xml:space="preserve">. </w:t>
      </w:r>
    </w:p>
    <w:p w14:paraId="3A9BCA2F" w14:textId="77777777" w:rsidR="00A74698" w:rsidRPr="00BA5C0A"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rPr>
        <w:t xml:space="preserve">[3] </w:t>
      </w:r>
      <w:r w:rsidRPr="00BA5C0A">
        <w:rPr>
          <w:rFonts w:ascii="Times" w:hAnsi="Times" w:cs="Times"/>
          <w:color w:val="0D6C9E"/>
          <w:sz w:val="18"/>
          <w:szCs w:val="18"/>
        </w:rPr>
        <w:t xml:space="preserve">Arase Y, Kobayashi M, Suzuki F, Suzuki Y, Kawamura Y, Akuta N, et al. </w:t>
      </w:r>
      <w:r w:rsidRPr="00BA5C0A">
        <w:rPr>
          <w:rFonts w:ascii="Times" w:hAnsi="Times" w:cs="Times"/>
          <w:color w:val="0D6C9E"/>
          <w:sz w:val="18"/>
          <w:szCs w:val="18"/>
          <w:lang w:val="en-US"/>
        </w:rPr>
        <w:t>Effect of type 2 diabetes on risk for malignancies includes hepatocel- lular carcinoma in chronic hepatitis C. Hepatology 2013;57:964–973</w:t>
      </w:r>
      <w:r w:rsidRPr="00BA5C0A">
        <w:rPr>
          <w:rFonts w:ascii="Times" w:hAnsi="Times" w:cs="Times"/>
          <w:color w:val="000000"/>
          <w:sz w:val="18"/>
          <w:szCs w:val="18"/>
          <w:lang w:val="en-US"/>
        </w:rPr>
        <w:t xml:space="preserve">. </w:t>
      </w:r>
    </w:p>
    <w:p w14:paraId="05A83203"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80595E">
        <w:rPr>
          <w:rFonts w:ascii="Times" w:hAnsi="Times" w:cs="Times"/>
          <w:color w:val="000000"/>
          <w:sz w:val="18"/>
          <w:szCs w:val="18"/>
          <w:lang w:val="de-DE"/>
        </w:rPr>
        <w:t xml:space="preserve">[4] </w:t>
      </w:r>
      <w:r w:rsidRPr="0080595E">
        <w:rPr>
          <w:rFonts w:ascii="Times" w:hAnsi="Times" w:cs="Times"/>
          <w:color w:val="0D6C9E"/>
          <w:sz w:val="18"/>
          <w:szCs w:val="18"/>
          <w:lang w:val="de-DE"/>
        </w:rPr>
        <w:t xml:space="preserve">van der Meer AJ, Veldt BJ, Feld JJ, Wedemeyer H, Dufour JF, Lammert F, et al. </w:t>
      </w:r>
      <w:r w:rsidRPr="00BA5C0A">
        <w:rPr>
          <w:rFonts w:ascii="Times" w:hAnsi="Times" w:cs="Times"/>
          <w:color w:val="0D6C9E"/>
          <w:sz w:val="18"/>
          <w:szCs w:val="18"/>
          <w:lang w:val="en-US"/>
        </w:rPr>
        <w:t xml:space="preserve">Association between sustained virological response and all-cause mortality among patients with chronic hepatitis C and advanced hepatic fibrosis. </w:t>
      </w:r>
      <w:r w:rsidRPr="003B61EF">
        <w:rPr>
          <w:rFonts w:ascii="Times" w:hAnsi="Times" w:cs="Times"/>
          <w:color w:val="0D6C9E"/>
          <w:sz w:val="18"/>
          <w:szCs w:val="18"/>
          <w:lang w:val="en-US"/>
        </w:rPr>
        <w:t>JAMA 2012;308:2584–2593</w:t>
      </w:r>
      <w:r w:rsidRPr="003B61EF">
        <w:rPr>
          <w:rFonts w:ascii="Times" w:hAnsi="Times" w:cs="Times"/>
          <w:color w:val="000000"/>
          <w:sz w:val="18"/>
          <w:szCs w:val="18"/>
          <w:lang w:val="en-US"/>
        </w:rPr>
        <w:t xml:space="preserve">. </w:t>
      </w:r>
    </w:p>
    <w:p w14:paraId="209354C4"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[5] </w:t>
      </w:r>
      <w:r w:rsidRPr="00BA5C0A">
        <w:rPr>
          <w:rFonts w:ascii="Times" w:hAnsi="Times" w:cs="Times"/>
          <w:color w:val="0D6C9E"/>
          <w:sz w:val="18"/>
          <w:szCs w:val="18"/>
          <w:lang w:val="en-US"/>
        </w:rPr>
        <w:t xml:space="preserve">Bruno S, Di Marco V, Iavarone M, Roffi L, Crosignani A, Calvaruso V, et al. Survival of patients with HCV cirrhosis and sustained virologic response is similar to the general population. </w:t>
      </w:r>
      <w:r w:rsidRPr="003B61EF">
        <w:rPr>
          <w:rFonts w:ascii="Times" w:hAnsi="Times" w:cs="Times"/>
          <w:color w:val="0D6C9E"/>
          <w:sz w:val="18"/>
          <w:szCs w:val="18"/>
          <w:lang w:val="en-US"/>
        </w:rPr>
        <w:t>J Hepatol 2016;64:1217–1223</w:t>
      </w:r>
      <w:r w:rsidRPr="003B61EF">
        <w:rPr>
          <w:rFonts w:ascii="Times" w:hAnsi="Times" w:cs="Times"/>
          <w:color w:val="000000"/>
          <w:sz w:val="18"/>
          <w:szCs w:val="18"/>
          <w:lang w:val="en-US"/>
        </w:rPr>
        <w:t xml:space="preserve">. </w:t>
      </w:r>
    </w:p>
    <w:p w14:paraId="4F27951B"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[6] </w:t>
      </w:r>
      <w:r w:rsidRPr="00BA5C0A">
        <w:rPr>
          <w:rFonts w:ascii="Times" w:hAnsi="Times" w:cs="Times"/>
          <w:color w:val="0D6C9E"/>
          <w:sz w:val="18"/>
          <w:szCs w:val="18"/>
          <w:lang w:val="en-US"/>
        </w:rPr>
        <w:t xml:space="preserve">Kew MC. Interaction between hepatitis B and C viruses in hepatocellular carcinogenesis. </w:t>
      </w:r>
      <w:r w:rsidRPr="003B61EF">
        <w:rPr>
          <w:rFonts w:ascii="Times" w:hAnsi="Times" w:cs="Times"/>
          <w:color w:val="0D6C9E"/>
          <w:sz w:val="18"/>
          <w:szCs w:val="18"/>
          <w:lang w:val="en-US"/>
        </w:rPr>
        <w:t>J Viral Hepat 2006;13:145–149</w:t>
      </w:r>
      <w:r w:rsidRPr="003B61EF">
        <w:rPr>
          <w:rFonts w:ascii="Times" w:hAnsi="Times" w:cs="Times"/>
          <w:color w:val="000000"/>
          <w:sz w:val="18"/>
          <w:szCs w:val="18"/>
          <w:lang w:val="en-US"/>
        </w:rPr>
        <w:t xml:space="preserve">. </w:t>
      </w:r>
    </w:p>
    <w:p w14:paraId="3C900599" w14:textId="77777777" w:rsidR="00A74698" w:rsidRPr="0080595E"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[7] </w:t>
      </w:r>
      <w:r w:rsidRPr="00BA5C0A">
        <w:rPr>
          <w:rFonts w:ascii="Times" w:hAnsi="Times" w:cs="Times"/>
          <w:color w:val="0D6C9E"/>
          <w:sz w:val="18"/>
          <w:szCs w:val="18"/>
          <w:lang w:val="en-US"/>
        </w:rPr>
        <w:t xml:space="preserve">Kew MC, Yu MC, Kedda MA, Coppin A, Sarkin A, Hodkinson J. The relative roles of hepatitis B and C viruses in the etiology of hepatocel- lular carcinoma in southern African blacks. </w:t>
      </w:r>
      <w:r w:rsidRPr="0080595E">
        <w:rPr>
          <w:rFonts w:ascii="Times" w:hAnsi="Times" w:cs="Times"/>
          <w:color w:val="0D6C9E"/>
          <w:sz w:val="18"/>
          <w:szCs w:val="18"/>
          <w:lang w:val="en-US"/>
        </w:rPr>
        <w:t>Gastroenterology 1997;112:184–187</w:t>
      </w:r>
      <w:r w:rsidRPr="0080595E">
        <w:rPr>
          <w:rFonts w:ascii="Times" w:hAnsi="Times" w:cs="Times"/>
          <w:color w:val="000000"/>
          <w:sz w:val="18"/>
          <w:szCs w:val="18"/>
          <w:lang w:val="en-US"/>
        </w:rPr>
        <w:t xml:space="preserve">. </w:t>
      </w:r>
    </w:p>
    <w:p w14:paraId="7C33A1C9"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[8] </w:t>
      </w:r>
      <w:r w:rsidRPr="00BA5C0A">
        <w:rPr>
          <w:rFonts w:ascii="Times" w:hAnsi="Times" w:cs="Times"/>
          <w:color w:val="0D6C9E"/>
          <w:sz w:val="18"/>
          <w:szCs w:val="18"/>
          <w:lang w:val="en-US"/>
        </w:rPr>
        <w:t xml:space="preserve">Nahon P, Bourcier V, Layese R, Audureau E, Cagnot C, Marcellin P, et al. Eradication of hepatitis C virus infection in patients with cirrhosis reduces risk of liver and non-liver complications. </w:t>
      </w:r>
      <w:r w:rsidRPr="003B61EF">
        <w:rPr>
          <w:rFonts w:ascii="Times" w:hAnsi="Times" w:cs="Times"/>
          <w:color w:val="0D6C9E"/>
          <w:sz w:val="18"/>
          <w:szCs w:val="18"/>
          <w:lang w:val="en-US"/>
        </w:rPr>
        <w:t>Gastroenterology 2017;152:142–156, e2</w:t>
      </w:r>
      <w:r w:rsidRPr="003B61EF">
        <w:rPr>
          <w:rFonts w:ascii="Times" w:hAnsi="Times" w:cs="Times"/>
          <w:color w:val="000000"/>
          <w:sz w:val="18"/>
          <w:szCs w:val="18"/>
          <w:lang w:val="en-US"/>
        </w:rPr>
        <w:t xml:space="preserve">. </w:t>
      </w:r>
    </w:p>
    <w:p w14:paraId="63D288BD" w14:textId="77777777" w:rsidR="00A74698" w:rsidRPr="0080595E"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[9] </w:t>
      </w:r>
      <w:r w:rsidRPr="00BA5C0A">
        <w:rPr>
          <w:rFonts w:ascii="Times" w:hAnsi="Times" w:cs="Times"/>
          <w:color w:val="0D6C9E"/>
          <w:sz w:val="18"/>
          <w:szCs w:val="18"/>
          <w:lang w:val="en-US"/>
        </w:rPr>
        <w:t xml:space="preserve">Perz JF, Armstrong GL, Farrington LA, Hutin YJ, Bell BP. The contribu- tions of hepatitis B virus and hepatitis C virus infections to cirrhosis and primary liver cancer worldwide. </w:t>
      </w:r>
      <w:r w:rsidRPr="0080595E">
        <w:rPr>
          <w:rFonts w:ascii="Times" w:hAnsi="Times" w:cs="Times"/>
          <w:color w:val="0D6C9E"/>
          <w:sz w:val="18"/>
          <w:szCs w:val="18"/>
          <w:lang w:val="en-US"/>
        </w:rPr>
        <w:t>J Hepatol 2006;45:529–538</w:t>
      </w:r>
      <w:r w:rsidRPr="0080595E">
        <w:rPr>
          <w:rFonts w:ascii="Times" w:hAnsi="Times" w:cs="Times"/>
          <w:color w:val="000000"/>
          <w:sz w:val="18"/>
          <w:szCs w:val="18"/>
          <w:lang w:val="en-US"/>
        </w:rPr>
        <w:t xml:space="preserve">. </w:t>
      </w:r>
    </w:p>
    <w:p w14:paraId="1ED4AA15" w14:textId="77777777" w:rsidR="00A74698" w:rsidRPr="00BA5C0A"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[10] </w:t>
      </w:r>
      <w:r w:rsidRPr="00BA5C0A">
        <w:rPr>
          <w:rFonts w:ascii="Times" w:hAnsi="Times" w:cs="Times"/>
          <w:color w:val="0D6C9E"/>
          <w:sz w:val="18"/>
          <w:szCs w:val="18"/>
          <w:lang w:val="en-US"/>
        </w:rPr>
        <w:t>Negro F, Forton D, Craxi A, Sulkowski MS, Feld JJ, Manns MP. Extrahepatic morbidity and mortality of chronic hepatitis C. Gastroen- terology 2015;149:1345–1360</w:t>
      </w:r>
      <w:r w:rsidRPr="00BA5C0A">
        <w:rPr>
          <w:rFonts w:ascii="Times" w:hAnsi="Times" w:cs="Times"/>
          <w:color w:val="000000"/>
          <w:sz w:val="18"/>
          <w:szCs w:val="18"/>
          <w:lang w:val="en-US"/>
        </w:rPr>
        <w:t xml:space="preserve">. </w:t>
      </w:r>
    </w:p>
    <w:p w14:paraId="5F8D9EED"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[11] </w:t>
      </w:r>
      <w:r w:rsidRPr="00BA5C0A">
        <w:rPr>
          <w:rFonts w:ascii="Times" w:hAnsi="Times" w:cs="Times"/>
          <w:color w:val="0D6C9E"/>
          <w:sz w:val="18"/>
          <w:szCs w:val="18"/>
          <w:lang w:val="en-US"/>
        </w:rPr>
        <w:t xml:space="preserve">Cacoub P, Commarmond C, Sadoun D, Desbois AC. Hepatitis C virus infection and rheumatic diseases: the impact of direct-acting antiviral agents. </w:t>
      </w:r>
      <w:r w:rsidRPr="003B61EF">
        <w:rPr>
          <w:rFonts w:ascii="Times" w:hAnsi="Times" w:cs="Times"/>
          <w:color w:val="0D6C9E"/>
          <w:sz w:val="18"/>
          <w:szCs w:val="18"/>
          <w:lang w:val="en-US"/>
        </w:rPr>
        <w:t>Rheum Dis Clin North Am 2017;43:123–132</w:t>
      </w:r>
      <w:r w:rsidRPr="003B61EF">
        <w:rPr>
          <w:rFonts w:ascii="Times" w:hAnsi="Times" w:cs="Times"/>
          <w:color w:val="000000"/>
          <w:sz w:val="18"/>
          <w:szCs w:val="18"/>
          <w:lang w:val="en-US"/>
        </w:rPr>
        <w:t xml:space="preserve">. </w:t>
      </w:r>
    </w:p>
    <w:p w14:paraId="5716C5E2" w14:textId="77777777" w:rsidR="00A74698" w:rsidRPr="00BA5C0A" w:rsidRDefault="00A74698" w:rsidP="00A74698">
      <w:pPr>
        <w:widowControl w:val="0"/>
        <w:autoSpaceDE w:val="0"/>
        <w:autoSpaceDN w:val="0"/>
        <w:adjustRightInd w:val="0"/>
        <w:spacing w:after="240"/>
        <w:ind w:left="426"/>
        <w:contextualSpacing/>
        <w:rPr>
          <w:rFonts w:ascii="Times" w:hAnsi="Times" w:cs="Times"/>
          <w:color w:val="000000"/>
        </w:rPr>
      </w:pPr>
      <w:r w:rsidRPr="00BA5C0A">
        <w:rPr>
          <w:rFonts w:ascii="Times" w:hAnsi="Times" w:cs="Times"/>
          <w:color w:val="000000"/>
          <w:sz w:val="18"/>
          <w:szCs w:val="18"/>
          <w:lang w:val="en-US"/>
        </w:rPr>
        <w:t xml:space="preserve">[12] </w:t>
      </w:r>
      <w:r w:rsidRPr="00BA5C0A">
        <w:rPr>
          <w:rFonts w:ascii="Times" w:hAnsi="Times" w:cs="Times"/>
          <w:color w:val="0D6C9E"/>
          <w:sz w:val="18"/>
          <w:szCs w:val="18"/>
          <w:lang w:val="en-US"/>
        </w:rPr>
        <w:t xml:space="preserve">Cacoub P, Poynard T, Ghillani P, Charlotte F, Olivi M, Piette JC, et al. </w:t>
      </w:r>
      <w:r w:rsidRPr="00BA5C0A">
        <w:rPr>
          <w:rFonts w:ascii="Times" w:hAnsi="Times" w:cs="Times"/>
          <w:color w:val="0D6C9E"/>
          <w:sz w:val="18"/>
          <w:szCs w:val="18"/>
        </w:rPr>
        <w:t>Extrahepatic manifestations of chronic hepatitis C. Arthritis Rheum 1999;42:2204–2212</w:t>
      </w:r>
      <w:r w:rsidRPr="00BA5C0A">
        <w:rPr>
          <w:rFonts w:ascii="Times" w:hAnsi="Times" w:cs="Times"/>
          <w:color w:val="000000"/>
          <w:sz w:val="18"/>
          <w:szCs w:val="18"/>
        </w:rPr>
        <w:t xml:space="preserve">. </w:t>
      </w:r>
    </w:p>
    <w:p w14:paraId="1FB25C80"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[13] </w:t>
      </w:r>
      <w:r w:rsidRPr="00BA5C0A">
        <w:rPr>
          <w:rFonts w:ascii="Times" w:hAnsi="Times" w:cs="Times"/>
          <w:color w:val="0D6C9E"/>
          <w:sz w:val="18"/>
          <w:szCs w:val="18"/>
          <w:lang w:val="en-US"/>
        </w:rPr>
        <w:t xml:space="preserve">Caviglia GP, Sciacca C, Abate ML, Olivero A, Rosso C, Touscoz GA, et al. Chronic hepatitis C virus infection and lymphoproliferative disorders: mixed cryoglobulinemia syndrome, monoclonal gammopathy of unde- termined significance, and B-cell non-Hodgkin lymphoma. </w:t>
      </w:r>
      <w:r w:rsidRPr="003B61EF">
        <w:rPr>
          <w:rFonts w:ascii="Times" w:hAnsi="Times" w:cs="Times"/>
          <w:color w:val="0D6C9E"/>
          <w:sz w:val="18"/>
          <w:szCs w:val="18"/>
          <w:lang w:val="en-US"/>
        </w:rPr>
        <w:t>J Gastroen- terol Hepatol 2015;30:742–747</w:t>
      </w:r>
      <w:r w:rsidRPr="003B61EF">
        <w:rPr>
          <w:rFonts w:ascii="Times" w:hAnsi="Times" w:cs="Times"/>
          <w:color w:val="000000"/>
          <w:sz w:val="18"/>
          <w:szCs w:val="18"/>
          <w:lang w:val="en-US"/>
        </w:rPr>
        <w:t xml:space="preserve">. </w:t>
      </w:r>
    </w:p>
    <w:p w14:paraId="18935579" w14:textId="77777777" w:rsidR="00A74698" w:rsidRPr="0080595E"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[14] </w:t>
      </w:r>
      <w:r w:rsidRPr="00BA5C0A">
        <w:rPr>
          <w:rFonts w:ascii="Times" w:hAnsi="Times" w:cs="Times"/>
          <w:color w:val="0D6C9E"/>
          <w:sz w:val="18"/>
          <w:szCs w:val="18"/>
          <w:lang w:val="en-US"/>
        </w:rPr>
        <w:t xml:space="preserve">Mahale P, Engels EA, Li R, Torres HA, Hwang LY, Brown EL, et al. The effect of sustained virological response on the risk of extrahepatic manifestations of hepatitis C virus infection. </w:t>
      </w:r>
      <w:r w:rsidRPr="0080595E">
        <w:rPr>
          <w:rFonts w:ascii="Times" w:hAnsi="Times" w:cs="Times"/>
          <w:color w:val="0D6C9E"/>
          <w:sz w:val="18"/>
          <w:szCs w:val="18"/>
          <w:lang w:val="en-US"/>
        </w:rPr>
        <w:t>Gut 2018;67:553–561</w:t>
      </w:r>
      <w:r w:rsidRPr="0080595E">
        <w:rPr>
          <w:rFonts w:ascii="Times" w:hAnsi="Times" w:cs="Times"/>
          <w:color w:val="000000"/>
          <w:sz w:val="18"/>
          <w:szCs w:val="18"/>
          <w:lang w:val="en-US"/>
        </w:rPr>
        <w:t xml:space="preserve">. </w:t>
      </w:r>
    </w:p>
    <w:p w14:paraId="6742B48F" w14:textId="77777777" w:rsidR="00A74698" w:rsidRPr="0080595E"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[15] </w:t>
      </w:r>
      <w:r w:rsidRPr="00BA5C0A">
        <w:rPr>
          <w:rFonts w:ascii="Times" w:hAnsi="Times" w:cs="Times"/>
          <w:color w:val="0D6C9E"/>
          <w:sz w:val="18"/>
          <w:szCs w:val="18"/>
          <w:lang w:val="en-US"/>
        </w:rPr>
        <w:t xml:space="preserve">van der Meer AJ, Berenguer M. Reversion of disease manifestations after HCV eradication. </w:t>
      </w:r>
      <w:r w:rsidRPr="0080595E">
        <w:rPr>
          <w:rFonts w:ascii="Times" w:hAnsi="Times" w:cs="Times"/>
          <w:color w:val="0D6C9E"/>
          <w:sz w:val="18"/>
          <w:szCs w:val="18"/>
          <w:lang w:val="en-US"/>
        </w:rPr>
        <w:t>J Hepatol 2016;65:S95–S108</w:t>
      </w:r>
      <w:r w:rsidRPr="0080595E">
        <w:rPr>
          <w:rFonts w:ascii="Times" w:hAnsi="Times" w:cs="Times"/>
          <w:color w:val="000000"/>
          <w:sz w:val="18"/>
          <w:szCs w:val="18"/>
          <w:lang w:val="en-US"/>
        </w:rPr>
        <w:t xml:space="preserve">. </w:t>
      </w:r>
    </w:p>
    <w:p w14:paraId="0515B53C" w14:textId="77777777" w:rsidR="00A74698" w:rsidRPr="0080595E"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[16]  </w:t>
      </w:r>
      <w:r w:rsidRPr="00BA5C0A">
        <w:rPr>
          <w:rFonts w:ascii="Times" w:hAnsi="Times" w:cs="Times"/>
          <w:color w:val="0D6C9E"/>
          <w:sz w:val="18"/>
          <w:szCs w:val="18"/>
          <w:lang w:val="en-US"/>
        </w:rPr>
        <w:t xml:space="preserve">Younossi ZM. Hepatitis C infection: a systemic disease. </w:t>
      </w:r>
      <w:r w:rsidRPr="0080595E">
        <w:rPr>
          <w:rFonts w:ascii="Times" w:hAnsi="Times" w:cs="Times"/>
          <w:color w:val="0D6C9E"/>
          <w:sz w:val="18"/>
          <w:szCs w:val="18"/>
          <w:lang w:val="en-US"/>
        </w:rPr>
        <w:t>Clin Liver Dis 2017;21:449–453</w:t>
      </w:r>
      <w:r w:rsidRPr="0080595E">
        <w:rPr>
          <w:rFonts w:ascii="Times" w:hAnsi="Times" w:cs="Times"/>
          <w:color w:val="000000"/>
          <w:sz w:val="18"/>
          <w:szCs w:val="18"/>
          <w:lang w:val="en-US"/>
        </w:rPr>
        <w:t xml:space="preserve">. </w:t>
      </w:r>
      <w:r w:rsidRPr="0080595E">
        <w:rPr>
          <w:rFonts w:ascii="MS Mincho" w:eastAsia="MS Mincho" w:hAnsi="MS Mincho" w:cs="MS Mincho"/>
          <w:color w:val="000000"/>
          <w:lang w:val="en-US"/>
        </w:rPr>
        <w:t> </w:t>
      </w:r>
    </w:p>
    <w:p w14:paraId="2CD665C3"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[17]  </w:t>
      </w:r>
      <w:r w:rsidRPr="00BA5C0A">
        <w:rPr>
          <w:rFonts w:ascii="Times" w:hAnsi="Times" w:cs="Times"/>
          <w:color w:val="0D6C9E"/>
          <w:sz w:val="18"/>
          <w:szCs w:val="18"/>
          <w:lang w:val="en-US"/>
        </w:rPr>
        <w:t xml:space="preserve">Andrews J, Guyatt G, Oxman AD, Alderson P, Dahm P, Falck-Ytter Y, et al. GRADE guidelines: 14. Going from evidence to recommendations: the significance and presentation of recommendations. </w:t>
      </w:r>
      <w:r w:rsidRPr="003B61EF">
        <w:rPr>
          <w:rFonts w:ascii="Times" w:hAnsi="Times" w:cs="Times"/>
          <w:color w:val="0D6C9E"/>
          <w:sz w:val="18"/>
          <w:szCs w:val="18"/>
          <w:lang w:val="en-US"/>
        </w:rPr>
        <w:t>J Clin Epidemiol 2013;66:719–725</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380AAEB3"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[18]  </w:t>
      </w:r>
      <w:r w:rsidRPr="00BA5C0A">
        <w:rPr>
          <w:rFonts w:ascii="Times" w:hAnsi="Times" w:cs="Times"/>
          <w:color w:val="0D6C9E"/>
          <w:sz w:val="18"/>
          <w:szCs w:val="18"/>
          <w:lang w:val="en-US"/>
        </w:rPr>
        <w:t xml:space="preserve">Chevaliez S, Pawlotsky JM. Diagnosis and management of chronic viral hepatitis: antigens, antibodies and viral genomes. </w:t>
      </w:r>
      <w:r w:rsidRPr="003B61EF">
        <w:rPr>
          <w:rFonts w:ascii="Times" w:hAnsi="Times" w:cs="Times"/>
          <w:color w:val="0D6C9E"/>
          <w:sz w:val="18"/>
          <w:szCs w:val="18"/>
          <w:lang w:val="en-US"/>
        </w:rPr>
        <w:t>Best Pract Res Clin Gastroenterol 2008;22:1031–1048</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0CDCE019" w14:textId="77777777" w:rsidR="00A74698" w:rsidRPr="0080595E"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de-DE"/>
        </w:rPr>
      </w:pPr>
      <w:r w:rsidRPr="00BA5C0A">
        <w:rPr>
          <w:rFonts w:ascii="Times" w:hAnsi="Times" w:cs="Times"/>
          <w:color w:val="000000"/>
          <w:sz w:val="18"/>
          <w:szCs w:val="18"/>
          <w:lang w:val="en-US"/>
        </w:rPr>
        <w:t>[19]  </w:t>
      </w:r>
      <w:r w:rsidRPr="00BA5C0A">
        <w:rPr>
          <w:rFonts w:ascii="Times" w:hAnsi="Times" w:cs="Times"/>
          <w:color w:val="0D6C9E"/>
          <w:sz w:val="18"/>
          <w:szCs w:val="18"/>
          <w:lang w:val="en-US"/>
        </w:rPr>
        <w:t xml:space="preserve">Kamili S, Drobeniuc J, Araujo AC, Hayden TM. Laboratory diagnostics for hepatitis C virus infection. </w:t>
      </w:r>
      <w:r w:rsidRPr="0080595E">
        <w:rPr>
          <w:rFonts w:ascii="Times" w:hAnsi="Times" w:cs="Times"/>
          <w:color w:val="0D6C9E"/>
          <w:sz w:val="18"/>
          <w:szCs w:val="18"/>
          <w:lang w:val="de-DE"/>
        </w:rPr>
        <w:t>Clin Infect Dis 2012;55:S43–S48</w:t>
      </w:r>
      <w:r w:rsidRPr="0080595E">
        <w:rPr>
          <w:rFonts w:ascii="Times" w:hAnsi="Times" w:cs="Times"/>
          <w:color w:val="000000"/>
          <w:sz w:val="18"/>
          <w:szCs w:val="18"/>
          <w:lang w:val="de-DE"/>
        </w:rPr>
        <w:t xml:space="preserve">. </w:t>
      </w:r>
      <w:r w:rsidRPr="0080595E">
        <w:rPr>
          <w:rFonts w:ascii="MS Mincho" w:eastAsia="MS Mincho" w:hAnsi="MS Mincho" w:cs="MS Mincho"/>
          <w:color w:val="000000"/>
          <w:lang w:val="de-DE"/>
        </w:rPr>
        <w:t> </w:t>
      </w:r>
    </w:p>
    <w:p w14:paraId="108DD51C" w14:textId="77777777" w:rsidR="00A74698" w:rsidRPr="00BA5C0A"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80595E">
        <w:rPr>
          <w:rFonts w:ascii="Times" w:hAnsi="Times" w:cs="Times"/>
          <w:color w:val="000000"/>
          <w:sz w:val="18"/>
          <w:szCs w:val="18"/>
          <w:lang w:val="de-DE"/>
        </w:rPr>
        <w:t>[20]  </w:t>
      </w:r>
      <w:r w:rsidRPr="0080595E">
        <w:rPr>
          <w:rFonts w:ascii="Times" w:hAnsi="Times" w:cs="Times"/>
          <w:color w:val="0D6C9E"/>
          <w:sz w:val="18"/>
          <w:szCs w:val="18"/>
          <w:lang w:val="de-DE"/>
        </w:rPr>
        <w:t xml:space="preserve">Takaki A, Wiese M, Maertens G, Depla E, Seifert U, Liebetrau A, et al. </w:t>
      </w:r>
      <w:r w:rsidRPr="00BA5C0A">
        <w:rPr>
          <w:rFonts w:ascii="Times" w:hAnsi="Times" w:cs="Times"/>
          <w:color w:val="0D6C9E"/>
          <w:sz w:val="18"/>
          <w:szCs w:val="18"/>
          <w:lang w:val="en-US"/>
        </w:rPr>
        <w:t>Cellular immune responses persist and humoral responses decrease two decades after recovery from a single-source outbreak of hepatitis C. Nat Med 2000;6:578–582</w:t>
      </w:r>
      <w:r w:rsidRPr="00BA5C0A">
        <w:rPr>
          <w:rFonts w:ascii="Times" w:hAnsi="Times" w:cs="Times"/>
          <w:color w:val="000000"/>
          <w:sz w:val="18"/>
          <w:szCs w:val="18"/>
          <w:lang w:val="en-US"/>
        </w:rPr>
        <w:t xml:space="preserve">. </w:t>
      </w:r>
      <w:r w:rsidRPr="00BA5C0A">
        <w:rPr>
          <w:rFonts w:ascii="MS Mincho" w:eastAsia="MS Mincho" w:hAnsi="MS Mincho" w:cs="MS Mincho"/>
          <w:color w:val="000000"/>
          <w:lang w:val="en-US"/>
        </w:rPr>
        <w:t> </w:t>
      </w:r>
    </w:p>
    <w:p w14:paraId="2C35453A"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[21]  </w:t>
      </w:r>
      <w:r w:rsidRPr="00BA5C0A">
        <w:rPr>
          <w:rFonts w:ascii="Times" w:hAnsi="Times" w:cs="Times"/>
          <w:color w:val="0D6C9E"/>
          <w:sz w:val="18"/>
          <w:szCs w:val="18"/>
          <w:lang w:val="en-US"/>
        </w:rPr>
        <w:t xml:space="preserve">Terrault NA, Pawlotsky JM, McHutchison J, Anderson F, Krajden M, Gordon S, et al. Clinical utility of viral load measurements in individuals with chronic hepatitis C infection on antiviral therapy. </w:t>
      </w:r>
      <w:r w:rsidRPr="003B61EF">
        <w:rPr>
          <w:rFonts w:ascii="Times" w:hAnsi="Times" w:cs="Times"/>
          <w:color w:val="0D6C9E"/>
          <w:sz w:val="18"/>
          <w:szCs w:val="18"/>
          <w:lang w:val="en-US"/>
        </w:rPr>
        <w:t>J Viral Hepat 2005;12:465–472</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12AD8270" w14:textId="77777777" w:rsidR="00A74698" w:rsidRPr="0080595E"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[22]  </w:t>
      </w:r>
      <w:r w:rsidRPr="00BA5C0A">
        <w:rPr>
          <w:rFonts w:ascii="Times" w:hAnsi="Times" w:cs="Times"/>
          <w:color w:val="0D6C9E"/>
          <w:sz w:val="18"/>
          <w:szCs w:val="18"/>
          <w:lang w:val="en-US"/>
        </w:rPr>
        <w:t xml:space="preserve">Ticehurst JR, Hamzeh FM, Thomas DL. Factors affecting serum concen- trations of hepatitis C virus (HCV) RNA in HCV genotype 1-infected patients with chronic hepatitis. </w:t>
      </w:r>
      <w:r w:rsidRPr="0080595E">
        <w:rPr>
          <w:rFonts w:ascii="Times" w:hAnsi="Times" w:cs="Times"/>
          <w:color w:val="0D6C9E"/>
          <w:sz w:val="18"/>
          <w:szCs w:val="18"/>
          <w:lang w:val="en-US"/>
        </w:rPr>
        <w:t>J Clin Microbiol 2007;45:2426–2433</w:t>
      </w:r>
      <w:r w:rsidRPr="0080595E">
        <w:rPr>
          <w:rFonts w:ascii="Times" w:hAnsi="Times" w:cs="Times"/>
          <w:color w:val="000000"/>
          <w:sz w:val="18"/>
          <w:szCs w:val="18"/>
          <w:lang w:val="en-US"/>
        </w:rPr>
        <w:t xml:space="preserve">. </w:t>
      </w:r>
      <w:r w:rsidRPr="0080595E">
        <w:rPr>
          <w:rFonts w:ascii="MS Mincho" w:eastAsia="MS Mincho" w:hAnsi="MS Mincho" w:cs="MS Mincho"/>
          <w:color w:val="000000"/>
          <w:lang w:val="en-US"/>
        </w:rPr>
        <w:t> </w:t>
      </w:r>
    </w:p>
    <w:p w14:paraId="2571B74A" w14:textId="77777777" w:rsidR="00A74698" w:rsidRPr="00BA5C0A"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rPr>
      </w:pPr>
      <w:r w:rsidRPr="00BA5C0A">
        <w:rPr>
          <w:rFonts w:ascii="Times" w:hAnsi="Times" w:cs="Times"/>
          <w:color w:val="000000"/>
          <w:sz w:val="18"/>
          <w:szCs w:val="18"/>
          <w:lang w:val="en-US"/>
        </w:rPr>
        <w:t>[23]  </w:t>
      </w:r>
      <w:r w:rsidRPr="00BA5C0A">
        <w:rPr>
          <w:rFonts w:ascii="Times" w:hAnsi="Times" w:cs="Times"/>
          <w:color w:val="0D6C9E"/>
          <w:sz w:val="18"/>
          <w:szCs w:val="18"/>
          <w:lang w:val="en-US"/>
        </w:rPr>
        <w:t xml:space="preserve">Chevaliez S, Feld J, Cheng K, Wedemeyer H, Sarrazin C, Maasoumy B, et al. Clinical utility of HCV core antigen detection and quantification in the diagnosis and management of patients with chronic hepatitis C receiving an all-oral, interferon-free regimen. </w:t>
      </w:r>
      <w:r w:rsidRPr="00BA5C0A">
        <w:rPr>
          <w:rFonts w:ascii="Times" w:hAnsi="Times" w:cs="Times"/>
          <w:color w:val="0D6C9E"/>
          <w:sz w:val="18"/>
          <w:szCs w:val="18"/>
        </w:rPr>
        <w:t>Antivir Ther 2018, in press</w:t>
      </w:r>
      <w:r w:rsidRPr="00BA5C0A">
        <w:rPr>
          <w:rFonts w:ascii="Times" w:hAnsi="Times" w:cs="Times"/>
          <w:color w:val="000000"/>
          <w:sz w:val="18"/>
          <w:szCs w:val="18"/>
        </w:rPr>
        <w:t xml:space="preserve">. </w:t>
      </w:r>
      <w:r w:rsidRPr="00BA5C0A">
        <w:rPr>
          <w:rFonts w:ascii="MS Mincho" w:eastAsia="MS Mincho" w:hAnsi="MS Mincho" w:cs="MS Mincho"/>
          <w:color w:val="000000"/>
        </w:rPr>
        <w:t> </w:t>
      </w:r>
    </w:p>
    <w:p w14:paraId="169158FE" w14:textId="77777777" w:rsidR="00A74698" w:rsidRPr="00BA5C0A"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[24]  </w:t>
      </w:r>
      <w:r w:rsidRPr="00BA5C0A">
        <w:rPr>
          <w:rFonts w:ascii="Times" w:hAnsi="Times" w:cs="Times"/>
          <w:color w:val="0D6C9E"/>
          <w:sz w:val="18"/>
          <w:szCs w:val="18"/>
          <w:lang w:val="en-US"/>
        </w:rPr>
        <w:t>Chevaliez S, Soulier A, Poiteau L, Bouvier-Alias M, Pawlotsky JM. Clinical utility of hepatitis C virus core antigen quantification in patients with chronic hepatitis C. J Clin Virol 2014;61:145–148</w:t>
      </w:r>
      <w:r w:rsidRPr="00BA5C0A">
        <w:rPr>
          <w:rFonts w:ascii="Times" w:hAnsi="Times" w:cs="Times"/>
          <w:color w:val="000000"/>
          <w:sz w:val="18"/>
          <w:szCs w:val="18"/>
          <w:lang w:val="en-US"/>
        </w:rPr>
        <w:t xml:space="preserve">. </w:t>
      </w:r>
      <w:r w:rsidRPr="00BA5C0A">
        <w:rPr>
          <w:rFonts w:ascii="MS Mincho" w:eastAsia="MS Mincho" w:hAnsi="MS Mincho" w:cs="MS Mincho"/>
          <w:color w:val="000000"/>
          <w:lang w:val="en-US"/>
        </w:rPr>
        <w:t> </w:t>
      </w:r>
    </w:p>
    <w:p w14:paraId="610FCA35"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80595E">
        <w:rPr>
          <w:rFonts w:ascii="Times" w:hAnsi="Times" w:cs="Times"/>
          <w:color w:val="000000"/>
          <w:sz w:val="18"/>
          <w:szCs w:val="18"/>
          <w:lang w:val="de-DE"/>
        </w:rPr>
        <w:t>[25]  </w:t>
      </w:r>
      <w:r w:rsidRPr="0080595E">
        <w:rPr>
          <w:rFonts w:ascii="Times" w:hAnsi="Times" w:cs="Times"/>
          <w:color w:val="0D6C9E"/>
          <w:sz w:val="18"/>
          <w:szCs w:val="18"/>
          <w:lang w:val="de-DE"/>
        </w:rPr>
        <w:t xml:space="preserve">Heidrich B, Pischke S, Helfritz FA, Mederacke I, Kirschner J, Schneider J, et al. </w:t>
      </w:r>
      <w:r w:rsidRPr="00BA5C0A">
        <w:rPr>
          <w:rFonts w:ascii="Times" w:hAnsi="Times" w:cs="Times"/>
          <w:color w:val="0D6C9E"/>
          <w:sz w:val="18"/>
          <w:szCs w:val="18"/>
          <w:lang w:val="en-US"/>
        </w:rPr>
        <w:t xml:space="preserve">Hepatitis C virus core antigen testing in liver and kidney transplant recipients. </w:t>
      </w:r>
      <w:r w:rsidRPr="003B61EF">
        <w:rPr>
          <w:rFonts w:ascii="Times" w:hAnsi="Times" w:cs="Times"/>
          <w:color w:val="0D6C9E"/>
          <w:sz w:val="18"/>
          <w:szCs w:val="18"/>
          <w:lang w:val="en-US"/>
        </w:rPr>
        <w:t>J Viral Hepat 2014;21:769–779</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35CD4D77"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[26]  </w:t>
      </w:r>
      <w:r w:rsidRPr="00BA5C0A">
        <w:rPr>
          <w:rFonts w:ascii="Times" w:hAnsi="Times" w:cs="Times"/>
          <w:color w:val="0D6C9E"/>
          <w:sz w:val="18"/>
          <w:szCs w:val="18"/>
          <w:lang w:val="en-US"/>
        </w:rPr>
        <w:t xml:space="preserve">Freiman JM, Tran TM, Schumacher SG, White LF, Ongarello S, Cohn J, et al. Hepatitis C core antigen testing for diagnosis of hepatitis C virus infection: a systematic review and meta-analysis. </w:t>
      </w:r>
      <w:r w:rsidRPr="003B61EF">
        <w:rPr>
          <w:rFonts w:ascii="Times" w:hAnsi="Times" w:cs="Times"/>
          <w:color w:val="0D6C9E"/>
          <w:sz w:val="18"/>
          <w:szCs w:val="18"/>
          <w:lang w:val="en-US"/>
        </w:rPr>
        <w:t>Ann Intern Med 2016;165:345–355</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20218B86" w14:textId="77777777" w:rsidR="00A74698" w:rsidRPr="0080595E"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de-DE"/>
        </w:rPr>
      </w:pPr>
      <w:r w:rsidRPr="00BA5C0A">
        <w:rPr>
          <w:rFonts w:ascii="Times" w:hAnsi="Times" w:cs="Times"/>
          <w:color w:val="000000"/>
          <w:sz w:val="18"/>
          <w:szCs w:val="18"/>
          <w:lang w:val="en-US"/>
        </w:rPr>
        <w:t>[27]  </w:t>
      </w:r>
      <w:r w:rsidRPr="00BA5C0A">
        <w:rPr>
          <w:rFonts w:ascii="Times" w:hAnsi="Times" w:cs="Times"/>
          <w:color w:val="0D6C9E"/>
          <w:sz w:val="18"/>
          <w:szCs w:val="18"/>
          <w:lang w:val="en-US"/>
        </w:rPr>
        <w:t xml:space="preserve">Bulteel N, Sarathy PP, Forrest E, Stanley AJ, Innes H, Mills PR, et al. Factors associated with spontaneous clearance of chronic hepatitis C virus infection. </w:t>
      </w:r>
      <w:r w:rsidRPr="0080595E">
        <w:rPr>
          <w:rFonts w:ascii="Times" w:hAnsi="Times" w:cs="Times"/>
          <w:color w:val="0D6C9E"/>
          <w:sz w:val="18"/>
          <w:szCs w:val="18"/>
          <w:lang w:val="de-DE"/>
        </w:rPr>
        <w:t>J Hepatol 2016;65:266–272</w:t>
      </w:r>
      <w:r w:rsidRPr="0080595E">
        <w:rPr>
          <w:rFonts w:ascii="Times" w:hAnsi="Times" w:cs="Times"/>
          <w:color w:val="000000"/>
          <w:sz w:val="18"/>
          <w:szCs w:val="18"/>
          <w:lang w:val="de-DE"/>
        </w:rPr>
        <w:t xml:space="preserve">. </w:t>
      </w:r>
      <w:r w:rsidRPr="0080595E">
        <w:rPr>
          <w:rFonts w:ascii="MS Mincho" w:eastAsia="MS Mincho" w:hAnsi="MS Mincho" w:cs="MS Mincho"/>
          <w:color w:val="000000"/>
          <w:lang w:val="de-DE"/>
        </w:rPr>
        <w:t> </w:t>
      </w:r>
    </w:p>
    <w:p w14:paraId="41F25D7C"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80595E">
        <w:rPr>
          <w:rFonts w:ascii="Times" w:hAnsi="Times" w:cs="Times"/>
          <w:color w:val="000000"/>
          <w:sz w:val="18"/>
          <w:szCs w:val="18"/>
          <w:lang w:val="de-DE"/>
        </w:rPr>
        <w:t>[28]  </w:t>
      </w:r>
      <w:r w:rsidRPr="0080595E">
        <w:rPr>
          <w:rFonts w:ascii="Times" w:hAnsi="Times" w:cs="Times"/>
          <w:color w:val="0D6C9E"/>
          <w:sz w:val="18"/>
          <w:szCs w:val="18"/>
          <w:lang w:val="de-DE"/>
        </w:rPr>
        <w:t xml:space="preserve">Chhatwal J, Wang X, Ayer T, Kabiri M, Chung RT, Hur C, et al. </w:t>
      </w:r>
      <w:r w:rsidRPr="00BA5C0A">
        <w:rPr>
          <w:rFonts w:ascii="Times" w:hAnsi="Times" w:cs="Times"/>
          <w:color w:val="0D6C9E"/>
          <w:sz w:val="18"/>
          <w:szCs w:val="18"/>
          <w:lang w:val="en-US"/>
        </w:rPr>
        <w:t xml:space="preserve">Hepatitis C disease burden in the United States in the era of oral direct-acting antivirals. </w:t>
      </w:r>
      <w:r w:rsidRPr="003B61EF">
        <w:rPr>
          <w:rFonts w:ascii="Times" w:hAnsi="Times" w:cs="Times"/>
          <w:color w:val="0D6C9E"/>
          <w:sz w:val="18"/>
          <w:szCs w:val="18"/>
          <w:lang w:val="en-US"/>
        </w:rPr>
        <w:t>Hepatology 2016;64:1442–1450</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09F934AB" w14:textId="77777777" w:rsidR="00A74698" w:rsidRPr="0080595E"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[29]  </w:t>
      </w:r>
      <w:r w:rsidRPr="00BA5C0A">
        <w:rPr>
          <w:rFonts w:ascii="Times" w:hAnsi="Times" w:cs="Times"/>
          <w:color w:val="0D6C9E"/>
          <w:sz w:val="18"/>
          <w:szCs w:val="18"/>
          <w:lang w:val="en-US"/>
        </w:rPr>
        <w:t xml:space="preserve">Pawlotsky JM. The end of the hepatitis C burden: really? </w:t>
      </w:r>
      <w:r w:rsidRPr="0080595E">
        <w:rPr>
          <w:rFonts w:ascii="Times" w:hAnsi="Times" w:cs="Times"/>
          <w:color w:val="0D6C9E"/>
          <w:sz w:val="18"/>
          <w:szCs w:val="18"/>
          <w:lang w:val="en-US"/>
        </w:rPr>
        <w:t>Hepatology 2016;64:1404–1407</w:t>
      </w:r>
      <w:r w:rsidRPr="0080595E">
        <w:rPr>
          <w:rFonts w:ascii="Times" w:hAnsi="Times" w:cs="Times"/>
          <w:color w:val="000000"/>
          <w:sz w:val="18"/>
          <w:szCs w:val="18"/>
          <w:lang w:val="en-US"/>
        </w:rPr>
        <w:t xml:space="preserve">. </w:t>
      </w:r>
      <w:r w:rsidRPr="0080595E">
        <w:rPr>
          <w:rFonts w:ascii="MS Mincho" w:eastAsia="MS Mincho" w:hAnsi="MS Mincho" w:cs="MS Mincho"/>
          <w:color w:val="000000"/>
          <w:lang w:val="en-US"/>
        </w:rPr>
        <w:t> </w:t>
      </w:r>
    </w:p>
    <w:p w14:paraId="386636B3"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[30]  </w:t>
      </w:r>
      <w:r w:rsidRPr="00BA5C0A">
        <w:rPr>
          <w:rFonts w:ascii="Times" w:hAnsi="Times" w:cs="Times"/>
          <w:color w:val="0D6C9E"/>
          <w:sz w:val="18"/>
          <w:szCs w:val="18"/>
          <w:lang w:val="en-US"/>
        </w:rPr>
        <w:t xml:space="preserve">Chevaliez S, Poiteau L, Rosa I, Soulier A, Roudot-Thoraval F, Laperche S, et al. Prospective assessment of rapid diagnostic tests for the detection of antibodies to hepatitis C virus, a tool for improving access to care. </w:t>
      </w:r>
      <w:r w:rsidRPr="003B61EF">
        <w:rPr>
          <w:rFonts w:ascii="Times" w:hAnsi="Times" w:cs="Times"/>
          <w:color w:val="0D6C9E"/>
          <w:sz w:val="18"/>
          <w:szCs w:val="18"/>
          <w:lang w:val="en-US"/>
        </w:rPr>
        <w:t xml:space="preserve">Clin Microbiol Infect 2016;22:459, </w:t>
      </w:r>
      <w:r w:rsidRPr="003B61EF">
        <w:rPr>
          <w:rFonts w:ascii="Times" w:hAnsi="Times" w:cs="Times"/>
          <w:color w:val="0D6C9E"/>
          <w:sz w:val="18"/>
          <w:szCs w:val="18"/>
          <w:lang w:val="en-US"/>
        </w:rPr>
        <w:lastRenderedPageBreak/>
        <w:t>e451–e456</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444D3BCE"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[31]  </w:t>
      </w:r>
      <w:r w:rsidRPr="00BA5C0A">
        <w:rPr>
          <w:rFonts w:ascii="Times" w:hAnsi="Times" w:cs="Times"/>
          <w:color w:val="0D6C9E"/>
          <w:sz w:val="18"/>
          <w:szCs w:val="18"/>
          <w:lang w:val="en-US"/>
        </w:rPr>
        <w:t xml:space="preserve">Khuroo MS, Khuroo NS, Khuroo MS. Diagnostic accuracy of point-of- care tests for hepatitis C virus infection: a systematic review and meta- analysis. </w:t>
      </w:r>
      <w:r w:rsidRPr="003B61EF">
        <w:rPr>
          <w:rFonts w:ascii="Times" w:hAnsi="Times" w:cs="Times"/>
          <w:color w:val="0D6C9E"/>
          <w:sz w:val="18"/>
          <w:szCs w:val="18"/>
          <w:lang w:val="en-US"/>
        </w:rPr>
        <w:t>PLoS One 2015;10:e0121450</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61FC3250" w14:textId="77777777" w:rsidR="00A74698" w:rsidRPr="0080595E"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[32]  </w:t>
      </w:r>
      <w:r w:rsidRPr="00BA5C0A">
        <w:rPr>
          <w:rFonts w:ascii="Times" w:hAnsi="Times" w:cs="Times"/>
          <w:color w:val="0D6C9E"/>
          <w:sz w:val="18"/>
          <w:szCs w:val="18"/>
          <w:lang w:val="en-US"/>
        </w:rPr>
        <w:t xml:space="preserve">Shivkumar S, Peeling R, Jafari Y, Joseph L, Pant Pai N. Accuracy of rapid and point-of-care screening tests for hepatitis C: a systematic review and meta-analysis. </w:t>
      </w:r>
      <w:r w:rsidRPr="0080595E">
        <w:rPr>
          <w:rFonts w:ascii="Times" w:hAnsi="Times" w:cs="Times"/>
          <w:color w:val="0D6C9E"/>
          <w:sz w:val="18"/>
          <w:szCs w:val="18"/>
          <w:lang w:val="en-US"/>
        </w:rPr>
        <w:t>Ann Intern Med 2012;157:558–566</w:t>
      </w:r>
      <w:r w:rsidRPr="0080595E">
        <w:rPr>
          <w:rFonts w:ascii="Times" w:hAnsi="Times" w:cs="Times"/>
          <w:color w:val="000000"/>
          <w:sz w:val="18"/>
          <w:szCs w:val="18"/>
          <w:lang w:val="en-US"/>
        </w:rPr>
        <w:t xml:space="preserve">. </w:t>
      </w:r>
      <w:r w:rsidRPr="0080595E">
        <w:rPr>
          <w:rFonts w:ascii="MS Mincho" w:eastAsia="MS Mincho" w:hAnsi="MS Mincho" w:cs="MS Mincho"/>
          <w:color w:val="000000"/>
          <w:lang w:val="en-US"/>
        </w:rPr>
        <w:t> </w:t>
      </w:r>
    </w:p>
    <w:p w14:paraId="23231728" w14:textId="77777777" w:rsidR="00A74698" w:rsidRPr="0080595E"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[33]  </w:t>
      </w:r>
      <w:r w:rsidRPr="00BA5C0A">
        <w:rPr>
          <w:rFonts w:ascii="Times" w:hAnsi="Times" w:cs="Times"/>
          <w:color w:val="0D6C9E"/>
          <w:sz w:val="18"/>
          <w:szCs w:val="18"/>
          <w:lang w:val="en-US"/>
        </w:rPr>
        <w:t xml:space="preserve">Chapko MK, Dufour DR, Hatia RI, Drobeniuc J, Ward JW, Teo CG. Cost- effectiveness of strategies for testing current hepatitis C virus infection. </w:t>
      </w:r>
      <w:r w:rsidRPr="0080595E">
        <w:rPr>
          <w:rFonts w:ascii="Times" w:hAnsi="Times" w:cs="Times"/>
          <w:color w:val="0D6C9E"/>
          <w:sz w:val="18"/>
          <w:szCs w:val="18"/>
          <w:lang w:val="en-US"/>
        </w:rPr>
        <w:t>Hepatology 2015;62:1396–1404</w:t>
      </w:r>
      <w:r w:rsidRPr="0080595E">
        <w:rPr>
          <w:rFonts w:ascii="Times" w:hAnsi="Times" w:cs="Times"/>
          <w:color w:val="000000"/>
          <w:sz w:val="18"/>
          <w:szCs w:val="18"/>
          <w:lang w:val="en-US"/>
        </w:rPr>
        <w:t xml:space="preserve">. </w:t>
      </w:r>
      <w:r w:rsidRPr="0080595E">
        <w:rPr>
          <w:rFonts w:ascii="MS Mincho" w:eastAsia="MS Mincho" w:hAnsi="MS Mincho" w:cs="MS Mincho"/>
          <w:color w:val="000000"/>
          <w:lang w:val="en-US"/>
        </w:rPr>
        <w:t> </w:t>
      </w:r>
    </w:p>
    <w:p w14:paraId="143C292F"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[34]  </w:t>
      </w:r>
      <w:r w:rsidRPr="00BA5C0A">
        <w:rPr>
          <w:rFonts w:ascii="Times" w:hAnsi="Times" w:cs="Times"/>
          <w:color w:val="0D6C9E"/>
          <w:sz w:val="18"/>
          <w:szCs w:val="18"/>
          <w:lang w:val="en-US"/>
        </w:rPr>
        <w:t xml:space="preserve">Poiteau L, Soulier A, Rosa I, Roudot-Thoraval F, Hezode C, Pawlotsky JM, et al. Performance of rapid diagnostic tests for the detection of antibodies to hepatitis C virus in whole blood collected on dried blood spots. </w:t>
      </w:r>
      <w:r w:rsidRPr="003B61EF">
        <w:rPr>
          <w:rFonts w:ascii="Times" w:hAnsi="Times" w:cs="Times"/>
          <w:color w:val="0D6C9E"/>
          <w:sz w:val="18"/>
          <w:szCs w:val="18"/>
          <w:lang w:val="en-US"/>
        </w:rPr>
        <w:t>J Viral Hepat 2016;23:399–401</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6304A6C5"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[35]  </w:t>
      </w:r>
      <w:r w:rsidRPr="00BA5C0A">
        <w:rPr>
          <w:rFonts w:ascii="Times" w:hAnsi="Times" w:cs="Times"/>
          <w:color w:val="0D6C9E"/>
          <w:sz w:val="18"/>
          <w:szCs w:val="18"/>
          <w:lang w:val="en-US"/>
        </w:rPr>
        <w:t xml:space="preserve">Soulier A, Poiteau L, Rosa I, Hezode C, Roudot-Thoraval F, Pawlotsky JM, et al. Dried blood spots: a tool to ensure broad access to hepatitis C screening, diagnosis, and treatment monitoring. </w:t>
      </w:r>
      <w:r w:rsidRPr="003B61EF">
        <w:rPr>
          <w:rFonts w:ascii="Times" w:hAnsi="Times" w:cs="Times"/>
          <w:color w:val="0D6C9E"/>
          <w:sz w:val="18"/>
          <w:szCs w:val="18"/>
          <w:lang w:val="en-US"/>
        </w:rPr>
        <w:t>J Infect Dis 2016;213:1087–1095</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447EC455"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[36]  </w:t>
      </w:r>
      <w:r w:rsidRPr="00BA5C0A">
        <w:rPr>
          <w:rFonts w:ascii="Times" w:hAnsi="Times" w:cs="Times"/>
          <w:color w:val="0D6C9E"/>
          <w:sz w:val="18"/>
          <w:szCs w:val="18"/>
          <w:lang w:val="en-US"/>
        </w:rPr>
        <w:t xml:space="preserve">Tuaillon E, Mondain AM, Meroueh F, Ottomani L, Picot MC, Nagot N, et al. Dried blood spot for hepatitis C virus serology and molecular testing. </w:t>
      </w:r>
      <w:r w:rsidRPr="003B61EF">
        <w:rPr>
          <w:rFonts w:ascii="Times" w:hAnsi="Times" w:cs="Times"/>
          <w:color w:val="0D6C9E"/>
          <w:sz w:val="18"/>
          <w:szCs w:val="18"/>
          <w:lang w:val="en-US"/>
        </w:rPr>
        <w:t>Hepatology 2010;51:752–758</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4E3ED8E1"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[37]  </w:t>
      </w:r>
      <w:r w:rsidRPr="00BA5C0A">
        <w:rPr>
          <w:rFonts w:ascii="Times" w:hAnsi="Times" w:cs="Times"/>
          <w:color w:val="0D6C9E"/>
          <w:sz w:val="18"/>
          <w:szCs w:val="18"/>
          <w:lang w:val="en-US"/>
        </w:rPr>
        <w:t xml:space="preserve">Grebely J, Lamoury FMJ, Hajarizadeh B, Mowat Y, Marshall AD, Bajis S, et al. Evaluation of the Xpert HCV Viral Load point-of-care assay from venepuncture-collected and finger-stick capillary whole-blood sam- ples: a cohort study. </w:t>
      </w:r>
      <w:r w:rsidRPr="003B61EF">
        <w:rPr>
          <w:rFonts w:ascii="Times" w:hAnsi="Times" w:cs="Times"/>
          <w:color w:val="0D6C9E"/>
          <w:sz w:val="18"/>
          <w:szCs w:val="18"/>
          <w:lang w:val="en-US"/>
        </w:rPr>
        <w:t>Lancet Gastroenterol Hepatol 2017;2:514–520</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5C130E12" w14:textId="77777777" w:rsidR="00A74698" w:rsidRPr="003B61EF" w:rsidRDefault="00A74698" w:rsidP="00A74698">
      <w:pPr>
        <w:widowControl w:val="0"/>
        <w:autoSpaceDE w:val="0"/>
        <w:autoSpaceDN w:val="0"/>
        <w:adjustRightInd w:val="0"/>
        <w:spacing w:after="240"/>
        <w:ind w:left="426"/>
        <w:contextualSpacing/>
        <w:rPr>
          <w:rFonts w:ascii="MS Mincho" w:eastAsia="MS Mincho" w:hAnsi="MS Mincho" w:cs="MS Mincho"/>
          <w:color w:val="000000"/>
          <w:sz w:val="18"/>
          <w:szCs w:val="18"/>
          <w:lang w:val="en-US"/>
        </w:rPr>
      </w:pPr>
      <w:r w:rsidRPr="00BA5C0A">
        <w:rPr>
          <w:rFonts w:ascii="Times" w:hAnsi="Times" w:cs="Times"/>
          <w:color w:val="000000"/>
          <w:sz w:val="18"/>
          <w:szCs w:val="18"/>
          <w:lang w:val="en-US"/>
        </w:rPr>
        <w:t>[38]  </w:t>
      </w:r>
      <w:r w:rsidRPr="00BA5C0A">
        <w:rPr>
          <w:rFonts w:ascii="Times" w:hAnsi="Times" w:cs="Times"/>
          <w:color w:val="0D6C9E"/>
          <w:sz w:val="18"/>
          <w:szCs w:val="18"/>
          <w:lang w:val="en-US"/>
        </w:rPr>
        <w:t xml:space="preserve">Martinot-Peignoux M, Stern C, Maylin S, Ripault MP, Boyer N, Leclere L, et al. Twelve weeks posttreatment follow-up is as relevant as 24 weeks to determine the sustained virologic response in patients with hepatitis C virus receiving pegylated interferon and ribavirin. </w:t>
      </w:r>
      <w:r w:rsidRPr="003B61EF">
        <w:rPr>
          <w:rFonts w:ascii="Times" w:hAnsi="Times" w:cs="Times"/>
          <w:color w:val="0D6C9E"/>
          <w:sz w:val="18"/>
          <w:szCs w:val="18"/>
          <w:lang w:val="en-US"/>
        </w:rPr>
        <w:t>Hepatology 2010;51:1122–1126</w:t>
      </w:r>
      <w:r w:rsidRPr="003B61EF">
        <w:rPr>
          <w:rFonts w:ascii="Times" w:hAnsi="Times" w:cs="Times"/>
          <w:color w:val="000000"/>
          <w:sz w:val="18"/>
          <w:szCs w:val="18"/>
          <w:lang w:val="en-US"/>
        </w:rPr>
        <w:t>.</w:t>
      </w:r>
      <w:r w:rsidRPr="003B61EF">
        <w:rPr>
          <w:rFonts w:ascii="MS Mincho" w:eastAsia="MS Mincho" w:hAnsi="MS Mincho" w:cs="MS Mincho"/>
          <w:color w:val="000000"/>
          <w:sz w:val="18"/>
          <w:szCs w:val="18"/>
          <w:lang w:val="en-US"/>
        </w:rPr>
        <w:t> </w:t>
      </w:r>
    </w:p>
    <w:p w14:paraId="620FBCAD" w14:textId="77777777" w:rsidR="00A74698" w:rsidRPr="0080595E"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[39] </w:t>
      </w:r>
      <w:r w:rsidRPr="00BA5C0A">
        <w:rPr>
          <w:rFonts w:ascii="Times" w:hAnsi="Times" w:cs="Times"/>
          <w:color w:val="0D6C9E"/>
          <w:sz w:val="18"/>
          <w:szCs w:val="18"/>
          <w:lang w:val="en-US"/>
        </w:rPr>
        <w:t xml:space="preserve">Swain MG, Lai MY, Shiffman ML, Cooksley WG, Zeuzem S, Dieterich DT, et al. A sustained virologic response is durable in patients with chronic hepatitis C treated with peginterferon alfa-2a and ribavirin. </w:t>
      </w:r>
      <w:r w:rsidRPr="0080595E">
        <w:rPr>
          <w:rFonts w:ascii="Times" w:hAnsi="Times" w:cs="Times"/>
          <w:color w:val="0D6C9E"/>
          <w:sz w:val="18"/>
          <w:szCs w:val="18"/>
          <w:lang w:val="en-US"/>
        </w:rPr>
        <w:t>Gastroen- terology 2010;139:1593–1601</w:t>
      </w:r>
      <w:r w:rsidRPr="0080595E">
        <w:rPr>
          <w:rFonts w:ascii="Times" w:hAnsi="Times" w:cs="Times"/>
          <w:color w:val="000000"/>
          <w:sz w:val="18"/>
          <w:szCs w:val="18"/>
          <w:lang w:val="en-US"/>
        </w:rPr>
        <w:t xml:space="preserve">. </w:t>
      </w:r>
    </w:p>
    <w:p w14:paraId="10C62785"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[40] </w:t>
      </w:r>
      <w:r w:rsidRPr="00BA5C0A">
        <w:rPr>
          <w:rFonts w:ascii="Times" w:hAnsi="Times" w:cs="Times"/>
          <w:color w:val="0D6C9E"/>
          <w:sz w:val="18"/>
          <w:szCs w:val="18"/>
          <w:lang w:val="en-US"/>
        </w:rPr>
        <w:t xml:space="preserve">Aghemo A, Degasperi E, De Nicola S, Bono P, Orlandi A, D’Ambrosio R, et al. Quantification of core antigen monitors efficacy of direct-acting antiviral agents in patients with chronic hepatitis C virus infection. </w:t>
      </w:r>
      <w:r w:rsidRPr="003B61EF">
        <w:rPr>
          <w:rFonts w:ascii="Times" w:hAnsi="Times" w:cs="Times"/>
          <w:color w:val="0D6C9E"/>
          <w:sz w:val="18"/>
          <w:szCs w:val="18"/>
          <w:lang w:val="en-US"/>
        </w:rPr>
        <w:t>Clin Gastroenterol Hepatol 2016;14:1331–1336</w:t>
      </w:r>
      <w:r w:rsidRPr="003B61EF">
        <w:rPr>
          <w:rFonts w:ascii="Times" w:hAnsi="Times" w:cs="Times"/>
          <w:color w:val="000000"/>
          <w:sz w:val="18"/>
          <w:szCs w:val="18"/>
          <w:lang w:val="en-US"/>
        </w:rPr>
        <w:t xml:space="preserve">. </w:t>
      </w:r>
    </w:p>
    <w:p w14:paraId="1CE6D7A9" w14:textId="77777777" w:rsidR="00A74698" w:rsidRPr="0080595E"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[41] </w:t>
      </w:r>
      <w:r w:rsidRPr="00BA5C0A">
        <w:rPr>
          <w:rFonts w:ascii="Times" w:hAnsi="Times" w:cs="Times"/>
          <w:color w:val="0D6C9E"/>
          <w:sz w:val="18"/>
          <w:szCs w:val="18"/>
          <w:lang w:val="en-US"/>
        </w:rPr>
        <w:t xml:space="preserve">European Association for Study of the Liver. Asociacion Latinoameri- cana para el Estudio del Higado. EASL-ALEH Clinical Practice Guideli- nes: Non-invasive tests for evaluation of liver disease severity and prognosis. </w:t>
      </w:r>
      <w:r w:rsidRPr="0080595E">
        <w:rPr>
          <w:rFonts w:ascii="Times" w:hAnsi="Times" w:cs="Times"/>
          <w:color w:val="0D6C9E"/>
          <w:sz w:val="18"/>
          <w:szCs w:val="18"/>
          <w:lang w:val="en-US"/>
        </w:rPr>
        <w:t>J Hepatol 2015;63:237–264</w:t>
      </w:r>
      <w:r w:rsidRPr="0080595E">
        <w:rPr>
          <w:rFonts w:ascii="Times" w:hAnsi="Times" w:cs="Times"/>
          <w:color w:val="000000"/>
          <w:sz w:val="18"/>
          <w:szCs w:val="18"/>
          <w:lang w:val="en-US"/>
        </w:rPr>
        <w:t xml:space="preserve">. </w:t>
      </w:r>
    </w:p>
    <w:p w14:paraId="5EEC26AA"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[42] </w:t>
      </w:r>
      <w:r w:rsidRPr="00BA5C0A">
        <w:rPr>
          <w:rFonts w:ascii="Times" w:hAnsi="Times" w:cs="Times"/>
          <w:color w:val="0D6C9E"/>
          <w:sz w:val="18"/>
          <w:szCs w:val="18"/>
          <w:lang w:val="en-US"/>
        </w:rPr>
        <w:t xml:space="preserve">Afdhal NH, Bacon BR, Patel K, Lawitz EJ, Gordon SC, Nelson DR, et al. Accuracy of fibroscan, compared with histology, in analysis of liver fibrosis in patients with hepatitis B or C: a United States multicenter study. </w:t>
      </w:r>
      <w:r w:rsidRPr="003B61EF">
        <w:rPr>
          <w:rFonts w:ascii="Times" w:hAnsi="Times" w:cs="Times"/>
          <w:color w:val="0D6C9E"/>
          <w:sz w:val="18"/>
          <w:szCs w:val="18"/>
          <w:lang w:val="en-US"/>
        </w:rPr>
        <w:t>Clin Gastroenterol Hepatol 2015;13:772–779, e771–e773</w:t>
      </w:r>
      <w:r w:rsidRPr="003B61EF">
        <w:rPr>
          <w:rFonts w:ascii="Times" w:hAnsi="Times" w:cs="Times"/>
          <w:color w:val="000000"/>
          <w:sz w:val="18"/>
          <w:szCs w:val="18"/>
          <w:lang w:val="en-US"/>
        </w:rPr>
        <w:t xml:space="preserve">. </w:t>
      </w:r>
    </w:p>
    <w:p w14:paraId="24943169" w14:textId="77777777" w:rsidR="00A74698" w:rsidRPr="00BA5C0A" w:rsidRDefault="00A74698" w:rsidP="00A74698">
      <w:pPr>
        <w:widowControl w:val="0"/>
        <w:autoSpaceDE w:val="0"/>
        <w:autoSpaceDN w:val="0"/>
        <w:adjustRightInd w:val="0"/>
        <w:spacing w:after="240"/>
        <w:ind w:left="426"/>
        <w:contextualSpacing/>
        <w:rPr>
          <w:rFonts w:ascii="Times" w:hAnsi="Times" w:cs="Times"/>
          <w:color w:val="000000"/>
        </w:rPr>
      </w:pPr>
      <w:r w:rsidRPr="00BA5C0A">
        <w:rPr>
          <w:rFonts w:ascii="Times" w:hAnsi="Times" w:cs="Times"/>
          <w:color w:val="000000"/>
          <w:sz w:val="18"/>
          <w:szCs w:val="18"/>
          <w:lang w:val="en-US"/>
        </w:rPr>
        <w:t xml:space="preserve">[43] </w:t>
      </w:r>
      <w:r w:rsidRPr="00BA5C0A">
        <w:rPr>
          <w:rFonts w:ascii="Times" w:hAnsi="Times" w:cs="Times"/>
          <w:color w:val="0D6C9E"/>
          <w:sz w:val="18"/>
          <w:szCs w:val="18"/>
          <w:lang w:val="en-US"/>
        </w:rPr>
        <w:t xml:space="preserve">Chou R, Wasson N. Blood tests to diagnose fibrosis or cirrhosis in patients with chronic hepatitis C virus infection: a systematic review. </w:t>
      </w:r>
      <w:r w:rsidRPr="00BA5C0A">
        <w:rPr>
          <w:rFonts w:ascii="Times" w:hAnsi="Times" w:cs="Times"/>
          <w:color w:val="0D6C9E"/>
          <w:sz w:val="18"/>
          <w:szCs w:val="18"/>
        </w:rPr>
        <w:t>Ann Intern Med 2013;158:807–820</w:t>
      </w:r>
      <w:r w:rsidRPr="00BA5C0A">
        <w:rPr>
          <w:rFonts w:ascii="Times" w:hAnsi="Times" w:cs="Times"/>
          <w:color w:val="000000"/>
          <w:sz w:val="18"/>
          <w:szCs w:val="18"/>
        </w:rPr>
        <w:t xml:space="preserve">. </w:t>
      </w:r>
    </w:p>
    <w:p w14:paraId="643840F7"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[44] </w:t>
      </w:r>
      <w:r w:rsidRPr="00BA5C0A">
        <w:rPr>
          <w:rFonts w:ascii="Times" w:hAnsi="Times" w:cs="Times"/>
          <w:color w:val="0D6C9E"/>
          <w:sz w:val="18"/>
          <w:szCs w:val="18"/>
          <w:lang w:val="en-US"/>
        </w:rPr>
        <w:t xml:space="preserve">Degos F, Perez P, Roche B, Mahmoudi A, Asselineau J, Voitot H, et al. Diagnostic accuracy of FibroScan and comparison to liver fibrosis biomarkers in chronic viral hepatitis: a multicenter prospective study (the FIBROSTIC study). </w:t>
      </w:r>
      <w:r w:rsidRPr="003B61EF">
        <w:rPr>
          <w:rFonts w:ascii="Times" w:hAnsi="Times" w:cs="Times"/>
          <w:color w:val="0D6C9E"/>
          <w:sz w:val="18"/>
          <w:szCs w:val="18"/>
          <w:lang w:val="en-US"/>
        </w:rPr>
        <w:t>J Hepatol 2010;53:1013–1021</w:t>
      </w:r>
      <w:r w:rsidRPr="003B61EF">
        <w:rPr>
          <w:rFonts w:ascii="Times" w:hAnsi="Times" w:cs="Times"/>
          <w:color w:val="000000"/>
          <w:sz w:val="18"/>
          <w:szCs w:val="18"/>
          <w:lang w:val="en-US"/>
        </w:rPr>
        <w:t xml:space="preserve">. </w:t>
      </w:r>
    </w:p>
    <w:p w14:paraId="5D2129EE"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[45] </w:t>
      </w:r>
      <w:r w:rsidRPr="00BA5C0A">
        <w:rPr>
          <w:rFonts w:ascii="Times" w:hAnsi="Times" w:cs="Times"/>
          <w:color w:val="0D6C9E"/>
          <w:sz w:val="18"/>
          <w:szCs w:val="18"/>
          <w:lang w:val="en-US"/>
        </w:rPr>
        <w:t xml:space="preserve">Herrmann E, de Ledinghen V, Cassinotto C, Chu WC, Leung VY, Ferraioli G, et al. Assessment of biopsy-proven liver fibrosis by two-dimensional shear wave elastography: an individual patient data-based meta- analysis. </w:t>
      </w:r>
      <w:r w:rsidRPr="003B61EF">
        <w:rPr>
          <w:rFonts w:ascii="Times" w:hAnsi="Times" w:cs="Times"/>
          <w:color w:val="0D6C9E"/>
          <w:sz w:val="18"/>
          <w:szCs w:val="18"/>
          <w:lang w:val="en-US"/>
        </w:rPr>
        <w:t>Hepatology 2018;67:260–272</w:t>
      </w:r>
      <w:r w:rsidRPr="003B61EF">
        <w:rPr>
          <w:rFonts w:ascii="Times" w:hAnsi="Times" w:cs="Times"/>
          <w:color w:val="000000"/>
          <w:sz w:val="18"/>
          <w:szCs w:val="18"/>
          <w:lang w:val="en-US"/>
        </w:rPr>
        <w:t xml:space="preserve">. </w:t>
      </w:r>
    </w:p>
    <w:p w14:paraId="5C52865F" w14:textId="77777777" w:rsidR="00A74698" w:rsidRPr="0080595E"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[46] </w:t>
      </w:r>
      <w:r w:rsidRPr="00BA5C0A">
        <w:rPr>
          <w:rFonts w:ascii="Times" w:hAnsi="Times" w:cs="Times"/>
          <w:color w:val="0D6C9E"/>
          <w:sz w:val="18"/>
          <w:szCs w:val="18"/>
          <w:lang w:val="en-US"/>
        </w:rPr>
        <w:t xml:space="preserve">Hu X, Qiu L, Liu D, Qian L. Acoustic Radiation Force Impulse (ARFI) elastography for noninvasive evaluation of hepatic fibrosis in chronic hepatitis B and C patients: a systematic review and meta-analysis. </w:t>
      </w:r>
      <w:r w:rsidRPr="0080595E">
        <w:rPr>
          <w:rFonts w:ascii="Times" w:hAnsi="Times" w:cs="Times"/>
          <w:color w:val="0D6C9E"/>
          <w:sz w:val="18"/>
          <w:szCs w:val="18"/>
          <w:lang w:val="en-US"/>
        </w:rPr>
        <w:t>Med Ultrason 2017;19:23–31</w:t>
      </w:r>
      <w:r w:rsidRPr="0080595E">
        <w:rPr>
          <w:rFonts w:ascii="Times" w:hAnsi="Times" w:cs="Times"/>
          <w:color w:val="000000"/>
          <w:sz w:val="18"/>
          <w:szCs w:val="18"/>
          <w:lang w:val="en-US"/>
        </w:rPr>
        <w:t xml:space="preserve">. </w:t>
      </w:r>
    </w:p>
    <w:p w14:paraId="64F9CE77"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[47] </w:t>
      </w:r>
      <w:r w:rsidRPr="00BA5C0A">
        <w:rPr>
          <w:rFonts w:ascii="Times" w:hAnsi="Times" w:cs="Times"/>
          <w:color w:val="0D6C9E"/>
          <w:sz w:val="18"/>
          <w:szCs w:val="18"/>
          <w:lang w:val="en-US"/>
        </w:rPr>
        <w:t xml:space="preserve">Zarski JP, Sturm N, Desmorat H, Melin P, Raabe JJ, Bonny C, et al. Non- invasive assessment of liver fibrosis progression in hepatitis C patients retreated for 96 weeks with antiviral therapy: a randomized study. </w:t>
      </w:r>
      <w:r w:rsidRPr="003B61EF">
        <w:rPr>
          <w:rFonts w:ascii="Times" w:hAnsi="Times" w:cs="Times"/>
          <w:color w:val="0D6C9E"/>
          <w:sz w:val="18"/>
          <w:szCs w:val="18"/>
          <w:lang w:val="en-US"/>
        </w:rPr>
        <w:t>Liver Int 2010;30:1049–1058</w:t>
      </w:r>
      <w:r w:rsidRPr="003B61EF">
        <w:rPr>
          <w:rFonts w:ascii="Times" w:hAnsi="Times" w:cs="Times"/>
          <w:color w:val="000000"/>
          <w:sz w:val="18"/>
          <w:szCs w:val="18"/>
          <w:lang w:val="en-US"/>
        </w:rPr>
        <w:t xml:space="preserve">. </w:t>
      </w:r>
    </w:p>
    <w:p w14:paraId="5E7290E8" w14:textId="77777777" w:rsidR="00A74698" w:rsidRPr="00BA5C0A"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[48] </w:t>
      </w:r>
      <w:r w:rsidRPr="00BA5C0A">
        <w:rPr>
          <w:rFonts w:ascii="Times" w:hAnsi="Times" w:cs="Times"/>
          <w:color w:val="0D6C9E"/>
          <w:sz w:val="18"/>
          <w:szCs w:val="18"/>
          <w:lang w:val="en-US"/>
        </w:rPr>
        <w:t>Castera L, Sebastiani G, Le Bail B, de Ledinghen V, Couzigou P, Alberti A. Prospective comparison of two algorithms combining non-invasive methods for staging liver fibrosis in chronic hepatitis C. J Hepatol 2010;52:191–198</w:t>
      </w:r>
      <w:r w:rsidRPr="00BA5C0A">
        <w:rPr>
          <w:rFonts w:ascii="Times" w:hAnsi="Times" w:cs="Times"/>
          <w:color w:val="000000"/>
          <w:sz w:val="18"/>
          <w:szCs w:val="18"/>
          <w:lang w:val="en-US"/>
        </w:rPr>
        <w:t xml:space="preserve">. </w:t>
      </w:r>
    </w:p>
    <w:p w14:paraId="6C2E00C6" w14:textId="77777777" w:rsidR="00A74698" w:rsidRPr="00BA5C0A"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[49] </w:t>
      </w:r>
      <w:r w:rsidRPr="00BA5C0A">
        <w:rPr>
          <w:rFonts w:ascii="Times" w:hAnsi="Times" w:cs="Times"/>
          <w:color w:val="0D6C9E"/>
          <w:sz w:val="18"/>
          <w:szCs w:val="18"/>
          <w:lang w:val="en-US"/>
        </w:rPr>
        <w:t>Castera L, Vergniol J, Foucher J, Le Bail B, Chanteloup E, Haaser M, et al. Prospective comparison of transient elastography, Fibrotest, APRI, and liver biopsy for the assessment of fibrosis in chronic hepatitis C. Gastroenterology 2005;128:343–350</w:t>
      </w:r>
      <w:r w:rsidRPr="00BA5C0A">
        <w:rPr>
          <w:rFonts w:ascii="Times" w:hAnsi="Times" w:cs="Times"/>
          <w:color w:val="000000"/>
          <w:sz w:val="18"/>
          <w:szCs w:val="18"/>
          <w:lang w:val="en-US"/>
        </w:rPr>
        <w:t xml:space="preserve">. </w:t>
      </w:r>
    </w:p>
    <w:p w14:paraId="3BE0ACBB"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[50] </w:t>
      </w:r>
      <w:r w:rsidRPr="00BA5C0A">
        <w:rPr>
          <w:rFonts w:ascii="Times" w:hAnsi="Times" w:cs="Times"/>
          <w:color w:val="0D6C9E"/>
          <w:sz w:val="18"/>
          <w:szCs w:val="18"/>
          <w:lang w:val="en-US"/>
        </w:rPr>
        <w:t xml:space="preserve">Chevaliez S, Bouvier-Alias M, Brillet R, Pawlotsky JM. Hepatitis C virus (HCV) genotype 1 subtype identification in new HCV drug development and future clinical practice. </w:t>
      </w:r>
      <w:r w:rsidRPr="003B61EF">
        <w:rPr>
          <w:rFonts w:ascii="Times" w:hAnsi="Times" w:cs="Times"/>
          <w:color w:val="0D6C9E"/>
          <w:sz w:val="18"/>
          <w:szCs w:val="18"/>
          <w:lang w:val="en-US"/>
        </w:rPr>
        <w:t>PLoS One 2009;4:e8209</w:t>
      </w:r>
      <w:r w:rsidRPr="003B61EF">
        <w:rPr>
          <w:rFonts w:ascii="Times" w:hAnsi="Times" w:cs="Times"/>
          <w:color w:val="000000"/>
          <w:sz w:val="18"/>
          <w:szCs w:val="18"/>
          <w:lang w:val="en-US"/>
        </w:rPr>
        <w:t xml:space="preserve">. </w:t>
      </w:r>
    </w:p>
    <w:p w14:paraId="354F6511" w14:textId="77777777" w:rsidR="00A74698" w:rsidRPr="00BA5C0A" w:rsidRDefault="00A74698" w:rsidP="00A74698">
      <w:pPr>
        <w:widowControl w:val="0"/>
        <w:autoSpaceDE w:val="0"/>
        <w:autoSpaceDN w:val="0"/>
        <w:adjustRightInd w:val="0"/>
        <w:spacing w:after="240"/>
        <w:ind w:left="426"/>
        <w:contextualSpacing/>
        <w:rPr>
          <w:rFonts w:ascii="Times" w:hAnsi="Times" w:cs="Times"/>
          <w:color w:val="000000"/>
        </w:rPr>
      </w:pPr>
      <w:r w:rsidRPr="00BA5C0A">
        <w:rPr>
          <w:rFonts w:ascii="Times" w:hAnsi="Times" w:cs="Times"/>
          <w:color w:val="000000"/>
          <w:sz w:val="18"/>
          <w:szCs w:val="18"/>
          <w:lang w:val="en-US"/>
        </w:rPr>
        <w:t xml:space="preserve">[51] </w:t>
      </w:r>
      <w:r w:rsidRPr="00BA5C0A">
        <w:rPr>
          <w:rFonts w:ascii="Times" w:hAnsi="Times" w:cs="Times"/>
          <w:color w:val="0D6C9E"/>
          <w:sz w:val="18"/>
          <w:szCs w:val="18"/>
          <w:lang w:val="en-US"/>
        </w:rPr>
        <w:t xml:space="preserve">Rodriguez C, Soulier A, Demontant V, Poiteau L, Mercier-Darty M, Bouvier-Alias M, et al. A novel standardized deep sequencing-based assay for hepatitis C virus genotype determination. </w:t>
      </w:r>
      <w:r w:rsidRPr="00BA5C0A">
        <w:rPr>
          <w:rFonts w:ascii="Times" w:hAnsi="Times" w:cs="Times"/>
          <w:color w:val="0D6C9E"/>
          <w:sz w:val="18"/>
          <w:szCs w:val="18"/>
        </w:rPr>
        <w:t>Sci Rep 2018;8:4180</w:t>
      </w:r>
      <w:r w:rsidRPr="00BA5C0A">
        <w:rPr>
          <w:rFonts w:ascii="Times" w:hAnsi="Times" w:cs="Times"/>
          <w:color w:val="000000"/>
          <w:sz w:val="18"/>
          <w:szCs w:val="18"/>
        </w:rPr>
        <w:t xml:space="preserve">. </w:t>
      </w:r>
    </w:p>
    <w:p w14:paraId="41E4FC91"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[52] </w:t>
      </w:r>
      <w:r w:rsidRPr="00BA5C0A">
        <w:rPr>
          <w:rFonts w:ascii="Times" w:hAnsi="Times" w:cs="Times"/>
          <w:color w:val="0D6C9E"/>
          <w:sz w:val="18"/>
          <w:szCs w:val="18"/>
          <w:lang w:val="en-US"/>
        </w:rPr>
        <w:t xml:space="preserve">Fourati S, Pawlotsky JM. Virologic tools for HCV drug resistance testing. </w:t>
      </w:r>
      <w:r w:rsidRPr="003B61EF">
        <w:rPr>
          <w:rFonts w:ascii="Times" w:hAnsi="Times" w:cs="Times"/>
          <w:color w:val="0D6C9E"/>
          <w:sz w:val="18"/>
          <w:szCs w:val="18"/>
          <w:lang w:val="en-US"/>
        </w:rPr>
        <w:t>Viruses 2015;7:6346–6359</w:t>
      </w:r>
      <w:r w:rsidRPr="003B61EF">
        <w:rPr>
          <w:rFonts w:ascii="Times" w:hAnsi="Times" w:cs="Times"/>
          <w:color w:val="000000"/>
          <w:sz w:val="18"/>
          <w:szCs w:val="18"/>
          <w:lang w:val="en-US"/>
        </w:rPr>
        <w:t xml:space="preserve">. </w:t>
      </w:r>
    </w:p>
    <w:p w14:paraId="08BA13C8"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[53] </w:t>
      </w:r>
      <w:r w:rsidRPr="00BA5C0A">
        <w:rPr>
          <w:rFonts w:ascii="Times" w:hAnsi="Times" w:cs="Times"/>
          <w:color w:val="0D6C9E"/>
          <w:sz w:val="18"/>
          <w:szCs w:val="18"/>
          <w:lang w:val="en-US"/>
        </w:rPr>
        <w:t xml:space="preserve">Pawlotsky JM. Hepatitis C virus resistance to direct-acting antiviral drugs in interferon-free regimens. </w:t>
      </w:r>
      <w:r w:rsidRPr="003B61EF">
        <w:rPr>
          <w:rFonts w:ascii="Times" w:hAnsi="Times" w:cs="Times"/>
          <w:color w:val="0D6C9E"/>
          <w:sz w:val="18"/>
          <w:szCs w:val="18"/>
          <w:lang w:val="en-US"/>
        </w:rPr>
        <w:t>Gastroenterology 2016;151:70–86</w:t>
      </w:r>
      <w:r w:rsidRPr="003B61EF">
        <w:rPr>
          <w:rFonts w:ascii="Times" w:hAnsi="Times" w:cs="Times"/>
          <w:color w:val="000000"/>
          <w:sz w:val="18"/>
          <w:szCs w:val="18"/>
          <w:lang w:val="en-US"/>
        </w:rPr>
        <w:t xml:space="preserve">. </w:t>
      </w:r>
    </w:p>
    <w:p w14:paraId="65958F9C" w14:textId="77777777" w:rsidR="00A74698" w:rsidRPr="0080595E"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[54] </w:t>
      </w:r>
      <w:r w:rsidRPr="00BA5C0A">
        <w:rPr>
          <w:rFonts w:ascii="Times" w:hAnsi="Times" w:cs="Times"/>
          <w:color w:val="0D6C9E"/>
          <w:sz w:val="18"/>
          <w:szCs w:val="18"/>
          <w:lang w:val="en-US"/>
        </w:rPr>
        <w:t xml:space="preserve">European Association for the Study of the Liver. EASL Recommenda- tions on Treatment of Hepatitis C 2016. </w:t>
      </w:r>
      <w:r w:rsidRPr="0080595E">
        <w:rPr>
          <w:rFonts w:ascii="Times" w:hAnsi="Times" w:cs="Times"/>
          <w:color w:val="0D6C9E"/>
          <w:sz w:val="18"/>
          <w:szCs w:val="18"/>
          <w:lang w:val="en-US"/>
        </w:rPr>
        <w:t>J Hepatol 2017;66:153–194</w:t>
      </w:r>
      <w:r w:rsidRPr="0080595E">
        <w:rPr>
          <w:rFonts w:ascii="Times" w:hAnsi="Times" w:cs="Times"/>
          <w:color w:val="000000"/>
          <w:sz w:val="18"/>
          <w:szCs w:val="18"/>
          <w:lang w:val="en-US"/>
        </w:rPr>
        <w:t xml:space="preserve">. </w:t>
      </w:r>
    </w:p>
    <w:p w14:paraId="35B3371A"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[55] </w:t>
      </w:r>
      <w:r w:rsidRPr="00BA5C0A">
        <w:rPr>
          <w:rFonts w:ascii="Times" w:hAnsi="Times" w:cs="Times"/>
          <w:color w:val="0D6C9E"/>
          <w:sz w:val="18"/>
          <w:szCs w:val="18"/>
          <w:lang w:val="en-US"/>
        </w:rPr>
        <w:t xml:space="preserve">Charlton M, Everson GT, Flamm SL, Kumar P, Landis C, Brown Jr RS, et al. Ledipasvir and sofosbuvir plus ribavirin for treatment of HCV infection in patients with advanced liver disease. </w:t>
      </w:r>
      <w:r w:rsidRPr="003B61EF">
        <w:rPr>
          <w:rFonts w:ascii="Times" w:hAnsi="Times" w:cs="Times"/>
          <w:color w:val="0D6C9E"/>
          <w:sz w:val="18"/>
          <w:szCs w:val="18"/>
          <w:lang w:val="en-US"/>
        </w:rPr>
        <w:t>Gastroenterology 2015;149:649–659</w:t>
      </w:r>
      <w:r w:rsidRPr="003B61EF">
        <w:rPr>
          <w:rFonts w:ascii="Times" w:hAnsi="Times" w:cs="Times"/>
          <w:color w:val="000000"/>
          <w:sz w:val="18"/>
          <w:szCs w:val="18"/>
          <w:lang w:val="en-US"/>
        </w:rPr>
        <w:t xml:space="preserve">. </w:t>
      </w:r>
    </w:p>
    <w:p w14:paraId="3755BBB5"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[56] </w:t>
      </w:r>
      <w:r w:rsidRPr="00BA5C0A">
        <w:rPr>
          <w:rFonts w:ascii="Times" w:hAnsi="Times" w:cs="Times"/>
          <w:color w:val="0D6C9E"/>
          <w:sz w:val="18"/>
          <w:szCs w:val="18"/>
          <w:lang w:val="en-US"/>
        </w:rPr>
        <w:t xml:space="preserve">Manns M, Samuel D, Gane EJ, Mutimer D, McCaughan G, Buti M, et al. Ledipasvir and sofosbuvir plus ribavirin in patients with genotype 1 or 4 hepatitis C virus infection and advanced liver disease: a multicentre, open-label, randomised, phase 2 trial. </w:t>
      </w:r>
      <w:r w:rsidRPr="003B61EF">
        <w:rPr>
          <w:rFonts w:ascii="Times" w:hAnsi="Times" w:cs="Times"/>
          <w:color w:val="0D6C9E"/>
          <w:sz w:val="18"/>
          <w:szCs w:val="18"/>
          <w:lang w:val="en-US"/>
        </w:rPr>
        <w:t>Lancet Infect Dis 2016;16:685–697</w:t>
      </w:r>
      <w:r w:rsidRPr="003B61EF">
        <w:rPr>
          <w:rFonts w:ascii="Times" w:hAnsi="Times" w:cs="Times"/>
          <w:color w:val="000000"/>
          <w:sz w:val="18"/>
          <w:szCs w:val="18"/>
          <w:lang w:val="en-US"/>
        </w:rPr>
        <w:t xml:space="preserve">. </w:t>
      </w:r>
    </w:p>
    <w:p w14:paraId="6F0EF1BB"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[57] </w:t>
      </w:r>
      <w:r w:rsidRPr="00BA5C0A">
        <w:rPr>
          <w:rFonts w:ascii="Times" w:hAnsi="Times" w:cs="Times"/>
          <w:color w:val="0D6C9E"/>
          <w:sz w:val="18"/>
          <w:szCs w:val="18"/>
          <w:lang w:val="en-US"/>
        </w:rPr>
        <w:t xml:space="preserve">Coilly A, Pageaux GP, Houssel-Debry P, Duvoux C, Radenne S, De Ledinghen V, et al. Improving liver function and delisting of patients awaiting liver transplantation for HCV cirrhosis: do we ask too much to DAAs? </w:t>
      </w:r>
      <w:r w:rsidRPr="003B61EF">
        <w:rPr>
          <w:rFonts w:ascii="Times" w:hAnsi="Times" w:cs="Times"/>
          <w:color w:val="0D6C9E"/>
          <w:sz w:val="18"/>
          <w:szCs w:val="18"/>
          <w:lang w:val="en-US"/>
        </w:rPr>
        <w:t>Hepatology 2015;62:257A</w:t>
      </w:r>
      <w:r w:rsidRPr="003B61EF">
        <w:rPr>
          <w:rFonts w:ascii="Times" w:hAnsi="Times" w:cs="Times"/>
          <w:color w:val="000000"/>
          <w:sz w:val="18"/>
          <w:szCs w:val="18"/>
          <w:lang w:val="en-US"/>
        </w:rPr>
        <w:t xml:space="preserve">. </w:t>
      </w:r>
    </w:p>
    <w:p w14:paraId="2B5C911D"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[58] </w:t>
      </w:r>
      <w:r w:rsidRPr="00BA5C0A">
        <w:rPr>
          <w:rFonts w:ascii="Times" w:hAnsi="Times" w:cs="Times"/>
          <w:color w:val="0D6C9E"/>
          <w:sz w:val="18"/>
          <w:szCs w:val="18"/>
          <w:lang w:val="en-US"/>
        </w:rPr>
        <w:t xml:space="preserve">Belli LS, Berenguer M, Cortesi PA, Strazzabosco M, Rockenschaub SR, Martini S, et al. Delisting of liver transplant candidates with chronic hepatitis C after viral eradication: A European study. </w:t>
      </w:r>
      <w:r w:rsidRPr="003B61EF">
        <w:rPr>
          <w:rFonts w:ascii="Times" w:hAnsi="Times" w:cs="Times"/>
          <w:color w:val="0D6C9E"/>
          <w:sz w:val="18"/>
          <w:szCs w:val="18"/>
          <w:lang w:val="en-US"/>
        </w:rPr>
        <w:t>J Hepatol 2016;65:524–531</w:t>
      </w:r>
      <w:r w:rsidRPr="003B61EF">
        <w:rPr>
          <w:rFonts w:ascii="Times" w:hAnsi="Times" w:cs="Times"/>
          <w:color w:val="000000"/>
          <w:sz w:val="18"/>
          <w:szCs w:val="18"/>
          <w:lang w:val="en-US"/>
        </w:rPr>
        <w:t xml:space="preserve">. </w:t>
      </w:r>
    </w:p>
    <w:p w14:paraId="1937DAE2"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[59]  </w:t>
      </w:r>
      <w:r w:rsidRPr="00BA5C0A">
        <w:rPr>
          <w:rFonts w:ascii="Times" w:hAnsi="Times" w:cs="Times"/>
          <w:color w:val="0D6C9E"/>
          <w:sz w:val="18"/>
          <w:szCs w:val="18"/>
          <w:lang w:val="en-US"/>
        </w:rPr>
        <w:t xml:space="preserve">Chhatwal J, Samur S, Kues B, Ayer T, Roberts MS, Kanwal F, et al. Optimal timing of hepatitis C treatment for patients on </w:t>
      </w:r>
      <w:r w:rsidRPr="00BA5C0A">
        <w:rPr>
          <w:rFonts w:ascii="Times" w:hAnsi="Times" w:cs="Times"/>
          <w:color w:val="0D6C9E"/>
          <w:sz w:val="18"/>
          <w:szCs w:val="18"/>
          <w:lang w:val="en-US"/>
        </w:rPr>
        <w:lastRenderedPageBreak/>
        <w:t xml:space="preserve">the liver transplant waiting list. </w:t>
      </w:r>
      <w:r w:rsidRPr="003B61EF">
        <w:rPr>
          <w:rFonts w:ascii="Times" w:hAnsi="Times" w:cs="Times"/>
          <w:color w:val="0D6C9E"/>
          <w:sz w:val="18"/>
          <w:szCs w:val="18"/>
          <w:lang w:val="en-US"/>
        </w:rPr>
        <w:t>Hepatology 2017;65:777–788</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0ED4BF4F"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[60]  </w:t>
      </w:r>
      <w:r w:rsidRPr="00BA5C0A">
        <w:rPr>
          <w:rFonts w:ascii="Times" w:hAnsi="Times" w:cs="Times"/>
          <w:color w:val="0D6C9E"/>
          <w:sz w:val="18"/>
          <w:szCs w:val="18"/>
          <w:lang w:val="en-US"/>
        </w:rPr>
        <w:t xml:space="preserve">Pascasio JM, Vinaixa C, Ferrer MT, Colmenero J, Rubin A, Castells L, et al. Clinical outcomes of patients undergoing antiviral therapy while awaiting liver transplantation. </w:t>
      </w:r>
      <w:r w:rsidRPr="003B61EF">
        <w:rPr>
          <w:rFonts w:ascii="Times" w:hAnsi="Times" w:cs="Times"/>
          <w:color w:val="0D6C9E"/>
          <w:sz w:val="18"/>
          <w:szCs w:val="18"/>
          <w:lang w:val="en-US"/>
        </w:rPr>
        <w:t>J Hepatol 2017;67:1168–1176</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12BBFDD0" w14:textId="77777777" w:rsidR="00A74698" w:rsidRPr="00BA5C0A"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[61]  </w:t>
      </w:r>
      <w:r w:rsidRPr="00BA5C0A">
        <w:rPr>
          <w:rFonts w:ascii="Times" w:hAnsi="Times" w:cs="Times"/>
          <w:color w:val="0D6C9E"/>
          <w:sz w:val="18"/>
          <w:szCs w:val="18"/>
          <w:lang w:val="en-US"/>
        </w:rPr>
        <w:t>Desnoyer A, Pospai D, Le MP, Gervais A, Heurgue-Berlot A, Laradi A, et al. Pharmacokinetics, safety and efficacy of a full dose sofosbuvir- based regimen given daily in hemodialysis patients with chronic hepatitis C. J Hepatol 2016;65:40–47</w:t>
      </w:r>
      <w:r w:rsidRPr="00BA5C0A">
        <w:rPr>
          <w:rFonts w:ascii="Times" w:hAnsi="Times" w:cs="Times"/>
          <w:color w:val="000000"/>
          <w:sz w:val="18"/>
          <w:szCs w:val="18"/>
          <w:lang w:val="en-US"/>
        </w:rPr>
        <w:t xml:space="preserve">. </w:t>
      </w:r>
      <w:r w:rsidRPr="00BA5C0A">
        <w:rPr>
          <w:rFonts w:ascii="MS Mincho" w:eastAsia="MS Mincho" w:hAnsi="MS Mincho" w:cs="MS Mincho"/>
          <w:color w:val="000000"/>
          <w:lang w:val="en-US"/>
        </w:rPr>
        <w:t> </w:t>
      </w:r>
    </w:p>
    <w:p w14:paraId="5104CC4F" w14:textId="77777777" w:rsidR="00A74698" w:rsidRPr="0080595E"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de-DE"/>
        </w:rPr>
      </w:pPr>
      <w:r w:rsidRPr="0080595E">
        <w:rPr>
          <w:rFonts w:ascii="Times" w:hAnsi="Times" w:cs="Times"/>
          <w:color w:val="000000"/>
          <w:sz w:val="18"/>
          <w:szCs w:val="18"/>
          <w:lang w:val="de-DE"/>
        </w:rPr>
        <w:t>[62]  </w:t>
      </w:r>
      <w:r w:rsidRPr="0080595E">
        <w:rPr>
          <w:rFonts w:ascii="Times" w:hAnsi="Times" w:cs="Times"/>
          <w:color w:val="0D6C9E"/>
          <w:sz w:val="18"/>
          <w:szCs w:val="18"/>
          <w:lang w:val="de-DE"/>
        </w:rPr>
        <w:t xml:space="preserve">Lawitz E, Landis CS, Maliakkal BJ, Bonacini M, Ortiz-Lasanta G, Zhang J, et al. </w:t>
      </w:r>
      <w:r w:rsidRPr="00BA5C0A">
        <w:rPr>
          <w:rFonts w:ascii="Times" w:hAnsi="Times" w:cs="Times"/>
          <w:color w:val="0D6C9E"/>
          <w:sz w:val="18"/>
          <w:szCs w:val="18"/>
          <w:lang w:val="en-US"/>
        </w:rPr>
        <w:t xml:space="preserve">Safety and efficacy of treatment with once-daily ledipasvir/so- fosbuvir (90/400 mg) for 12 weeks in genotype 1 HCV-infected patients with severe renal impairment. </w:t>
      </w:r>
      <w:r w:rsidRPr="0080595E">
        <w:rPr>
          <w:rFonts w:ascii="Times" w:hAnsi="Times" w:cs="Times"/>
          <w:color w:val="0D6C9E"/>
          <w:sz w:val="18"/>
          <w:szCs w:val="18"/>
          <w:lang w:val="de-DE"/>
        </w:rPr>
        <w:t>Hepatology 2017;66:848A</w:t>
      </w:r>
      <w:r w:rsidRPr="0080595E">
        <w:rPr>
          <w:rFonts w:ascii="Times" w:hAnsi="Times" w:cs="Times"/>
          <w:color w:val="000000"/>
          <w:sz w:val="18"/>
          <w:szCs w:val="18"/>
          <w:lang w:val="de-DE"/>
        </w:rPr>
        <w:t xml:space="preserve">. </w:t>
      </w:r>
      <w:r w:rsidRPr="0080595E">
        <w:rPr>
          <w:rFonts w:ascii="MS Mincho" w:eastAsia="MS Mincho" w:hAnsi="MS Mincho" w:cs="MS Mincho"/>
          <w:color w:val="000000"/>
          <w:lang w:val="de-DE"/>
        </w:rPr>
        <w:t> </w:t>
      </w:r>
    </w:p>
    <w:p w14:paraId="401ED1EF"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80595E">
        <w:rPr>
          <w:rFonts w:ascii="Times" w:hAnsi="Times" w:cs="Times"/>
          <w:color w:val="000000"/>
          <w:sz w:val="18"/>
          <w:szCs w:val="18"/>
          <w:lang w:val="de-DE"/>
        </w:rPr>
        <w:t>[63]  </w:t>
      </w:r>
      <w:r w:rsidRPr="0080595E">
        <w:rPr>
          <w:rFonts w:ascii="Times" w:hAnsi="Times" w:cs="Times"/>
          <w:color w:val="0D6C9E"/>
          <w:sz w:val="18"/>
          <w:szCs w:val="18"/>
          <w:lang w:val="de-DE"/>
        </w:rPr>
        <w:t xml:space="preserve">Terrault NA, Zeuzem S, Di Bisceglie AM, Lim JK, Pockros PJ, Frazier LM, et al. </w:t>
      </w:r>
      <w:r w:rsidRPr="00BA5C0A">
        <w:rPr>
          <w:rFonts w:ascii="Times" w:hAnsi="Times" w:cs="Times"/>
          <w:color w:val="0D6C9E"/>
          <w:sz w:val="18"/>
          <w:szCs w:val="18"/>
          <w:lang w:val="en-US"/>
        </w:rPr>
        <w:t xml:space="preserve">Effectiveness of ledipasvir-sofosbuvir combination in patients with hepatitis C virus infection and factors associated with sustained virologic response. </w:t>
      </w:r>
      <w:r w:rsidRPr="003B61EF">
        <w:rPr>
          <w:rFonts w:ascii="Times" w:hAnsi="Times" w:cs="Times"/>
          <w:color w:val="0D6C9E"/>
          <w:sz w:val="18"/>
          <w:szCs w:val="18"/>
          <w:lang w:val="en-US"/>
        </w:rPr>
        <w:t>Gastroenterology 2016;151:1131–1140, e1135</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7968927D" w14:textId="77777777" w:rsidR="00A74698" w:rsidRPr="0080595E"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[64]  </w:t>
      </w:r>
      <w:r w:rsidRPr="00BA5C0A">
        <w:rPr>
          <w:rFonts w:ascii="Times" w:hAnsi="Times" w:cs="Times"/>
          <w:color w:val="0D6C9E"/>
          <w:sz w:val="18"/>
          <w:szCs w:val="18"/>
          <w:lang w:val="en-US"/>
        </w:rPr>
        <w:t xml:space="preserve">European Association for the Study of the Liver. EASL Clinical Practice Guidelines: management of hepatitis C virus infection. </w:t>
      </w:r>
      <w:r w:rsidRPr="0080595E">
        <w:rPr>
          <w:rFonts w:ascii="Times" w:hAnsi="Times" w:cs="Times"/>
          <w:color w:val="0D6C9E"/>
          <w:sz w:val="18"/>
          <w:szCs w:val="18"/>
          <w:lang w:val="en-US"/>
        </w:rPr>
        <w:t>J Hepatol 2011;55:245–264</w:t>
      </w:r>
      <w:r w:rsidRPr="0080595E">
        <w:rPr>
          <w:rFonts w:ascii="Times" w:hAnsi="Times" w:cs="Times"/>
          <w:color w:val="000000"/>
          <w:sz w:val="18"/>
          <w:szCs w:val="18"/>
          <w:lang w:val="en-US"/>
        </w:rPr>
        <w:t xml:space="preserve">. </w:t>
      </w:r>
      <w:r w:rsidRPr="0080595E">
        <w:rPr>
          <w:rFonts w:ascii="MS Mincho" w:eastAsia="MS Mincho" w:hAnsi="MS Mincho" w:cs="MS Mincho"/>
          <w:color w:val="000000"/>
          <w:lang w:val="en-US"/>
        </w:rPr>
        <w:t> </w:t>
      </w:r>
    </w:p>
    <w:p w14:paraId="3BC8CF5B" w14:textId="77777777" w:rsidR="00A74698" w:rsidRPr="0080595E"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[65]  </w:t>
      </w:r>
      <w:r w:rsidRPr="00BA5C0A">
        <w:rPr>
          <w:rFonts w:ascii="Times" w:hAnsi="Times" w:cs="Times"/>
          <w:color w:val="0D6C9E"/>
          <w:sz w:val="18"/>
          <w:szCs w:val="18"/>
          <w:lang w:val="en-US"/>
        </w:rPr>
        <w:t xml:space="preserve">European Association for the Study of the Liver. EASL Clinical Practice Guidelines: management of hepatitis C virus infection. </w:t>
      </w:r>
      <w:r w:rsidRPr="0080595E">
        <w:rPr>
          <w:rFonts w:ascii="Times" w:hAnsi="Times" w:cs="Times"/>
          <w:color w:val="0D6C9E"/>
          <w:sz w:val="18"/>
          <w:szCs w:val="18"/>
          <w:lang w:val="en-US"/>
        </w:rPr>
        <w:t>J Hepatol 2014;60:392–420</w:t>
      </w:r>
      <w:r w:rsidRPr="0080595E">
        <w:rPr>
          <w:rFonts w:ascii="Times" w:hAnsi="Times" w:cs="Times"/>
          <w:color w:val="000000"/>
          <w:sz w:val="18"/>
          <w:szCs w:val="18"/>
          <w:lang w:val="en-US"/>
        </w:rPr>
        <w:t xml:space="preserve">. </w:t>
      </w:r>
      <w:r w:rsidRPr="0080595E">
        <w:rPr>
          <w:rFonts w:ascii="MS Mincho" w:eastAsia="MS Mincho" w:hAnsi="MS Mincho" w:cs="MS Mincho"/>
          <w:color w:val="000000"/>
          <w:lang w:val="en-US"/>
        </w:rPr>
        <w:t> </w:t>
      </w:r>
    </w:p>
    <w:p w14:paraId="21C798F9" w14:textId="77777777" w:rsidR="00A74698" w:rsidRPr="0080595E"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de-DE"/>
        </w:rPr>
      </w:pPr>
      <w:r w:rsidRPr="00BA5C0A">
        <w:rPr>
          <w:rFonts w:ascii="Times" w:hAnsi="Times" w:cs="Times"/>
          <w:color w:val="000000"/>
          <w:sz w:val="18"/>
          <w:szCs w:val="18"/>
          <w:lang w:val="en-US"/>
        </w:rPr>
        <w:t>[66]  </w:t>
      </w:r>
      <w:r w:rsidRPr="00BA5C0A">
        <w:rPr>
          <w:rFonts w:ascii="Times" w:hAnsi="Times" w:cs="Times"/>
          <w:color w:val="0D6C9E"/>
          <w:sz w:val="18"/>
          <w:szCs w:val="18"/>
          <w:lang w:val="en-US"/>
        </w:rPr>
        <w:t xml:space="preserve">European Association for Study of the Liver. EASL Recommendations on Treatment of Hepatitis C 2015. </w:t>
      </w:r>
      <w:r w:rsidRPr="0080595E">
        <w:rPr>
          <w:rFonts w:ascii="Times" w:hAnsi="Times" w:cs="Times"/>
          <w:color w:val="0D6C9E"/>
          <w:sz w:val="18"/>
          <w:szCs w:val="18"/>
          <w:lang w:val="de-DE"/>
        </w:rPr>
        <w:t>J Hepatol 2015;63:199–236</w:t>
      </w:r>
      <w:r w:rsidRPr="0080595E">
        <w:rPr>
          <w:rFonts w:ascii="Times" w:hAnsi="Times" w:cs="Times"/>
          <w:color w:val="000000"/>
          <w:sz w:val="18"/>
          <w:szCs w:val="18"/>
          <w:lang w:val="de-DE"/>
        </w:rPr>
        <w:t xml:space="preserve">. </w:t>
      </w:r>
      <w:r w:rsidRPr="0080595E">
        <w:rPr>
          <w:rFonts w:ascii="MS Mincho" w:eastAsia="MS Mincho" w:hAnsi="MS Mincho" w:cs="MS Mincho"/>
          <w:color w:val="000000"/>
          <w:lang w:val="de-DE"/>
        </w:rPr>
        <w:t> </w:t>
      </w:r>
    </w:p>
    <w:p w14:paraId="014443CE" w14:textId="77777777" w:rsidR="00A74698" w:rsidRPr="00BA5C0A"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80595E">
        <w:rPr>
          <w:rFonts w:ascii="Times" w:hAnsi="Times" w:cs="Times"/>
          <w:color w:val="000000"/>
          <w:sz w:val="18"/>
          <w:szCs w:val="18"/>
          <w:lang w:val="de-DE"/>
        </w:rPr>
        <w:t>[67]  </w:t>
      </w:r>
      <w:r w:rsidRPr="0080595E">
        <w:rPr>
          <w:rFonts w:ascii="Times" w:hAnsi="Times" w:cs="Times"/>
          <w:color w:val="0D6C9E"/>
          <w:sz w:val="18"/>
          <w:szCs w:val="18"/>
          <w:lang w:val="de-DE"/>
        </w:rPr>
        <w:t xml:space="preserve">Feld JJ, Jacobson IM, Hezode C, Asselah T, Ruane PJ, Gruener N, et al. </w:t>
      </w:r>
      <w:r w:rsidRPr="00BA5C0A">
        <w:rPr>
          <w:rFonts w:ascii="Times" w:hAnsi="Times" w:cs="Times"/>
          <w:color w:val="0D6C9E"/>
          <w:sz w:val="18"/>
          <w:szCs w:val="18"/>
          <w:lang w:val="en-US"/>
        </w:rPr>
        <w:t>Sofosbuvir and velpatasvir for HCV gGenotype 1, 2, 4, 5, and 6 infection. N Engl J Med 2015;373:2599–2607</w:t>
      </w:r>
      <w:r w:rsidRPr="00BA5C0A">
        <w:rPr>
          <w:rFonts w:ascii="Times" w:hAnsi="Times" w:cs="Times"/>
          <w:color w:val="000000"/>
          <w:sz w:val="18"/>
          <w:szCs w:val="18"/>
          <w:lang w:val="en-US"/>
        </w:rPr>
        <w:t xml:space="preserve">. </w:t>
      </w:r>
      <w:r w:rsidRPr="00BA5C0A">
        <w:rPr>
          <w:rFonts w:ascii="MS Mincho" w:eastAsia="MS Mincho" w:hAnsi="MS Mincho" w:cs="MS Mincho"/>
          <w:color w:val="000000"/>
          <w:lang w:val="en-US"/>
        </w:rPr>
        <w:t> </w:t>
      </w:r>
    </w:p>
    <w:p w14:paraId="32E9E3EB"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[68]  </w:t>
      </w:r>
      <w:r w:rsidRPr="00BA5C0A">
        <w:rPr>
          <w:rFonts w:ascii="Times" w:hAnsi="Times" w:cs="Times"/>
          <w:color w:val="0D6C9E"/>
          <w:sz w:val="18"/>
          <w:szCs w:val="18"/>
          <w:lang w:val="en-US"/>
        </w:rPr>
        <w:t xml:space="preserve">Tsai N, Bacon B, Curry M, Dieterich D, Flamm S, Kowdley K, et al. Utilization of DAA therapies ledipasvir/sofosbuvir and sofosbuvir/ velpatasvir in patients with genotype 1 HCV: real-world experience from the TRIO network. </w:t>
      </w:r>
      <w:r w:rsidRPr="003B61EF">
        <w:rPr>
          <w:rFonts w:ascii="Times" w:hAnsi="Times" w:cs="Times"/>
          <w:color w:val="0D6C9E"/>
          <w:sz w:val="18"/>
          <w:szCs w:val="18"/>
          <w:lang w:val="en-US"/>
        </w:rPr>
        <w:t>J Hepatol 2017;66:S726</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51D97D0C"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[69]  </w:t>
      </w:r>
      <w:r w:rsidRPr="00BA5C0A">
        <w:rPr>
          <w:rFonts w:ascii="Times" w:hAnsi="Times" w:cs="Times"/>
          <w:color w:val="0D6C9E"/>
          <w:sz w:val="18"/>
          <w:szCs w:val="18"/>
          <w:lang w:val="en-US"/>
        </w:rPr>
        <w:t xml:space="preserve">Landis CS, Sulkowski MS, Reau N, Lutchman GA, Vainorius M, Welzel TM, et al. Safety and efficacy of velpatasvir and sofosbuvir-based regimens for the treatment of HCV genotype 1–6: results of the HCV- TARGET study. </w:t>
      </w:r>
      <w:r w:rsidRPr="003B61EF">
        <w:rPr>
          <w:rFonts w:ascii="Times" w:hAnsi="Times" w:cs="Times"/>
          <w:color w:val="0D6C9E"/>
          <w:sz w:val="18"/>
          <w:szCs w:val="18"/>
          <w:lang w:val="en-US"/>
        </w:rPr>
        <w:t>Hepatology 2017;66:587A</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1F9F1010"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[70]  </w:t>
      </w:r>
      <w:r w:rsidRPr="00BA5C0A">
        <w:rPr>
          <w:rFonts w:ascii="Times" w:hAnsi="Times" w:cs="Times"/>
          <w:color w:val="0D6C9E"/>
          <w:sz w:val="18"/>
          <w:szCs w:val="18"/>
          <w:lang w:val="en-US"/>
        </w:rPr>
        <w:t xml:space="preserve">Wyles D, Brau N, Kottilil S, Daar ES, Ruane P, Workowski K, et al. Sofosbuvir and velpatasvir for the treatment of hepatitis C virus in patients coinfected with human immunodeficiency virus type 1: an open-lLabel, Phase 3 study. </w:t>
      </w:r>
      <w:r w:rsidRPr="003B61EF">
        <w:rPr>
          <w:rFonts w:ascii="Times" w:hAnsi="Times" w:cs="Times"/>
          <w:color w:val="0D6C9E"/>
          <w:sz w:val="18"/>
          <w:szCs w:val="18"/>
          <w:lang w:val="en-US"/>
        </w:rPr>
        <w:t>Clin Infect Dis 2017;65:6–12</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3437F7C0"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[71]  </w:t>
      </w:r>
      <w:r w:rsidRPr="00BA5C0A">
        <w:rPr>
          <w:rFonts w:ascii="Times" w:hAnsi="Times" w:cs="Times"/>
          <w:color w:val="0D6C9E"/>
          <w:sz w:val="18"/>
          <w:szCs w:val="18"/>
          <w:lang w:val="en-US"/>
        </w:rPr>
        <w:t xml:space="preserve">Jacobson IM, Lawitz E, Gane EJ, Willems BE, Ruane PJ, Nahass RG, et al. Efficacy of 8 weeks of sofosbuvir, velpatasvir, and voxilaprevir in patients with chronic HCV infection: 2 Phase 3 randomized trials. </w:t>
      </w:r>
      <w:r w:rsidRPr="003B61EF">
        <w:rPr>
          <w:rFonts w:ascii="Times" w:hAnsi="Times" w:cs="Times"/>
          <w:color w:val="0D6C9E"/>
          <w:sz w:val="18"/>
          <w:szCs w:val="18"/>
          <w:lang w:val="en-US"/>
        </w:rPr>
        <w:t>Gastroenterology 2017;153:113–122</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62285498"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[72]  </w:t>
      </w:r>
      <w:r w:rsidRPr="00BA5C0A">
        <w:rPr>
          <w:rFonts w:ascii="Times" w:hAnsi="Times" w:cs="Times"/>
          <w:color w:val="0D6C9E"/>
          <w:sz w:val="18"/>
          <w:szCs w:val="18"/>
          <w:lang w:val="en-US"/>
        </w:rPr>
        <w:t xml:space="preserve">Zeuzem S, Foster GR, Wang S, Asatryan A, Gane E, Feld JJ, et al. Glecaprevir-pibrentasvir for 8 or 12 weeks in HCV genotype 1 or 3 infection. </w:t>
      </w:r>
      <w:r w:rsidRPr="003B61EF">
        <w:rPr>
          <w:rFonts w:ascii="Times" w:hAnsi="Times" w:cs="Times"/>
          <w:color w:val="0D6C9E"/>
          <w:sz w:val="18"/>
          <w:szCs w:val="18"/>
          <w:lang w:val="en-US"/>
        </w:rPr>
        <w:t>N Engl J Med 2018;378:354–369</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40422EE0"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[73]  </w:t>
      </w:r>
      <w:r w:rsidRPr="00BA5C0A">
        <w:rPr>
          <w:rFonts w:ascii="Times" w:hAnsi="Times" w:cs="Times"/>
          <w:color w:val="0D6C9E"/>
          <w:sz w:val="18"/>
          <w:szCs w:val="18"/>
          <w:lang w:val="en-US"/>
        </w:rPr>
        <w:t xml:space="preserve">Forns X, Lee SS, Valdes J, Lens S, Ghalib R, Aguilar H, et al. Glecaprevir plus pibrentasvir for chronic hepatitis C virus genotype 1, 2, 4, 5, or 6 infection in adults with compensated cirrhosis (EXPEDITION-1): a single-arm, open-label, multicentre phase 3 trial. </w:t>
      </w:r>
      <w:r w:rsidRPr="003B61EF">
        <w:rPr>
          <w:rFonts w:ascii="Times" w:hAnsi="Times" w:cs="Times"/>
          <w:color w:val="0D6C9E"/>
          <w:sz w:val="18"/>
          <w:szCs w:val="18"/>
          <w:lang w:val="en-US"/>
        </w:rPr>
        <w:t>Lancet Infect Dis 2017;17:1062–1068</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460D112E" w14:textId="77777777" w:rsidR="00A74698" w:rsidRPr="0080595E"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de-DE"/>
        </w:rPr>
      </w:pPr>
      <w:r w:rsidRPr="00BA5C0A">
        <w:rPr>
          <w:rFonts w:ascii="Times" w:hAnsi="Times" w:cs="Times"/>
          <w:color w:val="000000"/>
          <w:sz w:val="18"/>
          <w:szCs w:val="18"/>
          <w:lang w:val="en-US"/>
        </w:rPr>
        <w:t>[74]  </w:t>
      </w:r>
      <w:r w:rsidRPr="00BA5C0A">
        <w:rPr>
          <w:rFonts w:ascii="Times" w:hAnsi="Times" w:cs="Times"/>
          <w:color w:val="0D6C9E"/>
          <w:sz w:val="18"/>
          <w:szCs w:val="18"/>
          <w:lang w:val="en-US"/>
        </w:rPr>
        <w:t xml:space="preserve">Afdhal N, Zeuzem S, Kwo P, Chojkier M, Gitlin N, Puoti M, et al. Ledipasvir and sofosbuvir for untreated HCV genotype 1 infection. </w:t>
      </w:r>
      <w:r w:rsidRPr="0080595E">
        <w:rPr>
          <w:rFonts w:ascii="Times" w:hAnsi="Times" w:cs="Times"/>
          <w:color w:val="0D6C9E"/>
          <w:sz w:val="18"/>
          <w:szCs w:val="18"/>
          <w:lang w:val="de-DE"/>
        </w:rPr>
        <w:t>N Engl J Med 2014;370:1889–1898</w:t>
      </w:r>
      <w:r w:rsidRPr="0080595E">
        <w:rPr>
          <w:rFonts w:ascii="Times" w:hAnsi="Times" w:cs="Times"/>
          <w:color w:val="000000"/>
          <w:sz w:val="18"/>
          <w:szCs w:val="18"/>
          <w:lang w:val="de-DE"/>
        </w:rPr>
        <w:t xml:space="preserve">. </w:t>
      </w:r>
      <w:r w:rsidRPr="0080595E">
        <w:rPr>
          <w:rFonts w:ascii="MS Mincho" w:eastAsia="MS Mincho" w:hAnsi="MS Mincho" w:cs="MS Mincho"/>
          <w:color w:val="000000"/>
          <w:lang w:val="de-DE"/>
        </w:rPr>
        <w:t> </w:t>
      </w:r>
    </w:p>
    <w:p w14:paraId="7E58E853" w14:textId="77777777" w:rsidR="00A74698" w:rsidRPr="0080595E"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de-DE"/>
        </w:rPr>
      </w:pPr>
      <w:r w:rsidRPr="0080595E">
        <w:rPr>
          <w:rFonts w:ascii="Times" w:hAnsi="Times" w:cs="Times"/>
          <w:color w:val="000000"/>
          <w:sz w:val="18"/>
          <w:szCs w:val="18"/>
          <w:lang w:val="de-DE"/>
        </w:rPr>
        <w:t>[75]  </w:t>
      </w:r>
      <w:r w:rsidRPr="0080595E">
        <w:rPr>
          <w:rFonts w:ascii="Times" w:hAnsi="Times" w:cs="Times"/>
          <w:color w:val="0D6C9E"/>
          <w:sz w:val="18"/>
          <w:szCs w:val="18"/>
          <w:lang w:val="de-DE"/>
        </w:rPr>
        <w:t xml:space="preserve">Afdhal N, Reddy KR, Nelson DR, Lawitz E, Gordon SC, Schiff E, et al. </w:t>
      </w:r>
      <w:r w:rsidRPr="00BA5C0A">
        <w:rPr>
          <w:rFonts w:ascii="Times" w:hAnsi="Times" w:cs="Times"/>
          <w:color w:val="0D6C9E"/>
          <w:sz w:val="18"/>
          <w:szCs w:val="18"/>
          <w:lang w:val="en-US"/>
        </w:rPr>
        <w:t xml:space="preserve">Ledipasvir and sofosbuvir for previously treated HCV genotype 1 infection. </w:t>
      </w:r>
      <w:r w:rsidRPr="0080595E">
        <w:rPr>
          <w:rFonts w:ascii="Times" w:hAnsi="Times" w:cs="Times"/>
          <w:color w:val="0D6C9E"/>
          <w:sz w:val="18"/>
          <w:szCs w:val="18"/>
          <w:lang w:val="de-DE"/>
        </w:rPr>
        <w:t>N Engl J Med 2014;370:1483–1493</w:t>
      </w:r>
      <w:r w:rsidRPr="0080595E">
        <w:rPr>
          <w:rFonts w:ascii="Times" w:hAnsi="Times" w:cs="Times"/>
          <w:color w:val="000000"/>
          <w:sz w:val="18"/>
          <w:szCs w:val="18"/>
          <w:lang w:val="de-DE"/>
        </w:rPr>
        <w:t xml:space="preserve">. </w:t>
      </w:r>
      <w:r w:rsidRPr="0080595E">
        <w:rPr>
          <w:rFonts w:ascii="MS Mincho" w:eastAsia="MS Mincho" w:hAnsi="MS Mincho" w:cs="MS Mincho"/>
          <w:color w:val="000000"/>
          <w:lang w:val="de-DE"/>
        </w:rPr>
        <w:t> </w:t>
      </w:r>
    </w:p>
    <w:p w14:paraId="33D5B775"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80595E">
        <w:rPr>
          <w:rFonts w:ascii="Times" w:hAnsi="Times" w:cs="Times"/>
          <w:color w:val="000000"/>
          <w:sz w:val="18"/>
          <w:szCs w:val="18"/>
          <w:lang w:val="de-DE"/>
        </w:rPr>
        <w:t>[76]  </w:t>
      </w:r>
      <w:r w:rsidRPr="0080595E">
        <w:rPr>
          <w:rFonts w:ascii="Times" w:hAnsi="Times" w:cs="Times"/>
          <w:color w:val="0D6C9E"/>
          <w:sz w:val="18"/>
          <w:szCs w:val="18"/>
          <w:lang w:val="de-DE"/>
        </w:rPr>
        <w:t xml:space="preserve">Kowdley KV, Gordon SC, Reddy KR, Rossaro L, Bernstein DE, Lawitz E, et al. </w:t>
      </w:r>
      <w:r w:rsidRPr="00BA5C0A">
        <w:rPr>
          <w:rFonts w:ascii="Times" w:hAnsi="Times" w:cs="Times"/>
          <w:color w:val="0D6C9E"/>
          <w:sz w:val="18"/>
          <w:szCs w:val="18"/>
          <w:lang w:val="en-US"/>
        </w:rPr>
        <w:t xml:space="preserve">Ledipasvir and sofosbuvir for 8 or 12 weeks for chronic HCV without cirrhosis. </w:t>
      </w:r>
      <w:r w:rsidRPr="003B61EF">
        <w:rPr>
          <w:rFonts w:ascii="Times" w:hAnsi="Times" w:cs="Times"/>
          <w:color w:val="0D6C9E"/>
          <w:sz w:val="18"/>
          <w:szCs w:val="18"/>
          <w:lang w:val="en-US"/>
        </w:rPr>
        <w:t>N Engl J Med 2014;370:1879–1888</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28EBCE5C"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[77]  </w:t>
      </w:r>
      <w:r w:rsidRPr="00BA5C0A">
        <w:rPr>
          <w:rFonts w:ascii="Times" w:hAnsi="Times" w:cs="Times"/>
          <w:color w:val="0D6C9E"/>
          <w:sz w:val="18"/>
          <w:szCs w:val="18"/>
          <w:lang w:val="en-US"/>
        </w:rPr>
        <w:t xml:space="preserve">Naggie S, Cooper C, Saag M, Workowski K, Ruane P, Towner WJ, et al. Ledipasvir and sofosbuvir for HCV in patients coinfected with HIV-1. </w:t>
      </w:r>
      <w:r w:rsidRPr="003B61EF">
        <w:rPr>
          <w:rFonts w:ascii="Times" w:hAnsi="Times" w:cs="Times"/>
          <w:color w:val="0D6C9E"/>
          <w:sz w:val="18"/>
          <w:szCs w:val="18"/>
          <w:lang w:val="en-US"/>
        </w:rPr>
        <w:t>N Engl J Med 2015;373:705–713</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79586481"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[78]  </w:t>
      </w:r>
      <w:r w:rsidRPr="00BA5C0A">
        <w:rPr>
          <w:rFonts w:ascii="Times" w:hAnsi="Times" w:cs="Times"/>
          <w:color w:val="0D6C9E"/>
          <w:sz w:val="18"/>
          <w:szCs w:val="18"/>
          <w:lang w:val="en-US"/>
        </w:rPr>
        <w:t xml:space="preserve">Reddy KR, Bourliere M, Sulkowski M, Omata M, Zeuzem S, Feld JJ, et al. Ledipasvir and sofosbuvir in patients with genotype 1 hepatitis C virus infection and compensated cirrhosis: an integrated safety and efficacy analysis. </w:t>
      </w:r>
      <w:r w:rsidRPr="003B61EF">
        <w:rPr>
          <w:rFonts w:ascii="Times" w:hAnsi="Times" w:cs="Times"/>
          <w:color w:val="0D6C9E"/>
          <w:sz w:val="18"/>
          <w:szCs w:val="18"/>
          <w:lang w:val="en-US"/>
        </w:rPr>
        <w:t>Hepatology 2015;62:79–86</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4F1494D6"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[79]  </w:t>
      </w:r>
      <w:r w:rsidRPr="00BA5C0A">
        <w:rPr>
          <w:rFonts w:ascii="Times" w:hAnsi="Times" w:cs="Times"/>
          <w:color w:val="0D6C9E"/>
          <w:sz w:val="18"/>
          <w:szCs w:val="18"/>
          <w:lang w:val="en-US"/>
        </w:rPr>
        <w:t xml:space="preserve">Wilson E, Davitkov P, Kwo PY, Katkakuzhy S, Qureshi K, Sundaram V, et al. Real-world effectiveness of 8 vs 12 weeks of ledipasvir/sofosbuvir (LDV/SOF) in Blacks with HCV: a comparative analysis of clinical trials with real-world cohorts. </w:t>
      </w:r>
      <w:r w:rsidRPr="003B61EF">
        <w:rPr>
          <w:rFonts w:ascii="Times" w:hAnsi="Times" w:cs="Times"/>
          <w:color w:val="0D6C9E"/>
          <w:sz w:val="18"/>
          <w:szCs w:val="18"/>
          <w:lang w:val="en-US"/>
        </w:rPr>
        <w:t>Hepatology 2017;66:608A</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639EA5D7" w14:textId="77777777" w:rsidR="00A74698" w:rsidRPr="00BA5C0A"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rPr>
      </w:pPr>
      <w:r w:rsidRPr="00BA5C0A">
        <w:rPr>
          <w:rFonts w:ascii="Times" w:hAnsi="Times" w:cs="Times"/>
          <w:color w:val="000000"/>
          <w:sz w:val="18"/>
          <w:szCs w:val="18"/>
          <w:lang w:val="en-US"/>
        </w:rPr>
        <w:t>[80]  </w:t>
      </w:r>
      <w:r w:rsidRPr="00BA5C0A">
        <w:rPr>
          <w:rFonts w:ascii="Times" w:hAnsi="Times" w:cs="Times"/>
          <w:color w:val="0D6C9E"/>
          <w:sz w:val="18"/>
          <w:szCs w:val="18"/>
          <w:lang w:val="en-US"/>
        </w:rPr>
        <w:t xml:space="preserve">Kowdley KV, Sundaram V, Jeon C, Qureshi K, Latt NL, Sahota AK, et al. 8 weeks of ledipasvir/sofosbuvir is effective for selected patients with genotype 1 hepatitis C virus infection. </w:t>
      </w:r>
      <w:r w:rsidRPr="00BA5C0A">
        <w:rPr>
          <w:rFonts w:ascii="Times" w:hAnsi="Times" w:cs="Times"/>
          <w:color w:val="0D6C9E"/>
          <w:sz w:val="18"/>
          <w:szCs w:val="18"/>
        </w:rPr>
        <w:t>Hepatology 2017;65:1094–1103</w:t>
      </w:r>
      <w:r w:rsidRPr="00BA5C0A">
        <w:rPr>
          <w:rFonts w:ascii="Times" w:hAnsi="Times" w:cs="Times"/>
          <w:color w:val="000000"/>
          <w:sz w:val="18"/>
          <w:szCs w:val="18"/>
        </w:rPr>
        <w:t xml:space="preserve">. </w:t>
      </w:r>
      <w:r w:rsidRPr="00BA5C0A">
        <w:rPr>
          <w:rFonts w:ascii="MS Mincho" w:eastAsia="MS Mincho" w:hAnsi="MS Mincho" w:cs="MS Mincho"/>
          <w:color w:val="000000"/>
        </w:rPr>
        <w:t> </w:t>
      </w:r>
    </w:p>
    <w:p w14:paraId="584D099D" w14:textId="77777777" w:rsidR="00A74698" w:rsidRPr="00BA5C0A"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[81] </w:t>
      </w:r>
      <w:r w:rsidRPr="00BA5C0A">
        <w:rPr>
          <w:rFonts w:ascii="Times" w:hAnsi="Times" w:cs="Times"/>
          <w:color w:val="0D6C9E"/>
          <w:sz w:val="18"/>
          <w:szCs w:val="18"/>
          <w:lang w:val="en-US"/>
        </w:rPr>
        <w:t>Buggisch P, Vermehren J, Mauss S, Gunther R, Schott E, Pathil A, et al. Real-world effectiveness of 8-week treatment with ledipasvir/sofosbu- vir in chronic hepatitis C. J Hepatol 2018, in press</w:t>
      </w:r>
      <w:r w:rsidRPr="00BA5C0A">
        <w:rPr>
          <w:rFonts w:ascii="Times" w:hAnsi="Times" w:cs="Times"/>
          <w:color w:val="000000"/>
          <w:sz w:val="18"/>
          <w:szCs w:val="18"/>
          <w:lang w:val="en-US"/>
        </w:rPr>
        <w:t xml:space="preserve">. </w:t>
      </w:r>
    </w:p>
    <w:p w14:paraId="1E76A414" w14:textId="77777777" w:rsidR="00A74698" w:rsidRPr="0080595E"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[82] </w:t>
      </w:r>
      <w:r w:rsidRPr="00BA5C0A">
        <w:rPr>
          <w:rFonts w:ascii="Times" w:hAnsi="Times" w:cs="Times"/>
          <w:color w:val="0D6C9E"/>
          <w:sz w:val="18"/>
          <w:szCs w:val="18"/>
          <w:lang w:val="en-US"/>
        </w:rPr>
        <w:t xml:space="preserve">Kowdley KV, Sundaram V, Jeon CY, Qureshi K, Latt NL, Sahota A, et al. 8 weeks of ledipasvir/sofosbuvir is effective for selected patients with genotype 1 hepatitis C virus infection. </w:t>
      </w:r>
      <w:r w:rsidRPr="0080595E">
        <w:rPr>
          <w:rFonts w:ascii="Times" w:hAnsi="Times" w:cs="Times"/>
          <w:color w:val="0D6C9E"/>
          <w:sz w:val="18"/>
          <w:szCs w:val="18"/>
          <w:lang w:val="en-US"/>
        </w:rPr>
        <w:t>Hepatology 2017;65:1094–1103</w:t>
      </w:r>
      <w:r w:rsidRPr="0080595E">
        <w:rPr>
          <w:rFonts w:ascii="Times" w:hAnsi="Times" w:cs="Times"/>
          <w:color w:val="000000"/>
          <w:sz w:val="18"/>
          <w:szCs w:val="18"/>
          <w:lang w:val="en-US"/>
        </w:rPr>
        <w:t xml:space="preserve">. </w:t>
      </w:r>
    </w:p>
    <w:p w14:paraId="48815727"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[83] </w:t>
      </w:r>
      <w:r w:rsidRPr="00BA5C0A">
        <w:rPr>
          <w:rFonts w:ascii="Times" w:hAnsi="Times" w:cs="Times"/>
          <w:color w:val="0D6C9E"/>
          <w:sz w:val="18"/>
          <w:szCs w:val="18"/>
          <w:lang w:val="en-US"/>
        </w:rPr>
        <w:t xml:space="preserve">Zeuzem S, Ghalib R, Reddy KR, Pockros PJ, Ben Ari Z, Zhao Y, et al. Grazoprevir-elbasvir combination therapy for treatment-naive cirrhotic and noncirrhotic patients with chronic hepatitis C virus genotype 1, 4, or 6 infection: a randomized trial. </w:t>
      </w:r>
      <w:r w:rsidRPr="003B61EF">
        <w:rPr>
          <w:rFonts w:ascii="Times" w:hAnsi="Times" w:cs="Times"/>
          <w:color w:val="0D6C9E"/>
          <w:sz w:val="18"/>
          <w:szCs w:val="18"/>
          <w:lang w:val="en-US"/>
        </w:rPr>
        <w:lastRenderedPageBreak/>
        <w:t>Ann Intern Med 2015;163:1–13</w:t>
      </w:r>
      <w:r w:rsidRPr="003B61EF">
        <w:rPr>
          <w:rFonts w:ascii="Times" w:hAnsi="Times" w:cs="Times"/>
          <w:color w:val="000000"/>
          <w:sz w:val="18"/>
          <w:szCs w:val="18"/>
          <w:lang w:val="en-US"/>
        </w:rPr>
        <w:t xml:space="preserve">. </w:t>
      </w:r>
    </w:p>
    <w:p w14:paraId="24F93C60" w14:textId="77777777" w:rsidR="00A74698" w:rsidRPr="00BA5C0A" w:rsidRDefault="00A74698" w:rsidP="00A74698">
      <w:pPr>
        <w:widowControl w:val="0"/>
        <w:autoSpaceDE w:val="0"/>
        <w:autoSpaceDN w:val="0"/>
        <w:adjustRightInd w:val="0"/>
        <w:spacing w:after="240"/>
        <w:ind w:left="426"/>
        <w:contextualSpacing/>
        <w:rPr>
          <w:rFonts w:ascii="Times" w:hAnsi="Times" w:cs="Times"/>
          <w:color w:val="000000"/>
        </w:rPr>
      </w:pPr>
      <w:r w:rsidRPr="00BA5C0A">
        <w:rPr>
          <w:rFonts w:ascii="Times" w:hAnsi="Times" w:cs="Times"/>
          <w:color w:val="000000"/>
          <w:sz w:val="18"/>
          <w:szCs w:val="18"/>
          <w:lang w:val="en-US"/>
        </w:rPr>
        <w:t xml:space="preserve">[84] </w:t>
      </w:r>
      <w:r w:rsidRPr="00BA5C0A">
        <w:rPr>
          <w:rFonts w:ascii="Times" w:hAnsi="Times" w:cs="Times"/>
          <w:color w:val="0D6C9E"/>
          <w:sz w:val="18"/>
          <w:szCs w:val="18"/>
          <w:lang w:val="en-US"/>
        </w:rPr>
        <w:t xml:space="preserve">Rockstroh JK, Nelson M, Katlama C, Lalezari J, Mallolas J, Bloch M, et al. Efficacy and safety of grazoprevir (MK-5172) and elbasvir (MK-8742) in patients with hepatitis C virus and HIV co-infection (C-EDGE CO- INFECTION): a non-randomised, open-label trial. </w:t>
      </w:r>
      <w:r w:rsidRPr="00BA5C0A">
        <w:rPr>
          <w:rFonts w:ascii="Times" w:hAnsi="Times" w:cs="Times"/>
          <w:color w:val="0D6C9E"/>
          <w:sz w:val="18"/>
          <w:szCs w:val="18"/>
        </w:rPr>
        <w:t>Lancet HIV 2015;2: e319–e327</w:t>
      </w:r>
      <w:r w:rsidRPr="00BA5C0A">
        <w:rPr>
          <w:rFonts w:ascii="Times" w:hAnsi="Times" w:cs="Times"/>
          <w:color w:val="000000"/>
          <w:sz w:val="18"/>
          <w:szCs w:val="18"/>
        </w:rPr>
        <w:t xml:space="preserve">. </w:t>
      </w:r>
    </w:p>
    <w:p w14:paraId="088DF41D"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[85] </w:t>
      </w:r>
      <w:r w:rsidRPr="00BA5C0A">
        <w:rPr>
          <w:rFonts w:ascii="Times" w:hAnsi="Times" w:cs="Times"/>
          <w:color w:val="0D6C9E"/>
          <w:sz w:val="18"/>
          <w:szCs w:val="18"/>
          <w:lang w:val="en-US"/>
        </w:rPr>
        <w:t xml:space="preserve">Kwo P, Gane EJ, Peng CY, Pearlman B, Vierling JM, Serfaty L, et al. Effectiveness of elbasvir and grazoprevir combination, with or without ribavirin, for treatment-experienced patients with chronic hepatitis C infection. </w:t>
      </w:r>
      <w:r w:rsidRPr="003B61EF">
        <w:rPr>
          <w:rFonts w:ascii="Times" w:hAnsi="Times" w:cs="Times"/>
          <w:color w:val="0D6C9E"/>
          <w:sz w:val="18"/>
          <w:szCs w:val="18"/>
          <w:lang w:val="en-US"/>
        </w:rPr>
        <w:t>Gastroenterology 2017;152:164–175, e164</w:t>
      </w:r>
      <w:r w:rsidRPr="003B61EF">
        <w:rPr>
          <w:rFonts w:ascii="Times" w:hAnsi="Times" w:cs="Times"/>
          <w:color w:val="000000"/>
          <w:sz w:val="18"/>
          <w:szCs w:val="18"/>
          <w:lang w:val="en-US"/>
        </w:rPr>
        <w:t xml:space="preserve">. </w:t>
      </w:r>
    </w:p>
    <w:p w14:paraId="48DAA9B7"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[86] </w:t>
      </w:r>
      <w:r w:rsidRPr="00BA5C0A">
        <w:rPr>
          <w:rFonts w:ascii="Times" w:hAnsi="Times" w:cs="Times"/>
          <w:color w:val="0D6C9E"/>
          <w:sz w:val="18"/>
          <w:szCs w:val="18"/>
          <w:lang w:val="en-US"/>
        </w:rPr>
        <w:t xml:space="preserve">Wei LJ, Zhdanov K, Burnevich E, Sheen IS, Heo J, Nguyen VK, et al. Efficacy and safety of elbasvir/grazoprevir in treatment-naïve patients with chronic HCV GT 1, GT 4 and GT 6 infection (C-CORAL): a Phase III randomized multinational clinical trial. </w:t>
      </w:r>
      <w:r w:rsidRPr="003B61EF">
        <w:rPr>
          <w:rFonts w:ascii="Times" w:hAnsi="Times" w:cs="Times"/>
          <w:color w:val="0D6C9E"/>
          <w:sz w:val="18"/>
          <w:szCs w:val="18"/>
          <w:lang w:val="en-US"/>
        </w:rPr>
        <w:t>J Hepatol 2017;66:S529</w:t>
      </w:r>
      <w:r w:rsidRPr="003B61EF">
        <w:rPr>
          <w:rFonts w:ascii="Times" w:hAnsi="Times" w:cs="Times"/>
          <w:color w:val="000000"/>
          <w:sz w:val="18"/>
          <w:szCs w:val="18"/>
          <w:lang w:val="en-US"/>
        </w:rPr>
        <w:t xml:space="preserve">. </w:t>
      </w:r>
    </w:p>
    <w:p w14:paraId="07ADBFA1" w14:textId="77777777" w:rsidR="00A74698" w:rsidRPr="00BA5C0A" w:rsidRDefault="00A74698" w:rsidP="00A74698">
      <w:pPr>
        <w:widowControl w:val="0"/>
        <w:autoSpaceDE w:val="0"/>
        <w:autoSpaceDN w:val="0"/>
        <w:adjustRightInd w:val="0"/>
        <w:spacing w:after="240"/>
        <w:ind w:left="426"/>
        <w:contextualSpacing/>
        <w:rPr>
          <w:rFonts w:ascii="Times" w:hAnsi="Times" w:cs="Times"/>
          <w:color w:val="000000"/>
        </w:rPr>
      </w:pPr>
      <w:r w:rsidRPr="00BA5C0A">
        <w:rPr>
          <w:rFonts w:ascii="Times" w:hAnsi="Times" w:cs="Times"/>
          <w:color w:val="000000"/>
          <w:sz w:val="18"/>
          <w:szCs w:val="18"/>
          <w:lang w:val="en-US"/>
        </w:rPr>
        <w:t xml:space="preserve">[87] </w:t>
      </w:r>
      <w:r w:rsidRPr="00BA5C0A">
        <w:rPr>
          <w:rFonts w:ascii="Times" w:hAnsi="Times" w:cs="Times"/>
          <w:color w:val="0D6C9E"/>
          <w:sz w:val="18"/>
          <w:szCs w:val="18"/>
          <w:lang w:val="en-US"/>
        </w:rPr>
        <w:t xml:space="preserve">Zeuzem S, Serfaty L, Vierling J, Cheng W, George J, Sperl J, et al. The safety and efficacy of elbasvir and grazoprevir in participants with hepatitis C virus genotype 1b infection. </w:t>
      </w:r>
      <w:r w:rsidRPr="00BA5C0A">
        <w:rPr>
          <w:rFonts w:ascii="Times" w:hAnsi="Times" w:cs="Times"/>
          <w:color w:val="0D6C9E"/>
          <w:sz w:val="18"/>
          <w:szCs w:val="18"/>
        </w:rPr>
        <w:t>J Gastroenterol 2018, in press</w:t>
      </w:r>
      <w:r w:rsidRPr="00BA5C0A">
        <w:rPr>
          <w:rFonts w:ascii="Times" w:hAnsi="Times" w:cs="Times"/>
          <w:color w:val="000000"/>
          <w:sz w:val="18"/>
          <w:szCs w:val="18"/>
        </w:rPr>
        <w:t xml:space="preserve">. </w:t>
      </w:r>
    </w:p>
    <w:p w14:paraId="2F9D376A"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[88] </w:t>
      </w:r>
      <w:r w:rsidRPr="00BA5C0A">
        <w:rPr>
          <w:rFonts w:ascii="Times" w:hAnsi="Times" w:cs="Times"/>
          <w:color w:val="0D6C9E"/>
          <w:sz w:val="18"/>
          <w:szCs w:val="18"/>
          <w:lang w:val="en-US"/>
        </w:rPr>
        <w:t xml:space="preserve">Abergel A, Loustaud-Ratti V, Di Martino V, Gournay J, Larrey DG, Fouchard-Hubert I, et al. High efficacy and safety of the combination HCV regimen grazoprevir and elbasvir for 8 weeks in treatment-naive, non-severe fibrosis HCV GT1b-infected patients: interim results of the STREAGER study. </w:t>
      </w:r>
      <w:r w:rsidRPr="003B61EF">
        <w:rPr>
          <w:rFonts w:ascii="Times" w:hAnsi="Times" w:cs="Times"/>
          <w:color w:val="0D6C9E"/>
          <w:sz w:val="18"/>
          <w:szCs w:val="18"/>
          <w:lang w:val="en-US"/>
        </w:rPr>
        <w:t>Hepatology 2017;66:1257A</w:t>
      </w:r>
      <w:r w:rsidRPr="003B61EF">
        <w:rPr>
          <w:rFonts w:ascii="Times" w:hAnsi="Times" w:cs="Times"/>
          <w:color w:val="000000"/>
          <w:sz w:val="18"/>
          <w:szCs w:val="18"/>
          <w:lang w:val="en-US"/>
        </w:rPr>
        <w:t xml:space="preserve">. </w:t>
      </w:r>
    </w:p>
    <w:p w14:paraId="3D63B2A0"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[89] </w:t>
      </w:r>
      <w:r w:rsidRPr="00BA5C0A">
        <w:rPr>
          <w:rFonts w:ascii="Times" w:hAnsi="Times" w:cs="Times"/>
          <w:color w:val="0D6C9E"/>
          <w:sz w:val="18"/>
          <w:szCs w:val="18"/>
          <w:lang w:val="en-US"/>
        </w:rPr>
        <w:t xml:space="preserve">Ferenci P, Bernstein D, Lalezari J, Cohen D, Luo Y, Cooper C, et al. ABT- 450/r-ombitasvir and dasabuvir with or without ribavirin for HCV. </w:t>
      </w:r>
      <w:r w:rsidRPr="003B61EF">
        <w:rPr>
          <w:rFonts w:ascii="Times" w:hAnsi="Times" w:cs="Times"/>
          <w:color w:val="0D6C9E"/>
          <w:sz w:val="18"/>
          <w:szCs w:val="18"/>
          <w:lang w:val="en-US"/>
        </w:rPr>
        <w:t>N Engl J Med 2014;370:1983–1992</w:t>
      </w:r>
      <w:r w:rsidRPr="003B61EF">
        <w:rPr>
          <w:rFonts w:ascii="Times" w:hAnsi="Times" w:cs="Times"/>
          <w:color w:val="000000"/>
          <w:sz w:val="18"/>
          <w:szCs w:val="18"/>
          <w:lang w:val="en-US"/>
        </w:rPr>
        <w:t xml:space="preserve">. </w:t>
      </w:r>
    </w:p>
    <w:p w14:paraId="34C88B27"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[90] </w:t>
      </w:r>
      <w:r w:rsidRPr="00BA5C0A">
        <w:rPr>
          <w:rFonts w:ascii="Times" w:hAnsi="Times" w:cs="Times"/>
          <w:color w:val="0D6C9E"/>
          <w:sz w:val="18"/>
          <w:szCs w:val="18"/>
          <w:lang w:val="en-US"/>
        </w:rPr>
        <w:t xml:space="preserve">Dore GJ, Conway B, Luo Y, Janczewska E, Knysz B, Liu Y, et al. Efficacy and safety of ombitasvir/paritaprevir/r and dasabuvir compared to IFN- containing regimens in genotype 1 HCV patients: the MALACHITE-I/II trials. </w:t>
      </w:r>
      <w:r w:rsidRPr="003B61EF">
        <w:rPr>
          <w:rFonts w:ascii="Times" w:hAnsi="Times" w:cs="Times"/>
          <w:color w:val="0D6C9E"/>
          <w:sz w:val="18"/>
          <w:szCs w:val="18"/>
          <w:lang w:val="en-US"/>
        </w:rPr>
        <w:t>J Hepatol 2016;64:19–28</w:t>
      </w:r>
      <w:r w:rsidRPr="003B61EF">
        <w:rPr>
          <w:rFonts w:ascii="Times" w:hAnsi="Times" w:cs="Times"/>
          <w:color w:val="000000"/>
          <w:sz w:val="18"/>
          <w:szCs w:val="18"/>
          <w:lang w:val="en-US"/>
        </w:rPr>
        <w:t xml:space="preserve">. </w:t>
      </w:r>
    </w:p>
    <w:p w14:paraId="0C8F27A5"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[91] </w:t>
      </w:r>
      <w:r w:rsidRPr="00BA5C0A">
        <w:rPr>
          <w:rFonts w:ascii="Times" w:hAnsi="Times" w:cs="Times"/>
          <w:color w:val="0D6C9E"/>
          <w:sz w:val="18"/>
          <w:szCs w:val="18"/>
          <w:lang w:val="en-US"/>
        </w:rPr>
        <w:t xml:space="preserve">Wyles D, Saag M, Viani RM, Lalezari J, Adeyemi O, Bhatti L, et al. TURQUOISE-I Part 1b: ombitasvir/paritaprevir/ritonavir and dasabuvir with ribavirin for hepatitis C virus infection in HIV-1 coinfected patients on darunavir. </w:t>
      </w:r>
      <w:r w:rsidRPr="003B61EF">
        <w:rPr>
          <w:rFonts w:ascii="Times" w:hAnsi="Times" w:cs="Times"/>
          <w:color w:val="0D6C9E"/>
          <w:sz w:val="18"/>
          <w:szCs w:val="18"/>
          <w:lang w:val="en-US"/>
        </w:rPr>
        <w:t>J Infect Dis 2017;215:599–605</w:t>
      </w:r>
      <w:r w:rsidRPr="003B61EF">
        <w:rPr>
          <w:rFonts w:ascii="Times" w:hAnsi="Times" w:cs="Times"/>
          <w:color w:val="000000"/>
          <w:sz w:val="18"/>
          <w:szCs w:val="18"/>
          <w:lang w:val="en-US"/>
        </w:rPr>
        <w:t xml:space="preserve">. </w:t>
      </w:r>
    </w:p>
    <w:p w14:paraId="6AF09B90"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[92] </w:t>
      </w:r>
      <w:r w:rsidRPr="00BA5C0A">
        <w:rPr>
          <w:rFonts w:ascii="Times" w:hAnsi="Times" w:cs="Times"/>
          <w:color w:val="0D6C9E"/>
          <w:sz w:val="18"/>
          <w:szCs w:val="18"/>
          <w:lang w:val="en-US"/>
        </w:rPr>
        <w:t xml:space="preserve">Welzel TM, Asselah T, Dumas EO, Zeuzem S, Shaw D, Hazzan R, et al. Ombitasvir, paritaprevir, and ritonavir plus dasabuvir for 8 weeks in previously untreated patients with hepatitis C virus genotype 1b infection without cirrhosis (GARNET): a single-arm, open-label, Phase 3b trial. </w:t>
      </w:r>
      <w:r w:rsidRPr="003B61EF">
        <w:rPr>
          <w:rFonts w:ascii="Times" w:hAnsi="Times" w:cs="Times"/>
          <w:color w:val="0D6C9E"/>
          <w:sz w:val="18"/>
          <w:szCs w:val="18"/>
          <w:lang w:val="en-US"/>
        </w:rPr>
        <w:t>Lancet Gastroenterol Hepatol 2017;2:494–500</w:t>
      </w:r>
      <w:r w:rsidRPr="003B61EF">
        <w:rPr>
          <w:rFonts w:ascii="Times" w:hAnsi="Times" w:cs="Times"/>
          <w:color w:val="000000"/>
          <w:sz w:val="18"/>
          <w:szCs w:val="18"/>
          <w:lang w:val="en-US"/>
        </w:rPr>
        <w:t xml:space="preserve">. </w:t>
      </w:r>
    </w:p>
    <w:p w14:paraId="2B8CCD1D"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[93] </w:t>
      </w:r>
      <w:r w:rsidRPr="00BA5C0A">
        <w:rPr>
          <w:rFonts w:ascii="Times" w:hAnsi="Times" w:cs="Times"/>
          <w:color w:val="0D6C9E"/>
          <w:sz w:val="18"/>
          <w:szCs w:val="18"/>
          <w:lang w:val="en-US"/>
        </w:rPr>
        <w:t xml:space="preserve">Andreone P, Colombo MG, Enejosa JV, Koksal I, Ferenci P, Maieron A, et al. ABT-450, ritonavir, ombitasvir, and dasabuvir achieves 97% and 100% sustained virologic response with or without ribavirin in treat- ment-experienced patients with HCV genotype 1b infection. </w:t>
      </w:r>
      <w:r w:rsidRPr="003B61EF">
        <w:rPr>
          <w:rFonts w:ascii="Times" w:hAnsi="Times" w:cs="Times"/>
          <w:color w:val="0D6C9E"/>
          <w:sz w:val="18"/>
          <w:szCs w:val="18"/>
          <w:lang w:val="en-US"/>
        </w:rPr>
        <w:t>Gastroen- terology 2014;147:359–365, e351</w:t>
      </w:r>
      <w:r w:rsidRPr="003B61EF">
        <w:rPr>
          <w:rFonts w:ascii="Times" w:hAnsi="Times" w:cs="Times"/>
          <w:color w:val="000000"/>
          <w:sz w:val="18"/>
          <w:szCs w:val="18"/>
          <w:lang w:val="en-US"/>
        </w:rPr>
        <w:t xml:space="preserve">. </w:t>
      </w:r>
    </w:p>
    <w:p w14:paraId="53A5974B" w14:textId="77777777" w:rsidR="00A74698" w:rsidRPr="00BA5C0A" w:rsidRDefault="00A74698" w:rsidP="00A74698">
      <w:pPr>
        <w:widowControl w:val="0"/>
        <w:autoSpaceDE w:val="0"/>
        <w:autoSpaceDN w:val="0"/>
        <w:adjustRightInd w:val="0"/>
        <w:spacing w:after="240"/>
        <w:ind w:left="426"/>
        <w:contextualSpacing/>
        <w:rPr>
          <w:rFonts w:ascii="Times" w:hAnsi="Times" w:cs="Times"/>
          <w:color w:val="000000"/>
        </w:rPr>
      </w:pPr>
      <w:r w:rsidRPr="00BA5C0A">
        <w:rPr>
          <w:rFonts w:ascii="Times" w:hAnsi="Times" w:cs="Times"/>
          <w:color w:val="000000"/>
          <w:sz w:val="18"/>
          <w:szCs w:val="18"/>
          <w:lang w:val="en-US"/>
        </w:rPr>
        <w:t xml:space="preserve">[94] </w:t>
      </w:r>
      <w:r w:rsidRPr="00BA5C0A">
        <w:rPr>
          <w:rFonts w:ascii="Times" w:hAnsi="Times" w:cs="Times"/>
          <w:color w:val="0D6C9E"/>
          <w:sz w:val="18"/>
          <w:szCs w:val="18"/>
          <w:lang w:val="en-US"/>
        </w:rPr>
        <w:t xml:space="preserve">Agarwal K, Dumas EO, Gaeta GB, Lee S, Streinu-Cercel A, Schott E, et al. Long-term clinical outcomes in HCV genotype 1-infected patients receiving ombitasvir/paritaprevir/ritonavir and dasabuvir ± ribavirin: first interim safety and efficacy results from TOPAZ-I. </w:t>
      </w:r>
      <w:r w:rsidRPr="00BA5C0A">
        <w:rPr>
          <w:rFonts w:ascii="Times" w:hAnsi="Times" w:cs="Times"/>
          <w:color w:val="0D6C9E"/>
          <w:sz w:val="18"/>
          <w:szCs w:val="18"/>
        </w:rPr>
        <w:t>Hepatology 2016;64:427</w:t>
      </w:r>
      <w:r w:rsidRPr="00BA5C0A">
        <w:rPr>
          <w:rFonts w:ascii="Times" w:hAnsi="Times" w:cs="Times"/>
          <w:color w:val="000000"/>
          <w:sz w:val="18"/>
          <w:szCs w:val="18"/>
        </w:rPr>
        <w:t xml:space="preserve">. </w:t>
      </w:r>
    </w:p>
    <w:p w14:paraId="12A9F636"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[95] </w:t>
      </w:r>
      <w:r w:rsidRPr="00BA5C0A">
        <w:rPr>
          <w:rFonts w:ascii="Times" w:hAnsi="Times" w:cs="Times"/>
          <w:color w:val="0D6C9E"/>
          <w:sz w:val="18"/>
          <w:szCs w:val="18"/>
          <w:lang w:val="en-US"/>
        </w:rPr>
        <w:t xml:space="preserve">Welzel TM, Isakov V, Trinh R, Streinu-Cercel A, Dufour JF, Marinho RT, et al. Efficacy and safety of ombitasvir, paritaprevir/ritonavir and dasabuvir without ribavirin in patients with HCV genotype 1b with or without compensated cirrhosis: pooled analysis across 5 clinical trials. </w:t>
      </w:r>
      <w:r w:rsidRPr="003B61EF">
        <w:rPr>
          <w:rFonts w:ascii="Times" w:hAnsi="Times" w:cs="Times"/>
          <w:color w:val="0D6C9E"/>
          <w:sz w:val="18"/>
          <w:szCs w:val="18"/>
          <w:lang w:val="en-US"/>
        </w:rPr>
        <w:t>J Hepatol 2016;64:S824</w:t>
      </w:r>
      <w:r w:rsidRPr="003B61EF">
        <w:rPr>
          <w:rFonts w:ascii="Times" w:hAnsi="Times" w:cs="Times"/>
          <w:color w:val="000000"/>
          <w:sz w:val="18"/>
          <w:szCs w:val="18"/>
          <w:lang w:val="en-US"/>
        </w:rPr>
        <w:t xml:space="preserve">. </w:t>
      </w:r>
    </w:p>
    <w:p w14:paraId="1D57208E"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[96] </w:t>
      </w:r>
      <w:r w:rsidRPr="00BA5C0A">
        <w:rPr>
          <w:rFonts w:ascii="Times" w:hAnsi="Times" w:cs="Times"/>
          <w:color w:val="0D6C9E"/>
          <w:sz w:val="18"/>
          <w:szCs w:val="18"/>
          <w:lang w:val="en-US"/>
        </w:rPr>
        <w:t xml:space="preserve">Wei L, Hou J, Luo Y, Heo J, Chu CJ, Duan ZP, et al. ONYX-I: safety and efficacy of ombitasvir/paritaprevir/ritonavir and dasabuvir in Asian adults with genotype 1b chronic hepatitis C virus (HCV) infection. </w:t>
      </w:r>
      <w:r w:rsidRPr="003B61EF">
        <w:rPr>
          <w:rFonts w:ascii="Times" w:hAnsi="Times" w:cs="Times"/>
          <w:color w:val="0D6C9E"/>
          <w:sz w:val="18"/>
          <w:szCs w:val="18"/>
          <w:lang w:val="en-US"/>
        </w:rPr>
        <w:t>A randomized, double-blind, placebo-controlled study. Hepatology 2016;64:432A</w:t>
      </w:r>
      <w:r w:rsidRPr="003B61EF">
        <w:rPr>
          <w:rFonts w:ascii="Times" w:hAnsi="Times" w:cs="Times"/>
          <w:color w:val="000000"/>
          <w:sz w:val="18"/>
          <w:szCs w:val="18"/>
          <w:lang w:val="en-US"/>
        </w:rPr>
        <w:t xml:space="preserve">. </w:t>
      </w:r>
    </w:p>
    <w:p w14:paraId="32889E23"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[97] </w:t>
      </w:r>
      <w:r w:rsidRPr="00BA5C0A">
        <w:rPr>
          <w:rFonts w:ascii="Times" w:hAnsi="Times" w:cs="Times"/>
          <w:color w:val="0D6C9E"/>
          <w:sz w:val="18"/>
          <w:szCs w:val="18"/>
          <w:lang w:val="en-US"/>
        </w:rPr>
        <w:t xml:space="preserve">Feld JJ, Moreno C, Trinh R, Tam E, Bourgeois S, Horsmans Y, et al. Sustained virologic response of 100% in HCV genotype 1b patients with cirrhosis receiving ombitasvir/paritaprevir/r and dasabuvir for 12weeks. </w:t>
      </w:r>
      <w:r w:rsidRPr="003B61EF">
        <w:rPr>
          <w:rFonts w:ascii="Times" w:hAnsi="Times" w:cs="Times"/>
          <w:color w:val="0D6C9E"/>
          <w:sz w:val="18"/>
          <w:szCs w:val="18"/>
          <w:lang w:val="en-US"/>
        </w:rPr>
        <w:t>J Hepatol 2016;64:301–307</w:t>
      </w:r>
      <w:r w:rsidRPr="003B61EF">
        <w:rPr>
          <w:rFonts w:ascii="Times" w:hAnsi="Times" w:cs="Times"/>
          <w:color w:val="000000"/>
          <w:sz w:val="18"/>
          <w:szCs w:val="18"/>
          <w:lang w:val="en-US"/>
        </w:rPr>
        <w:t xml:space="preserve">. </w:t>
      </w:r>
    </w:p>
    <w:p w14:paraId="3E27612F" w14:textId="77777777" w:rsidR="00A74698" w:rsidRPr="00BA5C0A"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[98] </w:t>
      </w:r>
      <w:r w:rsidRPr="00BA5C0A">
        <w:rPr>
          <w:rFonts w:ascii="Times" w:hAnsi="Times" w:cs="Times"/>
          <w:color w:val="0D6C9E"/>
          <w:sz w:val="18"/>
          <w:szCs w:val="18"/>
          <w:lang w:val="en-US"/>
        </w:rPr>
        <w:t>Foster GR, Afdhal N, Roberts SK, Brau N, Gane EJ, Pianko S, et al. Sofosbuvir and velpatasvir for HCV genotype 2 and 3 infection. N Engl J Med 2015;373:2608–2617</w:t>
      </w:r>
      <w:r w:rsidRPr="00BA5C0A">
        <w:rPr>
          <w:rFonts w:ascii="Times" w:hAnsi="Times" w:cs="Times"/>
          <w:color w:val="000000"/>
          <w:sz w:val="18"/>
          <w:szCs w:val="18"/>
          <w:lang w:val="en-US"/>
        </w:rPr>
        <w:t xml:space="preserve">. </w:t>
      </w:r>
    </w:p>
    <w:p w14:paraId="07C811F5" w14:textId="77777777"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[99] </w:t>
      </w:r>
      <w:r w:rsidRPr="00BA5C0A">
        <w:rPr>
          <w:rFonts w:ascii="Times" w:hAnsi="Times" w:cs="Times"/>
          <w:color w:val="0D6C9E"/>
          <w:sz w:val="18"/>
          <w:szCs w:val="18"/>
          <w:lang w:val="en-US"/>
        </w:rPr>
        <w:t xml:space="preserve">Kwo PY, Poordad F, Asatryan A, Wang S, Wyles DL, Hassanein T, et al. Glecaprevir and pibrentasvir yield high response rates in patients with HCV genotype 1–6 without cirrhosis. </w:t>
      </w:r>
      <w:r w:rsidRPr="003B61EF">
        <w:rPr>
          <w:rFonts w:ascii="Times" w:hAnsi="Times" w:cs="Times"/>
          <w:color w:val="0D6C9E"/>
          <w:sz w:val="18"/>
          <w:szCs w:val="18"/>
          <w:lang w:val="en-US"/>
        </w:rPr>
        <w:t>J Hepatol 2017;67:263–271</w:t>
      </w:r>
      <w:r w:rsidRPr="003B61EF">
        <w:rPr>
          <w:rFonts w:ascii="Times" w:hAnsi="Times" w:cs="Times"/>
          <w:color w:val="000000"/>
          <w:sz w:val="18"/>
          <w:szCs w:val="18"/>
          <w:lang w:val="en-US"/>
        </w:rPr>
        <w:t xml:space="preserve">. </w:t>
      </w:r>
    </w:p>
    <w:p w14:paraId="21659B3A" w14:textId="77777777" w:rsidR="00A74698" w:rsidRPr="00BA5C0A"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rPr>
      </w:pPr>
      <w:r w:rsidRPr="00BA5C0A">
        <w:rPr>
          <w:rFonts w:ascii="Times" w:hAnsi="Times" w:cs="Times"/>
          <w:color w:val="000000"/>
          <w:sz w:val="18"/>
          <w:szCs w:val="18"/>
          <w:lang w:val="en-US"/>
        </w:rPr>
        <w:t>[100]  </w:t>
      </w:r>
      <w:r w:rsidRPr="00BA5C0A">
        <w:rPr>
          <w:rFonts w:ascii="Times" w:hAnsi="Times" w:cs="Times"/>
          <w:color w:val="0D6C9E"/>
          <w:sz w:val="18"/>
          <w:szCs w:val="18"/>
          <w:lang w:val="en-US"/>
        </w:rPr>
        <w:t xml:space="preserve">Toyoda H, Chayama K, Suzuki F, Sato K, Atarashi T, Watanabe T, et al. Efficacy and safety of glecaprevir/pibrentasvir in Japanese patients with chronic genotype 2 hepatitis C virus infection. </w:t>
      </w:r>
      <w:r w:rsidRPr="00BA5C0A">
        <w:rPr>
          <w:rFonts w:ascii="Times" w:hAnsi="Times" w:cs="Times"/>
          <w:color w:val="0D6C9E"/>
          <w:sz w:val="18"/>
          <w:szCs w:val="18"/>
        </w:rPr>
        <w:t>Hepatology 2018, in press</w:t>
      </w:r>
      <w:r w:rsidRPr="00BA5C0A">
        <w:rPr>
          <w:rFonts w:ascii="Times" w:hAnsi="Times" w:cs="Times"/>
          <w:color w:val="000000"/>
          <w:sz w:val="18"/>
          <w:szCs w:val="18"/>
        </w:rPr>
        <w:t xml:space="preserve">. </w:t>
      </w:r>
      <w:r w:rsidRPr="00BA5C0A">
        <w:rPr>
          <w:rFonts w:ascii="MS Mincho" w:eastAsia="MS Mincho" w:hAnsi="MS Mincho" w:cs="MS Mincho"/>
          <w:color w:val="000000"/>
        </w:rPr>
        <w:t> </w:t>
      </w:r>
    </w:p>
    <w:p w14:paraId="5200D4E3" w14:textId="77777777" w:rsidR="00A74698" w:rsidRPr="00BA5C0A"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rPr>
      </w:pPr>
      <w:r w:rsidRPr="00BA5C0A">
        <w:rPr>
          <w:rFonts w:ascii="Times" w:hAnsi="Times" w:cs="Times"/>
          <w:color w:val="000000"/>
          <w:sz w:val="18"/>
          <w:szCs w:val="18"/>
          <w:lang w:val="en-US"/>
        </w:rPr>
        <w:t>[101]  </w:t>
      </w:r>
      <w:r w:rsidRPr="00BA5C0A">
        <w:rPr>
          <w:rFonts w:ascii="Times" w:hAnsi="Times" w:cs="Times"/>
          <w:color w:val="0D6C9E"/>
          <w:sz w:val="18"/>
          <w:szCs w:val="18"/>
          <w:lang w:val="en-US"/>
        </w:rPr>
        <w:t xml:space="preserve">Rockstroh J, Lacombe K, Viani RM, Orkin C, Wyles D, Luetkemeyer A, et al. Efficacy and safety of glecaprevir/pibrentasvir in patients co- infected with hepatitis C virus and human immunodeficiency virus-1: the EXPEDITION-2 study. </w:t>
      </w:r>
      <w:r w:rsidRPr="00BA5C0A">
        <w:rPr>
          <w:rFonts w:ascii="Times" w:hAnsi="Times" w:cs="Times"/>
          <w:color w:val="0D6C9E"/>
          <w:sz w:val="18"/>
          <w:szCs w:val="18"/>
        </w:rPr>
        <w:t>Clin Infect Dis 2018, in press</w:t>
      </w:r>
      <w:r w:rsidRPr="00BA5C0A">
        <w:rPr>
          <w:rFonts w:ascii="Times" w:hAnsi="Times" w:cs="Times"/>
          <w:color w:val="000000"/>
          <w:sz w:val="18"/>
          <w:szCs w:val="18"/>
        </w:rPr>
        <w:t xml:space="preserve">. </w:t>
      </w:r>
      <w:r w:rsidRPr="00BA5C0A">
        <w:rPr>
          <w:rFonts w:ascii="MS Mincho" w:eastAsia="MS Mincho" w:hAnsi="MS Mincho" w:cs="MS Mincho"/>
          <w:color w:val="000000"/>
        </w:rPr>
        <w:t> </w:t>
      </w:r>
    </w:p>
    <w:p w14:paraId="04F3F9FC"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[102]  </w:t>
      </w:r>
      <w:r w:rsidRPr="00BA5C0A">
        <w:rPr>
          <w:rFonts w:ascii="Times" w:hAnsi="Times" w:cs="Times"/>
          <w:color w:val="0D6C9E"/>
          <w:sz w:val="18"/>
          <w:szCs w:val="18"/>
          <w:lang w:val="en-US"/>
        </w:rPr>
        <w:t xml:space="preserve">Foster GR, Gane E, Asatryam A, Asselah T, Ruane PJ, Pol S, et al. ENDURANCE-3: safety and efficacy of glecaprevir/pibrentasvir com- pared to sofosbuvir plus daclatasvir in treatment-naïve HCV genotype 3-infected patients without cirrhosis. </w:t>
      </w:r>
      <w:r w:rsidRPr="003B61EF">
        <w:rPr>
          <w:rFonts w:ascii="Times" w:hAnsi="Times" w:cs="Times"/>
          <w:color w:val="0D6C9E"/>
          <w:sz w:val="18"/>
          <w:szCs w:val="18"/>
          <w:lang w:val="en-US"/>
        </w:rPr>
        <w:t>J Hepatol 2017;66:S33</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1EC9F325"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[103]  </w:t>
      </w:r>
      <w:r w:rsidRPr="00BA5C0A">
        <w:rPr>
          <w:rFonts w:ascii="Times" w:hAnsi="Times" w:cs="Times"/>
          <w:color w:val="0D6C9E"/>
          <w:sz w:val="18"/>
          <w:szCs w:val="18"/>
          <w:lang w:val="en-US"/>
        </w:rPr>
        <w:t xml:space="preserve">Flamm SL, Wyles DL, Wang S, Mutimer DJ, Rockstroh JK, Horsmans YJ, et al. Efficacy and safety of glecaprevir/pibrentasvir for 8 or 12 weeks in treatment-naïve patients with chronic HCV genotype 3: an integrated Phase 2/3 analysis. </w:t>
      </w:r>
      <w:r w:rsidRPr="003B61EF">
        <w:rPr>
          <w:rFonts w:ascii="Times" w:hAnsi="Times" w:cs="Times"/>
          <w:color w:val="0D6C9E"/>
          <w:sz w:val="18"/>
          <w:szCs w:val="18"/>
          <w:lang w:val="en-US"/>
        </w:rPr>
        <w:t>Hepatology 2017;66:35A</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44818791" w14:textId="77777777" w:rsidR="00A74698" w:rsidRPr="00BA5C0A"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rPr>
      </w:pPr>
      <w:r w:rsidRPr="00BA5C0A">
        <w:rPr>
          <w:rFonts w:ascii="Times" w:hAnsi="Times" w:cs="Times"/>
          <w:color w:val="000000"/>
          <w:sz w:val="18"/>
          <w:szCs w:val="18"/>
          <w:lang w:val="en-US"/>
        </w:rPr>
        <w:t>[104]  </w:t>
      </w:r>
      <w:r w:rsidRPr="00BA5C0A">
        <w:rPr>
          <w:rFonts w:ascii="Times" w:hAnsi="Times" w:cs="Times"/>
          <w:color w:val="0D6C9E"/>
          <w:sz w:val="18"/>
          <w:szCs w:val="18"/>
          <w:lang w:val="en-US"/>
        </w:rPr>
        <w:t xml:space="preserve">Wyles D, Poordad F, Wang S, Alric L, Felizarta F, Kwo PY, et al. Glecaprevir/pibrentasvir for hepatitis C virus genotype 3 patients with cirrhosis and/or prior treatment experience: a partially randomized Phase 3 clinical trial. </w:t>
      </w:r>
      <w:r w:rsidRPr="00BA5C0A">
        <w:rPr>
          <w:rFonts w:ascii="Times" w:hAnsi="Times" w:cs="Times"/>
          <w:color w:val="0D6C9E"/>
          <w:sz w:val="18"/>
          <w:szCs w:val="18"/>
        </w:rPr>
        <w:t>Hepatology 2018, in press</w:t>
      </w:r>
      <w:r w:rsidRPr="00BA5C0A">
        <w:rPr>
          <w:rFonts w:ascii="Times" w:hAnsi="Times" w:cs="Times"/>
          <w:color w:val="000000"/>
          <w:sz w:val="18"/>
          <w:szCs w:val="18"/>
        </w:rPr>
        <w:t xml:space="preserve">. </w:t>
      </w:r>
      <w:r w:rsidRPr="00BA5C0A">
        <w:rPr>
          <w:rFonts w:ascii="MS Mincho" w:eastAsia="MS Mincho" w:hAnsi="MS Mincho" w:cs="MS Mincho"/>
          <w:color w:val="000000"/>
        </w:rPr>
        <w:t> </w:t>
      </w:r>
    </w:p>
    <w:p w14:paraId="383A9733"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80595E">
        <w:rPr>
          <w:rFonts w:ascii="Times" w:hAnsi="Times" w:cs="Times"/>
          <w:color w:val="000000"/>
          <w:sz w:val="18"/>
          <w:szCs w:val="18"/>
          <w:lang w:val="de-DE"/>
        </w:rPr>
        <w:t>[105]  </w:t>
      </w:r>
      <w:r w:rsidRPr="0080595E">
        <w:rPr>
          <w:rFonts w:ascii="Times" w:hAnsi="Times" w:cs="Times"/>
          <w:color w:val="0D6C9E"/>
          <w:sz w:val="18"/>
          <w:szCs w:val="18"/>
          <w:lang w:val="de-DE"/>
        </w:rPr>
        <w:t xml:space="preserve">Krishnan P, Schnell G, Tripathi R, Ng T, Reisch T, Beyer J, et al. </w:t>
      </w:r>
      <w:r w:rsidRPr="00BA5C0A">
        <w:rPr>
          <w:rFonts w:ascii="Times" w:hAnsi="Times" w:cs="Times"/>
          <w:color w:val="0D6C9E"/>
          <w:sz w:val="18"/>
          <w:szCs w:val="18"/>
          <w:lang w:val="en-US"/>
        </w:rPr>
        <w:t xml:space="preserve">Pooled resistance analysis in HCV genotype 1-6-infected patients treated with glecaprevir/pibrentasvir in Phase 2 and 3 clinical trials. </w:t>
      </w:r>
      <w:r w:rsidRPr="003B61EF">
        <w:rPr>
          <w:rFonts w:ascii="Times" w:hAnsi="Times" w:cs="Times"/>
          <w:color w:val="0D6C9E"/>
          <w:sz w:val="18"/>
          <w:szCs w:val="18"/>
          <w:lang w:val="en-US"/>
        </w:rPr>
        <w:t>J Hepatol 2017;66:S500</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3AC74AFB"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[106]  </w:t>
      </w:r>
      <w:r w:rsidRPr="00BA5C0A">
        <w:rPr>
          <w:rFonts w:ascii="Times" w:hAnsi="Times" w:cs="Times"/>
          <w:color w:val="0D6C9E"/>
          <w:sz w:val="18"/>
          <w:szCs w:val="18"/>
          <w:lang w:val="en-US"/>
        </w:rPr>
        <w:t xml:space="preserve">Asselah T, Kowdley KV, Zadeikis N, Wang S, Hassanein T, Horsmans Y, et al. Efficacy of glecaprevir/pibrentasvir for 8 or 12 weeks in patients with hepatitis C virus genotype 2, 4, 5, or 6 infection without cirrhosis. </w:t>
      </w:r>
      <w:r w:rsidRPr="003B61EF">
        <w:rPr>
          <w:rFonts w:ascii="Times" w:hAnsi="Times" w:cs="Times"/>
          <w:color w:val="0D6C9E"/>
          <w:sz w:val="18"/>
          <w:szCs w:val="18"/>
          <w:lang w:val="en-US"/>
        </w:rPr>
        <w:t>Clin Gastroenterol Hepatol 2018;16:417–426</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0A9455A8"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[107]  </w:t>
      </w:r>
      <w:r w:rsidRPr="00BA5C0A">
        <w:rPr>
          <w:rFonts w:ascii="Times" w:hAnsi="Times" w:cs="Times"/>
          <w:color w:val="0D6C9E"/>
          <w:sz w:val="18"/>
          <w:szCs w:val="18"/>
          <w:lang w:val="en-US"/>
        </w:rPr>
        <w:t xml:space="preserve">Kohli A, Kapoor R, Sims Z, Nelson A, Sidharthan S, Lam B, et al. Ledipasvir and sofosbuvir for hepatitis C genotype 4: a proof-of- concept, single-centre, open-label Phase 2a cohort study. </w:t>
      </w:r>
      <w:r w:rsidRPr="003B61EF">
        <w:rPr>
          <w:rFonts w:ascii="Times" w:hAnsi="Times" w:cs="Times"/>
          <w:color w:val="0D6C9E"/>
          <w:sz w:val="18"/>
          <w:szCs w:val="18"/>
          <w:lang w:val="en-US"/>
        </w:rPr>
        <w:t>Lancet Infect Dis 2015;15:1049–1054</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77A6B2AB"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[108]  </w:t>
      </w:r>
      <w:r w:rsidRPr="00BA5C0A">
        <w:rPr>
          <w:rFonts w:ascii="Times" w:hAnsi="Times" w:cs="Times"/>
          <w:color w:val="0D6C9E"/>
          <w:sz w:val="18"/>
          <w:szCs w:val="18"/>
          <w:lang w:val="en-US"/>
        </w:rPr>
        <w:t xml:space="preserve">Abergel A, Metivier S, Samuel D, Jiang D, Kersey K, Pang PS, et al. Ledipasvir plus sofosbuvir for 12 weeks in patients </w:t>
      </w:r>
      <w:r w:rsidRPr="00BA5C0A">
        <w:rPr>
          <w:rFonts w:ascii="Times" w:hAnsi="Times" w:cs="Times"/>
          <w:color w:val="0D6C9E"/>
          <w:sz w:val="18"/>
          <w:szCs w:val="18"/>
          <w:lang w:val="en-US"/>
        </w:rPr>
        <w:lastRenderedPageBreak/>
        <w:t xml:space="preserve">with hepatitis C genotype 4 infection. </w:t>
      </w:r>
      <w:r w:rsidRPr="003B61EF">
        <w:rPr>
          <w:rFonts w:ascii="Times" w:hAnsi="Times" w:cs="Times"/>
          <w:color w:val="0D6C9E"/>
          <w:sz w:val="18"/>
          <w:szCs w:val="18"/>
          <w:lang w:val="en-US"/>
        </w:rPr>
        <w:t>Hepatology 2016;64:1049–1056</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51214381" w14:textId="77777777" w:rsidR="00A74698" w:rsidRPr="0080595E"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de-DE"/>
        </w:rPr>
      </w:pPr>
      <w:r w:rsidRPr="00BA5C0A">
        <w:rPr>
          <w:rFonts w:ascii="Times" w:hAnsi="Times" w:cs="Times"/>
          <w:color w:val="000000"/>
          <w:sz w:val="18"/>
          <w:szCs w:val="18"/>
          <w:lang w:val="en-US"/>
        </w:rPr>
        <w:t>[109]  </w:t>
      </w:r>
      <w:r w:rsidRPr="00BA5C0A">
        <w:rPr>
          <w:rFonts w:ascii="Times" w:hAnsi="Times" w:cs="Times"/>
          <w:color w:val="0D6C9E"/>
          <w:sz w:val="18"/>
          <w:szCs w:val="18"/>
          <w:lang w:val="en-US"/>
        </w:rPr>
        <w:t xml:space="preserve">Dore GJ, Altice F, Litwin AH, Dalgard O, Gane EJ, Shibolet O, et al. Elbasvir-grazoprevir to treat hepatitis C virus infection in persons receiving opioid agonist therapy: a randomized trial. </w:t>
      </w:r>
      <w:r w:rsidRPr="0080595E">
        <w:rPr>
          <w:rFonts w:ascii="Times" w:hAnsi="Times" w:cs="Times"/>
          <w:color w:val="0D6C9E"/>
          <w:sz w:val="18"/>
          <w:szCs w:val="18"/>
          <w:lang w:val="de-DE"/>
        </w:rPr>
        <w:t>Ann Intern Med 2016;165:625–634</w:t>
      </w:r>
      <w:r w:rsidRPr="0080595E">
        <w:rPr>
          <w:rFonts w:ascii="Times" w:hAnsi="Times" w:cs="Times"/>
          <w:color w:val="000000"/>
          <w:sz w:val="18"/>
          <w:szCs w:val="18"/>
          <w:lang w:val="de-DE"/>
        </w:rPr>
        <w:t xml:space="preserve">. </w:t>
      </w:r>
      <w:r w:rsidRPr="0080595E">
        <w:rPr>
          <w:rFonts w:ascii="MS Mincho" w:eastAsia="MS Mincho" w:hAnsi="MS Mincho" w:cs="MS Mincho"/>
          <w:color w:val="000000"/>
          <w:lang w:val="de-DE"/>
        </w:rPr>
        <w:t> </w:t>
      </w:r>
    </w:p>
    <w:p w14:paraId="04278F99"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80595E">
        <w:rPr>
          <w:rFonts w:ascii="Times" w:hAnsi="Times" w:cs="Times"/>
          <w:color w:val="000000"/>
          <w:sz w:val="18"/>
          <w:szCs w:val="18"/>
          <w:lang w:val="de-DE"/>
        </w:rPr>
        <w:t>[110]  </w:t>
      </w:r>
      <w:r w:rsidRPr="0080595E">
        <w:rPr>
          <w:rFonts w:ascii="Times" w:hAnsi="Times" w:cs="Times"/>
          <w:color w:val="0D6C9E"/>
          <w:sz w:val="18"/>
          <w:szCs w:val="18"/>
          <w:lang w:val="de-DE"/>
        </w:rPr>
        <w:t xml:space="preserve">Abergel A, Asselah T, Metivier S, Kersey K, Jiang D, Mo H, et al. </w:t>
      </w:r>
      <w:r w:rsidRPr="00BA5C0A">
        <w:rPr>
          <w:rFonts w:ascii="Times" w:hAnsi="Times" w:cs="Times"/>
          <w:color w:val="0D6C9E"/>
          <w:sz w:val="18"/>
          <w:szCs w:val="18"/>
          <w:lang w:val="en-US"/>
        </w:rPr>
        <w:t xml:space="preserve">Ledipasvir-sofosbuvir in patients with hepatitis C virus genotype 5 infection: an open-label, multicentre, single-arm, phase 2 study. </w:t>
      </w:r>
      <w:r w:rsidRPr="003B61EF">
        <w:rPr>
          <w:rFonts w:ascii="Times" w:hAnsi="Times" w:cs="Times"/>
          <w:color w:val="0D6C9E"/>
          <w:sz w:val="18"/>
          <w:szCs w:val="18"/>
          <w:lang w:val="en-US"/>
        </w:rPr>
        <w:t>Lancet Infect Dis 2016;16:459–464</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7CBC8AFD" w14:textId="77777777" w:rsidR="00A74698" w:rsidRPr="0080595E"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de-DE"/>
        </w:rPr>
      </w:pPr>
      <w:r w:rsidRPr="00BA5C0A">
        <w:rPr>
          <w:rFonts w:ascii="Times" w:hAnsi="Times" w:cs="Times"/>
          <w:color w:val="000000"/>
          <w:sz w:val="18"/>
          <w:szCs w:val="18"/>
          <w:lang w:val="en-US"/>
        </w:rPr>
        <w:t>[111]  </w:t>
      </w:r>
      <w:r w:rsidRPr="00BA5C0A">
        <w:rPr>
          <w:rFonts w:ascii="Times" w:hAnsi="Times" w:cs="Times"/>
          <w:color w:val="0D6C9E"/>
          <w:sz w:val="18"/>
          <w:szCs w:val="18"/>
          <w:lang w:val="en-US"/>
        </w:rPr>
        <w:t xml:space="preserve">Lim SG, Mohamed R, Le P, Tee HP, McNabb BL, Lu S, et al. Safety and efficacy of sofosbuvir/velpatasvir in a genotype 1–6 HCV-infected population from Singapore, Malaysia, Thailand, and Vietnam: results from a Phase 3 clinical trial. </w:t>
      </w:r>
      <w:r w:rsidRPr="0080595E">
        <w:rPr>
          <w:rFonts w:ascii="Times" w:hAnsi="Times" w:cs="Times"/>
          <w:color w:val="0D6C9E"/>
          <w:sz w:val="18"/>
          <w:szCs w:val="18"/>
          <w:lang w:val="de-DE"/>
        </w:rPr>
        <w:t>Hepatology 2017;66:586A</w:t>
      </w:r>
      <w:r w:rsidRPr="0080595E">
        <w:rPr>
          <w:rFonts w:ascii="Times" w:hAnsi="Times" w:cs="Times"/>
          <w:color w:val="000000"/>
          <w:sz w:val="18"/>
          <w:szCs w:val="18"/>
          <w:lang w:val="de-DE"/>
        </w:rPr>
        <w:t xml:space="preserve">. </w:t>
      </w:r>
      <w:r w:rsidRPr="0080595E">
        <w:rPr>
          <w:rFonts w:ascii="MS Mincho" w:eastAsia="MS Mincho" w:hAnsi="MS Mincho" w:cs="MS Mincho"/>
          <w:color w:val="000000"/>
          <w:lang w:val="de-DE"/>
        </w:rPr>
        <w:t> </w:t>
      </w:r>
    </w:p>
    <w:p w14:paraId="682D04C4"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80595E">
        <w:rPr>
          <w:rFonts w:ascii="Times" w:hAnsi="Times" w:cs="Times"/>
          <w:color w:val="000000"/>
          <w:sz w:val="18"/>
          <w:szCs w:val="18"/>
          <w:lang w:val="de-DE"/>
        </w:rPr>
        <w:t>[112]  </w:t>
      </w:r>
      <w:r w:rsidRPr="0080595E">
        <w:rPr>
          <w:rFonts w:ascii="Times" w:hAnsi="Times" w:cs="Times"/>
          <w:color w:val="0D6C9E"/>
          <w:sz w:val="18"/>
          <w:szCs w:val="18"/>
          <w:lang w:val="de-DE"/>
        </w:rPr>
        <w:t xml:space="preserve">Gane EJ, Hyland RH, An D, Svarovskaia E, Pang PS, Brainard D, et al. </w:t>
      </w:r>
      <w:r w:rsidRPr="00BA5C0A">
        <w:rPr>
          <w:rFonts w:ascii="Times" w:hAnsi="Times" w:cs="Times"/>
          <w:color w:val="0D6C9E"/>
          <w:sz w:val="18"/>
          <w:szCs w:val="18"/>
          <w:lang w:val="en-US"/>
        </w:rPr>
        <w:t xml:space="preserve">Efficacy of ledipasvir and sofosbuvir, with or without ribavirin, for 12 weeks in patients with HCV genotype 3 or 6 infection. </w:t>
      </w:r>
      <w:r w:rsidRPr="003B61EF">
        <w:rPr>
          <w:rFonts w:ascii="Times" w:hAnsi="Times" w:cs="Times"/>
          <w:color w:val="0D6C9E"/>
          <w:sz w:val="18"/>
          <w:szCs w:val="18"/>
          <w:lang w:val="en-US"/>
        </w:rPr>
        <w:t>Gastroenterology 2015;149:1454–1461, e1451</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221CD2F5" w14:textId="77777777" w:rsidR="00A74698" w:rsidRPr="00BA5C0A"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[113]  </w:t>
      </w:r>
      <w:r w:rsidRPr="00BA5C0A">
        <w:rPr>
          <w:rFonts w:ascii="Times" w:hAnsi="Times" w:cs="Times"/>
          <w:color w:val="0D6C9E"/>
          <w:sz w:val="18"/>
          <w:szCs w:val="18"/>
          <w:lang w:val="en-US"/>
        </w:rPr>
        <w:t>Freeman JA, Hill A. The use of generic medications for hepatitis C. Liver Int 2016;36:929–932</w:t>
      </w:r>
      <w:r w:rsidRPr="00BA5C0A">
        <w:rPr>
          <w:rFonts w:ascii="Times" w:hAnsi="Times" w:cs="Times"/>
          <w:color w:val="000000"/>
          <w:sz w:val="18"/>
          <w:szCs w:val="18"/>
          <w:lang w:val="en-US"/>
        </w:rPr>
        <w:t xml:space="preserve">. </w:t>
      </w:r>
      <w:r w:rsidRPr="00BA5C0A">
        <w:rPr>
          <w:rFonts w:ascii="MS Mincho" w:eastAsia="MS Mincho" w:hAnsi="MS Mincho" w:cs="MS Mincho"/>
          <w:color w:val="000000"/>
          <w:lang w:val="en-US"/>
        </w:rPr>
        <w:t> </w:t>
      </w:r>
    </w:p>
    <w:p w14:paraId="46D5CF3B"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[114]  </w:t>
      </w:r>
      <w:r w:rsidRPr="00BA5C0A">
        <w:rPr>
          <w:rFonts w:ascii="Times" w:hAnsi="Times" w:cs="Times"/>
          <w:color w:val="0D6C9E"/>
          <w:sz w:val="18"/>
          <w:szCs w:val="18"/>
          <w:lang w:val="en-US"/>
        </w:rPr>
        <w:t xml:space="preserve">Garcia-Retortillo M, Forns X, Feliu A, Moitinho E, Costa J, Navasa M, et al. Hepatitis C virus kinetics during and immediately after liver transplantation. </w:t>
      </w:r>
      <w:r w:rsidRPr="003B61EF">
        <w:rPr>
          <w:rFonts w:ascii="Times" w:hAnsi="Times" w:cs="Times"/>
          <w:color w:val="0D6C9E"/>
          <w:sz w:val="18"/>
          <w:szCs w:val="18"/>
          <w:lang w:val="en-US"/>
        </w:rPr>
        <w:t>Hepatology 2002;35:680–687</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137BD630" w14:textId="77777777" w:rsidR="00A74698" w:rsidRPr="0080595E"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de-DE"/>
        </w:rPr>
      </w:pPr>
      <w:r w:rsidRPr="00BA5C0A">
        <w:rPr>
          <w:rFonts w:ascii="Times" w:hAnsi="Times" w:cs="Times"/>
          <w:color w:val="000000"/>
          <w:sz w:val="18"/>
          <w:szCs w:val="18"/>
          <w:lang w:val="en-US"/>
        </w:rPr>
        <w:t>[115]  </w:t>
      </w:r>
      <w:r w:rsidRPr="00BA5C0A">
        <w:rPr>
          <w:rFonts w:ascii="Times" w:hAnsi="Times" w:cs="Times"/>
          <w:color w:val="0D6C9E"/>
          <w:sz w:val="18"/>
          <w:szCs w:val="18"/>
          <w:lang w:val="en-US"/>
        </w:rPr>
        <w:t xml:space="preserve">Gane E, Pilmore H. Management of chronic viral hepatitis before and after renal transplantation. </w:t>
      </w:r>
      <w:r w:rsidRPr="0080595E">
        <w:rPr>
          <w:rFonts w:ascii="Times" w:hAnsi="Times" w:cs="Times"/>
          <w:color w:val="0D6C9E"/>
          <w:sz w:val="18"/>
          <w:szCs w:val="18"/>
          <w:lang w:val="de-DE"/>
        </w:rPr>
        <w:t>Transplantation 2002;74:427–437</w:t>
      </w:r>
      <w:r w:rsidRPr="0080595E">
        <w:rPr>
          <w:rFonts w:ascii="Times" w:hAnsi="Times" w:cs="Times"/>
          <w:color w:val="000000"/>
          <w:sz w:val="18"/>
          <w:szCs w:val="18"/>
          <w:lang w:val="de-DE"/>
        </w:rPr>
        <w:t xml:space="preserve">. </w:t>
      </w:r>
      <w:r w:rsidRPr="0080595E">
        <w:rPr>
          <w:rFonts w:ascii="MS Mincho" w:eastAsia="MS Mincho" w:hAnsi="MS Mincho" w:cs="MS Mincho"/>
          <w:color w:val="000000"/>
          <w:lang w:val="de-DE"/>
        </w:rPr>
        <w:t> </w:t>
      </w:r>
    </w:p>
    <w:p w14:paraId="10D4BB6B"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80595E">
        <w:rPr>
          <w:rFonts w:ascii="Times" w:hAnsi="Times" w:cs="Times"/>
          <w:color w:val="000000"/>
          <w:sz w:val="18"/>
          <w:szCs w:val="18"/>
          <w:lang w:val="de-DE"/>
        </w:rPr>
        <w:t>[116]  </w:t>
      </w:r>
      <w:r w:rsidRPr="0080595E">
        <w:rPr>
          <w:rFonts w:ascii="Times" w:hAnsi="Times" w:cs="Times"/>
          <w:color w:val="0D6C9E"/>
          <w:sz w:val="18"/>
          <w:szCs w:val="18"/>
          <w:lang w:val="de-DE"/>
        </w:rPr>
        <w:t xml:space="preserve">Wedemeyer H, Craxi A, Zuckerman E, Dieterich D, Flisiak R, Roberts SK, et al. </w:t>
      </w:r>
      <w:r w:rsidRPr="00BA5C0A">
        <w:rPr>
          <w:rFonts w:ascii="Times" w:hAnsi="Times" w:cs="Times"/>
          <w:color w:val="0D6C9E"/>
          <w:sz w:val="18"/>
          <w:szCs w:val="18"/>
          <w:lang w:val="en-US"/>
        </w:rPr>
        <w:t xml:space="preserve">Real-world effectiveness of ombitasvir/paritaprevir/riton- avir±dasabuvir±ribavirin in patients with hepatitis C virus genotype 1 or 4 infection: a meta-analysis. </w:t>
      </w:r>
      <w:r w:rsidRPr="003B61EF">
        <w:rPr>
          <w:rFonts w:ascii="Times" w:hAnsi="Times" w:cs="Times"/>
          <w:color w:val="0D6C9E"/>
          <w:sz w:val="18"/>
          <w:szCs w:val="18"/>
          <w:lang w:val="en-US"/>
        </w:rPr>
        <w:t>J Viral Hepat 2017;24:936–943</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4C26B264"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[117]  </w:t>
      </w:r>
      <w:r w:rsidRPr="00BA5C0A">
        <w:rPr>
          <w:rFonts w:ascii="Times" w:hAnsi="Times" w:cs="Times"/>
          <w:color w:val="0D6C9E"/>
          <w:sz w:val="18"/>
          <w:szCs w:val="18"/>
          <w:lang w:val="en-US"/>
        </w:rPr>
        <w:t xml:space="preserve">Foster GR, Irving WL, Cheung MC, Walker AJ, Hudson BE, Verma S, et al. Impact of direct acting antiviral therapy in patients with chronic hepatitis C and decompensated cirrhosis. </w:t>
      </w:r>
      <w:r w:rsidRPr="003B61EF">
        <w:rPr>
          <w:rFonts w:ascii="Times" w:hAnsi="Times" w:cs="Times"/>
          <w:color w:val="0D6C9E"/>
          <w:sz w:val="18"/>
          <w:szCs w:val="18"/>
          <w:lang w:val="en-US"/>
        </w:rPr>
        <w:t>J Hepatol 2016;64:1224–1231</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03967ADA"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[118]  </w:t>
      </w:r>
      <w:r w:rsidRPr="00BA5C0A">
        <w:rPr>
          <w:rFonts w:ascii="Times" w:hAnsi="Times" w:cs="Times"/>
          <w:color w:val="0D6C9E"/>
          <w:sz w:val="18"/>
          <w:szCs w:val="18"/>
          <w:lang w:val="en-US"/>
        </w:rPr>
        <w:t xml:space="preserve">Cheung MCM, Walker AJ, Hudson BE, Verma S, McLauchlan J, Mutimer DJ, et al. Outcomes after successful direct-acting antiviral therapy for patients with chronic hepatitis C and decompensated cirrhosis. </w:t>
      </w:r>
      <w:r w:rsidRPr="003B61EF">
        <w:rPr>
          <w:rFonts w:ascii="Times" w:hAnsi="Times" w:cs="Times"/>
          <w:color w:val="0D6C9E"/>
          <w:sz w:val="18"/>
          <w:szCs w:val="18"/>
          <w:lang w:val="en-US"/>
        </w:rPr>
        <w:t>J Hepatol 2016;65:741–747</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3EF3AC7A"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[119]  </w:t>
      </w:r>
      <w:r w:rsidRPr="00BA5C0A">
        <w:rPr>
          <w:rFonts w:ascii="Times" w:hAnsi="Times" w:cs="Times"/>
          <w:color w:val="0D6C9E"/>
          <w:sz w:val="18"/>
          <w:szCs w:val="18"/>
          <w:lang w:val="en-US"/>
        </w:rPr>
        <w:t xml:space="preserve">Charlton MR, Cheung MC, Manns MP, Sajed N, Troke P, Spellman JG, et al. Ledipasvir/sofosbuvir + ribavirin (LDV/SOF + RBV) for 12 weeks in decompensated HCV genotype 1 patients: SOLAR-1 and -2 studies compared to a real-world dataset. </w:t>
      </w:r>
      <w:r w:rsidRPr="003B61EF">
        <w:rPr>
          <w:rFonts w:ascii="Times" w:hAnsi="Times" w:cs="Times"/>
          <w:color w:val="0D6C9E"/>
          <w:sz w:val="18"/>
          <w:szCs w:val="18"/>
          <w:lang w:val="en-US"/>
        </w:rPr>
        <w:t>Hepatology 2016;64:489A–490A</w:t>
      </w:r>
      <w:r w:rsidRPr="003B61EF">
        <w:rPr>
          <w:rFonts w:ascii="Times" w:hAnsi="Times" w:cs="Times"/>
          <w:color w:val="000000"/>
          <w:sz w:val="18"/>
          <w:szCs w:val="18"/>
          <w:lang w:val="en-US"/>
        </w:rPr>
        <w:t xml:space="preserve">. </w:t>
      </w:r>
    </w:p>
    <w:p w14:paraId="252C8F67" w14:textId="1FA22CCD"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[120]</w:t>
      </w:r>
      <w:r>
        <w:rPr>
          <w:rFonts w:ascii="Times" w:hAnsi="Times" w:cs="Times"/>
          <w:color w:val="0D6C9E"/>
          <w:sz w:val="18"/>
          <w:szCs w:val="18"/>
          <w:lang w:val="en-US"/>
        </w:rPr>
        <w:t xml:space="preserve"> </w:t>
      </w:r>
      <w:r w:rsidRPr="00EA7CD5">
        <w:rPr>
          <w:rFonts w:ascii="Times" w:hAnsi="Times" w:cs="Times"/>
          <w:color w:val="0D6C9E"/>
          <w:sz w:val="18"/>
          <w:szCs w:val="18"/>
          <w:lang w:val="en-US"/>
        </w:rPr>
        <w:t xml:space="preserve">Curry MP, O’Leary JG, Bzowej N, Muir AJ, Korenblat KM, Fenkel JM, et al. </w:t>
      </w:r>
      <w:r w:rsidRPr="00BA5C0A">
        <w:rPr>
          <w:rFonts w:ascii="Times" w:hAnsi="Times" w:cs="Times"/>
          <w:color w:val="0D6C9E"/>
          <w:sz w:val="18"/>
          <w:szCs w:val="18"/>
          <w:lang w:val="en-US"/>
        </w:rPr>
        <w:t xml:space="preserve">Sofosbuvir and velpatasvir for HCV in patients with decompensated cirrhosis. </w:t>
      </w:r>
      <w:r w:rsidRPr="003B61EF">
        <w:rPr>
          <w:rFonts w:ascii="Times" w:hAnsi="Times" w:cs="Times"/>
          <w:color w:val="0D6C9E"/>
          <w:sz w:val="18"/>
          <w:szCs w:val="18"/>
          <w:lang w:val="en-US"/>
        </w:rPr>
        <w:t>N Engl J Med 2015;373:2618–2628</w:t>
      </w:r>
      <w:r w:rsidRPr="003B61EF">
        <w:rPr>
          <w:rFonts w:ascii="Times" w:hAnsi="Times" w:cs="Times"/>
          <w:color w:val="000000"/>
          <w:sz w:val="18"/>
          <w:szCs w:val="18"/>
          <w:lang w:val="en-US"/>
        </w:rPr>
        <w:t xml:space="preserve">. </w:t>
      </w:r>
    </w:p>
    <w:p w14:paraId="3986160B" w14:textId="20FBBDDE"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[12</w:t>
      </w:r>
      <w:r>
        <w:rPr>
          <w:rFonts w:ascii="Times" w:hAnsi="Times" w:cs="Times"/>
          <w:color w:val="000000"/>
          <w:sz w:val="18"/>
          <w:szCs w:val="18"/>
          <w:lang w:val="en-US"/>
        </w:rPr>
        <w:t>1</w:t>
      </w:r>
      <w:r w:rsidRPr="00A74698">
        <w:rPr>
          <w:rFonts w:ascii="Times" w:hAnsi="Times" w:cs="Times"/>
          <w:color w:val="000000"/>
          <w:sz w:val="18"/>
          <w:szCs w:val="18"/>
          <w:lang w:val="en-US"/>
        </w:rPr>
        <w:t>]</w:t>
      </w:r>
      <w:r>
        <w:rPr>
          <w:rFonts w:ascii="Times" w:hAnsi="Times" w:cs="Times"/>
          <w:color w:val="0D6C9E"/>
          <w:sz w:val="18"/>
          <w:szCs w:val="18"/>
          <w:lang w:val="en-US"/>
        </w:rPr>
        <w:t xml:space="preserve"> </w:t>
      </w:r>
      <w:r w:rsidRPr="00BA5C0A">
        <w:rPr>
          <w:rFonts w:ascii="Times" w:hAnsi="Times" w:cs="Times"/>
          <w:color w:val="0D6C9E"/>
          <w:sz w:val="18"/>
          <w:szCs w:val="18"/>
          <w:lang w:val="en-US"/>
        </w:rPr>
        <w:t xml:space="preserve">Belli LS, Berenguer M, Cortesi PA, Facchetti R, Strazzabosco M, Perricone G, et al. Delisting of liver transplant candidates with chronic hepatitis C virus infection after viral eradication: outcome after delisting: a European study. </w:t>
      </w:r>
      <w:r w:rsidRPr="003B61EF">
        <w:rPr>
          <w:rFonts w:ascii="Times" w:hAnsi="Times" w:cs="Times"/>
          <w:color w:val="0D6C9E"/>
          <w:sz w:val="18"/>
          <w:szCs w:val="18"/>
          <w:lang w:val="en-US"/>
        </w:rPr>
        <w:t>J Hepatol 2017;66:S39</w:t>
      </w:r>
      <w:r w:rsidRPr="003B61EF">
        <w:rPr>
          <w:rFonts w:ascii="Times" w:hAnsi="Times" w:cs="Times"/>
          <w:color w:val="000000"/>
          <w:sz w:val="18"/>
          <w:szCs w:val="18"/>
          <w:lang w:val="en-US"/>
        </w:rPr>
        <w:t xml:space="preserve">. </w:t>
      </w:r>
    </w:p>
    <w:p w14:paraId="6808839A" w14:textId="5962B3EA" w:rsidR="00A74698" w:rsidRPr="00A74698"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[12</w:t>
      </w:r>
      <w:r>
        <w:rPr>
          <w:rFonts w:ascii="Times" w:hAnsi="Times" w:cs="Times"/>
          <w:color w:val="000000"/>
          <w:sz w:val="18"/>
          <w:szCs w:val="18"/>
          <w:lang w:val="en-US"/>
        </w:rPr>
        <w:t>2</w:t>
      </w:r>
      <w:r w:rsidRPr="00A74698">
        <w:rPr>
          <w:rFonts w:ascii="Times" w:hAnsi="Times" w:cs="Times"/>
          <w:color w:val="000000"/>
          <w:sz w:val="18"/>
          <w:szCs w:val="18"/>
          <w:lang w:val="en-US"/>
        </w:rPr>
        <w:t>]</w:t>
      </w:r>
      <w:r>
        <w:rPr>
          <w:rFonts w:ascii="Times" w:hAnsi="Times" w:cs="Times"/>
          <w:color w:val="0D6C9E"/>
          <w:sz w:val="18"/>
          <w:szCs w:val="18"/>
          <w:lang w:val="en-US"/>
        </w:rPr>
        <w:t xml:space="preserve"> </w:t>
      </w:r>
      <w:r w:rsidRPr="00BA5C0A">
        <w:rPr>
          <w:rFonts w:ascii="Times" w:hAnsi="Times" w:cs="Times"/>
          <w:color w:val="0D6C9E"/>
          <w:sz w:val="18"/>
          <w:szCs w:val="18"/>
          <w:lang w:val="en-US"/>
        </w:rPr>
        <w:t xml:space="preserve">Cortesi PA, Belli LS, Facchetti R, Mazzarelli C, Perricone G, De Nicola S, et al. The optimal timing of hepatitis C therapy in liver transplant- eligible patients: cost-effectiveness analysis of new opportunities. </w:t>
      </w:r>
      <w:r w:rsidRPr="00A74698">
        <w:rPr>
          <w:rFonts w:ascii="Times" w:hAnsi="Times" w:cs="Times"/>
          <w:color w:val="0D6C9E"/>
          <w:sz w:val="18"/>
          <w:szCs w:val="18"/>
          <w:lang w:val="en-US"/>
        </w:rPr>
        <w:t>J Viral Hepat 2018, in press</w:t>
      </w:r>
      <w:r w:rsidRPr="00A74698">
        <w:rPr>
          <w:rFonts w:ascii="Times" w:hAnsi="Times" w:cs="Times"/>
          <w:color w:val="000000"/>
          <w:sz w:val="18"/>
          <w:szCs w:val="18"/>
          <w:lang w:val="en-US"/>
        </w:rPr>
        <w:t xml:space="preserve">. </w:t>
      </w:r>
    </w:p>
    <w:p w14:paraId="29ADA275" w14:textId="2F6729C1" w:rsidR="00A74698" w:rsidRPr="00A74698"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[12</w:t>
      </w:r>
      <w:r>
        <w:rPr>
          <w:rFonts w:ascii="Times" w:hAnsi="Times" w:cs="Times"/>
          <w:color w:val="000000"/>
          <w:sz w:val="18"/>
          <w:szCs w:val="18"/>
          <w:lang w:val="en-US"/>
        </w:rPr>
        <w:t>3</w:t>
      </w:r>
      <w:r w:rsidRPr="00A74698">
        <w:rPr>
          <w:rFonts w:ascii="Times" w:hAnsi="Times" w:cs="Times"/>
          <w:color w:val="000000"/>
          <w:sz w:val="18"/>
          <w:szCs w:val="18"/>
          <w:lang w:val="en-US"/>
        </w:rPr>
        <w:t>]</w:t>
      </w:r>
      <w:r>
        <w:rPr>
          <w:rFonts w:ascii="Times" w:hAnsi="Times" w:cs="Times"/>
          <w:color w:val="0D6C9E"/>
          <w:sz w:val="18"/>
          <w:szCs w:val="18"/>
          <w:lang w:val="en-US"/>
        </w:rPr>
        <w:t xml:space="preserve"> </w:t>
      </w:r>
      <w:r w:rsidRPr="00BA5C0A">
        <w:rPr>
          <w:rFonts w:ascii="Times" w:hAnsi="Times" w:cs="Times"/>
          <w:color w:val="0D6C9E"/>
          <w:sz w:val="18"/>
          <w:szCs w:val="18"/>
          <w:lang w:val="en-US"/>
        </w:rPr>
        <w:t xml:space="preserve">Beste LA, Green PK, Berry K, Kogut MJ, Allison SK, Ioannou GN. Reply to: ‘‘Direct-acting antiviral therapy in patients with hepatocellular cancer: the timing of treatment is everything” and ‘‘More extended indication of DAA therapy in patients with HCC, affordability, and further statistical considerations”. </w:t>
      </w:r>
      <w:r w:rsidRPr="00A74698">
        <w:rPr>
          <w:rFonts w:ascii="Times" w:hAnsi="Times" w:cs="Times"/>
          <w:color w:val="0D6C9E"/>
          <w:sz w:val="18"/>
          <w:szCs w:val="18"/>
          <w:lang w:val="en-US"/>
        </w:rPr>
        <w:t>J Hepatol 2018, in press</w:t>
      </w:r>
      <w:r w:rsidRPr="00A74698">
        <w:rPr>
          <w:rFonts w:ascii="Times" w:hAnsi="Times" w:cs="Times"/>
          <w:color w:val="000000"/>
          <w:sz w:val="18"/>
          <w:szCs w:val="18"/>
          <w:lang w:val="en-US"/>
        </w:rPr>
        <w:t xml:space="preserve">. </w:t>
      </w:r>
    </w:p>
    <w:p w14:paraId="053E317B" w14:textId="67A7E774" w:rsidR="00A74698" w:rsidRPr="00A74698"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[12</w:t>
      </w:r>
      <w:r>
        <w:rPr>
          <w:rFonts w:ascii="Times" w:hAnsi="Times" w:cs="Times"/>
          <w:color w:val="000000"/>
          <w:sz w:val="18"/>
          <w:szCs w:val="18"/>
          <w:lang w:val="en-US"/>
        </w:rPr>
        <w:t>4</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Mazzarelli C, Cannon MD, Belli LS, Agarwal K. Direct-acting antiviral therapy in patients with hepatocellular cancer: the timing of treatment is everything. </w:t>
      </w:r>
      <w:r w:rsidRPr="00A74698">
        <w:rPr>
          <w:rFonts w:ascii="Times" w:hAnsi="Times" w:cs="Times"/>
          <w:color w:val="0D6C9E"/>
          <w:sz w:val="18"/>
          <w:szCs w:val="18"/>
          <w:lang w:val="en-US"/>
        </w:rPr>
        <w:t>J Hepatol 2018, in press</w:t>
      </w:r>
      <w:r w:rsidRPr="00A74698">
        <w:rPr>
          <w:rFonts w:ascii="Times" w:hAnsi="Times" w:cs="Times"/>
          <w:color w:val="000000"/>
          <w:sz w:val="18"/>
          <w:szCs w:val="18"/>
          <w:lang w:val="en-US"/>
        </w:rPr>
        <w:t>.</w:t>
      </w:r>
      <w:r w:rsidRPr="00A74698">
        <w:rPr>
          <w:rFonts w:ascii="MS Mincho" w:eastAsia="MS Mincho" w:hAnsi="MS Mincho" w:cs="MS Mincho"/>
          <w:color w:val="000000"/>
          <w:sz w:val="18"/>
          <w:szCs w:val="18"/>
          <w:lang w:val="en-US"/>
        </w:rPr>
        <w:t> </w:t>
      </w:r>
    </w:p>
    <w:p w14:paraId="3DFD0065" w14:textId="24845085"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[12</w:t>
      </w:r>
      <w:r>
        <w:rPr>
          <w:rFonts w:ascii="Times" w:hAnsi="Times" w:cs="Times"/>
          <w:color w:val="000000"/>
          <w:sz w:val="18"/>
          <w:szCs w:val="18"/>
          <w:lang w:val="en-US"/>
        </w:rPr>
        <w:t>5</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Beste LA, Green PK, Berry K, Kogut MJ, Allison SK, Ioannou GN. Effectiveness of hepatitis C antiviral treatment in a USA cohort of veteran patients with hepatocellular carcinoma. </w:t>
      </w:r>
      <w:r w:rsidRPr="003B61EF">
        <w:rPr>
          <w:rFonts w:ascii="Times" w:hAnsi="Times" w:cs="Times"/>
          <w:color w:val="0D6C9E"/>
          <w:sz w:val="18"/>
          <w:szCs w:val="18"/>
          <w:lang w:val="en-US"/>
        </w:rPr>
        <w:t>J Hepatol 2017;67:32–39</w:t>
      </w:r>
      <w:r w:rsidRPr="003B61EF">
        <w:rPr>
          <w:rFonts w:ascii="Times" w:hAnsi="Times" w:cs="Times"/>
          <w:color w:val="000000"/>
          <w:sz w:val="18"/>
          <w:szCs w:val="18"/>
          <w:lang w:val="en-US"/>
        </w:rPr>
        <w:t xml:space="preserve">. </w:t>
      </w:r>
    </w:p>
    <w:p w14:paraId="2E04EBD3" w14:textId="76B4DC46"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[12</w:t>
      </w:r>
      <w:r>
        <w:rPr>
          <w:rFonts w:ascii="Times" w:hAnsi="Times" w:cs="Times"/>
          <w:color w:val="000000"/>
          <w:sz w:val="18"/>
          <w:szCs w:val="18"/>
          <w:lang w:val="en-US"/>
        </w:rPr>
        <w:t>6</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 Forman LM, Lewis JD, Berlin JA, Feldman HI, Lucey MR. The association between hepatitis C infection and survival after orthotopic liver transplantation. Gastroenterology 2002;122:889–896</w:t>
      </w:r>
      <w:r w:rsidRPr="00BA5C0A">
        <w:rPr>
          <w:rFonts w:ascii="Times" w:hAnsi="Times" w:cs="Times"/>
          <w:color w:val="000000"/>
          <w:sz w:val="18"/>
          <w:szCs w:val="18"/>
          <w:lang w:val="en-US"/>
        </w:rPr>
        <w:t>.</w:t>
      </w:r>
      <w:r w:rsidRPr="00BA5C0A">
        <w:rPr>
          <w:rFonts w:ascii="MS Mincho" w:eastAsia="MS Mincho" w:hAnsi="MS Mincho" w:cs="MS Mincho"/>
          <w:color w:val="000000"/>
          <w:sz w:val="18"/>
          <w:szCs w:val="18"/>
          <w:lang w:val="en-US"/>
        </w:rPr>
        <w:t> </w:t>
      </w:r>
      <w:r w:rsidRPr="00BA5C0A">
        <w:rPr>
          <w:rFonts w:ascii="Times" w:hAnsi="Times" w:cs="Times"/>
          <w:color w:val="0D6C9E"/>
          <w:sz w:val="18"/>
          <w:szCs w:val="18"/>
          <w:lang w:val="en-US"/>
        </w:rPr>
        <w:t xml:space="preserve">Prieto M, Berenguer M, Rayon JM, Cordoba J, Arguello L, </w:t>
      </w:r>
      <w:r w:rsidRPr="00A74698">
        <w:rPr>
          <w:rFonts w:ascii="Times" w:hAnsi="Times" w:cs="Times"/>
          <w:color w:val="000000"/>
          <w:sz w:val="18"/>
          <w:szCs w:val="18"/>
          <w:lang w:val="en-US"/>
        </w:rPr>
        <w:t>[12</w:t>
      </w:r>
      <w:r>
        <w:rPr>
          <w:rFonts w:ascii="Times" w:hAnsi="Times" w:cs="Times"/>
          <w:color w:val="000000"/>
          <w:sz w:val="18"/>
          <w:szCs w:val="18"/>
          <w:lang w:val="en-US"/>
        </w:rPr>
        <w:t>7</w:t>
      </w:r>
      <w:r w:rsidRPr="00A74698">
        <w:rPr>
          <w:rFonts w:ascii="Times" w:hAnsi="Times" w:cs="Times"/>
          <w:color w:val="000000"/>
          <w:sz w:val="18"/>
          <w:szCs w:val="18"/>
          <w:lang w:val="en-US"/>
        </w:rPr>
        <w:t>]</w:t>
      </w:r>
      <w:r>
        <w:rPr>
          <w:rFonts w:ascii="Times" w:hAnsi="Times" w:cs="Times"/>
          <w:color w:val="000000"/>
          <w:sz w:val="18"/>
          <w:szCs w:val="18"/>
          <w:lang w:val="en-US"/>
        </w:rPr>
        <w:t xml:space="preserve"> </w:t>
      </w:r>
      <w:r w:rsidRPr="00BA5C0A">
        <w:rPr>
          <w:rFonts w:ascii="Times" w:hAnsi="Times" w:cs="Times"/>
          <w:color w:val="0D6C9E"/>
          <w:sz w:val="18"/>
          <w:szCs w:val="18"/>
          <w:lang w:val="en-US"/>
        </w:rPr>
        <w:t xml:space="preserve">Carrasco D, et al. High incidence of allograft cirrhosis in hepatitis C virus genotype 1b infection following transplantation: relationship with rejection episodes. </w:t>
      </w:r>
      <w:r w:rsidRPr="003B61EF">
        <w:rPr>
          <w:rFonts w:ascii="Times" w:hAnsi="Times" w:cs="Times"/>
          <w:color w:val="0D6C9E"/>
          <w:sz w:val="18"/>
          <w:szCs w:val="18"/>
          <w:lang w:val="en-US"/>
        </w:rPr>
        <w:t>Hepatology 1999;29:250–256</w:t>
      </w:r>
      <w:r w:rsidRPr="003B61EF">
        <w:rPr>
          <w:rFonts w:ascii="Times" w:hAnsi="Times" w:cs="Times"/>
          <w:color w:val="000000"/>
          <w:sz w:val="18"/>
          <w:szCs w:val="18"/>
          <w:lang w:val="en-US"/>
        </w:rPr>
        <w:t xml:space="preserve">. </w:t>
      </w:r>
    </w:p>
    <w:p w14:paraId="220BC4E8" w14:textId="77777777" w:rsidR="00A74698" w:rsidRDefault="00A74698" w:rsidP="00A74698">
      <w:pPr>
        <w:widowControl w:val="0"/>
        <w:autoSpaceDE w:val="0"/>
        <w:autoSpaceDN w:val="0"/>
        <w:adjustRightInd w:val="0"/>
        <w:spacing w:after="240"/>
        <w:ind w:left="426"/>
        <w:contextualSpacing/>
        <w:rPr>
          <w:rFonts w:ascii="MS Mincho" w:eastAsia="MS Mincho" w:hAnsi="MS Mincho" w:cs="MS Mincho"/>
          <w:color w:val="000000"/>
          <w:sz w:val="18"/>
          <w:szCs w:val="18"/>
          <w:lang w:val="en-US"/>
        </w:rPr>
      </w:pPr>
      <w:r w:rsidRPr="00A74698">
        <w:rPr>
          <w:rFonts w:ascii="Times" w:hAnsi="Times" w:cs="Times"/>
          <w:color w:val="000000"/>
          <w:sz w:val="18"/>
          <w:szCs w:val="18"/>
          <w:lang w:val="en-US"/>
        </w:rPr>
        <w:t>[12</w:t>
      </w:r>
      <w:r>
        <w:rPr>
          <w:rFonts w:ascii="Times" w:hAnsi="Times" w:cs="Times"/>
          <w:color w:val="000000"/>
          <w:sz w:val="18"/>
          <w:szCs w:val="18"/>
          <w:lang w:val="en-US"/>
        </w:rPr>
        <w:t>8</w:t>
      </w:r>
      <w:r w:rsidRPr="00A74698">
        <w:rPr>
          <w:rFonts w:ascii="Times" w:hAnsi="Times" w:cs="Times"/>
          <w:color w:val="000000"/>
          <w:sz w:val="18"/>
          <w:szCs w:val="18"/>
          <w:lang w:val="en-US"/>
        </w:rPr>
        <w:t>]</w:t>
      </w:r>
      <w:r>
        <w:rPr>
          <w:rFonts w:ascii="Times" w:hAnsi="Times" w:cs="Times"/>
          <w:color w:val="000000"/>
          <w:sz w:val="18"/>
          <w:szCs w:val="18"/>
          <w:lang w:val="en-US"/>
        </w:rPr>
        <w:t xml:space="preserve"> </w:t>
      </w:r>
      <w:r w:rsidRPr="00BA5C0A">
        <w:rPr>
          <w:rFonts w:ascii="Times" w:hAnsi="Times" w:cs="Times"/>
          <w:color w:val="0D6C9E"/>
          <w:sz w:val="18"/>
          <w:szCs w:val="18"/>
          <w:lang w:val="en-US"/>
        </w:rPr>
        <w:t>Berenguer M, Ferrell L, Watson J, Prieto M, Kim M, Rayon M, et al. HCV- related fibrosis progression following liver transplantation: increase in recent years. J Hepatol 2000;32:673–684</w:t>
      </w:r>
      <w:r w:rsidRPr="00BA5C0A">
        <w:rPr>
          <w:rFonts w:ascii="Times" w:hAnsi="Times" w:cs="Times"/>
          <w:color w:val="000000"/>
          <w:sz w:val="18"/>
          <w:szCs w:val="18"/>
          <w:lang w:val="en-US"/>
        </w:rPr>
        <w:t>.</w:t>
      </w:r>
      <w:r w:rsidRPr="00BA5C0A">
        <w:rPr>
          <w:rFonts w:ascii="MS Mincho" w:eastAsia="MS Mincho" w:hAnsi="MS Mincho" w:cs="MS Mincho"/>
          <w:color w:val="000000"/>
          <w:sz w:val="18"/>
          <w:szCs w:val="18"/>
          <w:lang w:val="en-US"/>
        </w:rPr>
        <w:t> </w:t>
      </w:r>
    </w:p>
    <w:p w14:paraId="0DD7BBEC" w14:textId="2E593F45"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[12</w:t>
      </w:r>
      <w:r>
        <w:rPr>
          <w:rFonts w:ascii="Times" w:hAnsi="Times" w:cs="Times"/>
          <w:color w:val="000000"/>
          <w:sz w:val="18"/>
          <w:szCs w:val="18"/>
          <w:lang w:val="en-US"/>
        </w:rPr>
        <w:t>9</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Samuel D, Forns X, Berenguer M, Trautwein C, Burroughs A, Rizzetto M, et al. Report of the Monothematic EASL Conference on liver transplan- tation for viral hepatitis (Paris, France, January 12–14, 2006). </w:t>
      </w:r>
      <w:r w:rsidRPr="003B61EF">
        <w:rPr>
          <w:rFonts w:ascii="Times" w:hAnsi="Times" w:cs="Times"/>
          <w:color w:val="0D6C9E"/>
          <w:sz w:val="18"/>
          <w:szCs w:val="18"/>
          <w:lang w:val="en-US"/>
        </w:rPr>
        <w:t>J Hepatol 2006;45:127–143</w:t>
      </w:r>
      <w:r w:rsidRPr="003B61EF">
        <w:rPr>
          <w:rFonts w:ascii="Times" w:hAnsi="Times" w:cs="Times"/>
          <w:color w:val="000000"/>
          <w:sz w:val="18"/>
          <w:szCs w:val="18"/>
          <w:lang w:val="en-US"/>
        </w:rPr>
        <w:t xml:space="preserve">. </w:t>
      </w:r>
    </w:p>
    <w:p w14:paraId="5E195DCD" w14:textId="77777777" w:rsidR="00A74698" w:rsidRDefault="00A74698" w:rsidP="00A74698">
      <w:pPr>
        <w:widowControl w:val="0"/>
        <w:autoSpaceDE w:val="0"/>
        <w:autoSpaceDN w:val="0"/>
        <w:adjustRightInd w:val="0"/>
        <w:spacing w:after="240"/>
        <w:ind w:left="426"/>
        <w:contextualSpacing/>
        <w:rPr>
          <w:rFonts w:ascii="Times" w:hAnsi="Times" w:cs="Times"/>
          <w:color w:val="000000"/>
          <w:sz w:val="18"/>
          <w:szCs w:val="18"/>
          <w:lang w:val="en-US"/>
        </w:rPr>
      </w:pPr>
      <w:r w:rsidRPr="00A74698">
        <w:rPr>
          <w:rFonts w:ascii="Times" w:hAnsi="Times" w:cs="Times"/>
          <w:color w:val="000000"/>
          <w:sz w:val="18"/>
          <w:szCs w:val="18"/>
          <w:lang w:val="en-US"/>
        </w:rPr>
        <w:t>[1</w:t>
      </w:r>
      <w:r>
        <w:rPr>
          <w:rFonts w:ascii="Times" w:hAnsi="Times" w:cs="Times"/>
          <w:color w:val="000000"/>
          <w:sz w:val="18"/>
          <w:szCs w:val="18"/>
          <w:lang w:val="en-US"/>
        </w:rPr>
        <w:t>30</w:t>
      </w:r>
      <w:r w:rsidRPr="00A74698">
        <w:rPr>
          <w:rFonts w:ascii="Times" w:hAnsi="Times" w:cs="Times"/>
          <w:color w:val="000000"/>
          <w:sz w:val="18"/>
          <w:szCs w:val="18"/>
          <w:lang w:val="en-US"/>
        </w:rPr>
        <w:t>]</w:t>
      </w:r>
      <w:r w:rsidRPr="00BA5C0A">
        <w:rPr>
          <w:rFonts w:ascii="Times" w:hAnsi="Times" w:cs="Times"/>
          <w:color w:val="0D6C9E"/>
          <w:sz w:val="18"/>
          <w:szCs w:val="18"/>
          <w:lang w:val="en-US"/>
        </w:rPr>
        <w:t>Berenguer M, Palau A, Aguilera V, Rayon JM, Juan FS, Prieto M. Clinical benefits of antiviral therapy in patients with recurrent hepatitis C following liver transplantation. Am J Transplant 2008;8:679–687</w:t>
      </w:r>
      <w:r w:rsidRPr="00BA5C0A">
        <w:rPr>
          <w:rFonts w:ascii="Times" w:hAnsi="Times" w:cs="Times"/>
          <w:color w:val="000000"/>
          <w:sz w:val="18"/>
          <w:szCs w:val="18"/>
          <w:lang w:val="en-US"/>
        </w:rPr>
        <w:t xml:space="preserve">. </w:t>
      </w:r>
    </w:p>
    <w:p w14:paraId="2850FE0A" w14:textId="70319D79"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31</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Picciotto FP, Tritto G, Lanza AG, Addario L, De Luca M, Di Costanzo GG, et al. Sustained virological response to antiviral therapy reduces mortality in HCV reinfection after liver transplantation. </w:t>
      </w:r>
      <w:r w:rsidRPr="003B61EF">
        <w:rPr>
          <w:rFonts w:ascii="Times" w:hAnsi="Times" w:cs="Times"/>
          <w:color w:val="0D6C9E"/>
          <w:sz w:val="18"/>
          <w:szCs w:val="18"/>
          <w:lang w:val="en-US"/>
        </w:rPr>
        <w:t>J Hepatol 2007;46:459–465</w:t>
      </w:r>
      <w:r w:rsidRPr="003B61EF">
        <w:rPr>
          <w:rFonts w:ascii="Times" w:hAnsi="Times" w:cs="Times"/>
          <w:color w:val="000000"/>
          <w:sz w:val="18"/>
          <w:szCs w:val="18"/>
          <w:lang w:val="en-US"/>
        </w:rPr>
        <w:t xml:space="preserve">. </w:t>
      </w:r>
    </w:p>
    <w:p w14:paraId="462E8D0A" w14:textId="49D0999E" w:rsidR="00A74698" w:rsidRPr="0080595E" w:rsidRDefault="00A74698" w:rsidP="00A74698">
      <w:pPr>
        <w:widowControl w:val="0"/>
        <w:autoSpaceDE w:val="0"/>
        <w:autoSpaceDN w:val="0"/>
        <w:adjustRightInd w:val="0"/>
        <w:spacing w:after="240"/>
        <w:ind w:left="426"/>
        <w:contextualSpacing/>
        <w:rPr>
          <w:rFonts w:ascii="Times" w:hAnsi="Times" w:cs="Times"/>
          <w:color w:val="000000"/>
          <w:lang w:val="de-DE"/>
        </w:rPr>
      </w:pPr>
      <w:r w:rsidRPr="00A74698">
        <w:rPr>
          <w:rFonts w:ascii="Times" w:hAnsi="Times" w:cs="Times"/>
          <w:color w:val="000000"/>
          <w:sz w:val="18"/>
          <w:szCs w:val="18"/>
          <w:lang w:val="en-US"/>
        </w:rPr>
        <w:t>[1</w:t>
      </w:r>
      <w:r>
        <w:rPr>
          <w:rFonts w:ascii="Times" w:hAnsi="Times" w:cs="Times"/>
          <w:color w:val="000000"/>
          <w:sz w:val="18"/>
          <w:szCs w:val="18"/>
          <w:lang w:val="en-US"/>
        </w:rPr>
        <w:t>32</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Blasco A, Forns X, Carrion JA, Garcia-Pagan JC, Gilabert R, Rimola A, et al. Hepatic venous pressure gradient identifies patients at risk of severe hepatitis C recurrence after liver transplantation. </w:t>
      </w:r>
      <w:r w:rsidRPr="0080595E">
        <w:rPr>
          <w:rFonts w:ascii="Times" w:hAnsi="Times" w:cs="Times"/>
          <w:color w:val="0D6C9E"/>
          <w:sz w:val="18"/>
          <w:szCs w:val="18"/>
          <w:lang w:val="de-DE"/>
        </w:rPr>
        <w:t>Hepatology 2006;43:492–499</w:t>
      </w:r>
      <w:r w:rsidRPr="0080595E">
        <w:rPr>
          <w:rFonts w:ascii="Times" w:hAnsi="Times" w:cs="Times"/>
          <w:color w:val="000000"/>
          <w:sz w:val="18"/>
          <w:szCs w:val="18"/>
          <w:lang w:val="de-DE"/>
        </w:rPr>
        <w:t xml:space="preserve">. </w:t>
      </w:r>
    </w:p>
    <w:p w14:paraId="160860A6" w14:textId="77777777" w:rsidR="00A74698" w:rsidRDefault="00A74698" w:rsidP="00A74698">
      <w:pPr>
        <w:widowControl w:val="0"/>
        <w:autoSpaceDE w:val="0"/>
        <w:autoSpaceDN w:val="0"/>
        <w:adjustRightInd w:val="0"/>
        <w:spacing w:after="240"/>
        <w:ind w:left="426"/>
        <w:contextualSpacing/>
        <w:rPr>
          <w:rFonts w:ascii="MS Mincho" w:eastAsia="MS Mincho" w:hAnsi="MS Mincho" w:cs="MS Mincho"/>
          <w:color w:val="000000"/>
          <w:sz w:val="18"/>
          <w:szCs w:val="18"/>
          <w:lang w:val="en-US"/>
        </w:rPr>
      </w:pPr>
      <w:r w:rsidRPr="0080595E">
        <w:rPr>
          <w:rFonts w:ascii="Times" w:hAnsi="Times" w:cs="Times"/>
          <w:color w:val="000000"/>
          <w:sz w:val="18"/>
          <w:szCs w:val="18"/>
          <w:lang w:val="de-DE"/>
        </w:rPr>
        <w:t>[133]</w:t>
      </w:r>
      <w:r w:rsidRPr="0080595E">
        <w:rPr>
          <w:rFonts w:ascii="Times" w:hAnsi="Times" w:cs="Times"/>
          <w:color w:val="0D6C9E"/>
          <w:sz w:val="18"/>
          <w:szCs w:val="18"/>
          <w:lang w:val="de-DE"/>
        </w:rPr>
        <w:t xml:space="preserve">Neumann UP, Berg T, Bahra M, Seehofer D, Langrehr JM, Neuhaus R, et al. </w:t>
      </w:r>
      <w:r w:rsidRPr="00BA5C0A">
        <w:rPr>
          <w:rFonts w:ascii="Times" w:hAnsi="Times" w:cs="Times"/>
          <w:color w:val="0D6C9E"/>
          <w:sz w:val="18"/>
          <w:szCs w:val="18"/>
          <w:lang w:val="en-US"/>
        </w:rPr>
        <w:t>Fibrosis progression after liver transplantation in patients with recurrent hepatitis C. J Hepatol 2004;41:830–836</w:t>
      </w:r>
      <w:r w:rsidRPr="00BA5C0A">
        <w:rPr>
          <w:rFonts w:ascii="Times" w:hAnsi="Times" w:cs="Times"/>
          <w:color w:val="000000"/>
          <w:sz w:val="18"/>
          <w:szCs w:val="18"/>
          <w:lang w:val="en-US"/>
        </w:rPr>
        <w:t>.</w:t>
      </w:r>
      <w:r w:rsidRPr="00BA5C0A">
        <w:rPr>
          <w:rFonts w:ascii="MS Mincho" w:eastAsia="MS Mincho" w:hAnsi="MS Mincho" w:cs="MS Mincho"/>
          <w:color w:val="000000"/>
          <w:sz w:val="18"/>
          <w:szCs w:val="18"/>
          <w:lang w:val="en-US"/>
        </w:rPr>
        <w:t> </w:t>
      </w:r>
    </w:p>
    <w:p w14:paraId="026AE984" w14:textId="77777777" w:rsidR="00A74698" w:rsidRDefault="00A74698" w:rsidP="00A74698">
      <w:pPr>
        <w:widowControl w:val="0"/>
        <w:autoSpaceDE w:val="0"/>
        <w:autoSpaceDN w:val="0"/>
        <w:adjustRightInd w:val="0"/>
        <w:spacing w:after="240"/>
        <w:ind w:left="426"/>
        <w:contextualSpacing/>
        <w:rPr>
          <w:rFonts w:ascii="Times" w:hAnsi="Times" w:cs="Times"/>
          <w:color w:val="000000"/>
          <w:sz w:val="18"/>
          <w:szCs w:val="18"/>
          <w:lang w:val="en-US"/>
        </w:rPr>
      </w:pPr>
      <w:r w:rsidRPr="0080595E">
        <w:rPr>
          <w:rFonts w:ascii="Times" w:hAnsi="Times" w:cs="Times"/>
          <w:color w:val="000000"/>
          <w:sz w:val="18"/>
          <w:szCs w:val="18"/>
          <w:lang w:val="de-DE"/>
        </w:rPr>
        <w:t>[134]</w:t>
      </w:r>
      <w:r w:rsidRPr="0080595E">
        <w:rPr>
          <w:rFonts w:ascii="Times" w:hAnsi="Times" w:cs="Times"/>
          <w:color w:val="0D6C9E"/>
          <w:sz w:val="18"/>
          <w:szCs w:val="18"/>
          <w:lang w:val="de-DE"/>
        </w:rPr>
        <w:t xml:space="preserve">Agarwal K, Castells L, Mullhaupt B, Rosenberg WM, McNabb BL, Arterburn S, et al. </w:t>
      </w:r>
      <w:r w:rsidRPr="00BA5C0A">
        <w:rPr>
          <w:rFonts w:ascii="Times" w:hAnsi="Times" w:cs="Times"/>
          <w:color w:val="0D6C9E"/>
          <w:sz w:val="18"/>
          <w:szCs w:val="18"/>
          <w:lang w:val="en-US"/>
        </w:rPr>
        <w:t>Sofosbuvir/velpatasvir for 12 weeks in genotype 1-4 HCV-infected liver transplant recipients. J Hepatol 2017;66:571A</w:t>
      </w:r>
      <w:r w:rsidRPr="00BA5C0A">
        <w:rPr>
          <w:rFonts w:ascii="Times" w:hAnsi="Times" w:cs="Times"/>
          <w:color w:val="000000"/>
          <w:sz w:val="18"/>
          <w:szCs w:val="18"/>
          <w:lang w:val="en-US"/>
        </w:rPr>
        <w:t xml:space="preserve">. </w:t>
      </w:r>
    </w:p>
    <w:p w14:paraId="02E59672" w14:textId="72AC29EE"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35</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Reau N, Kwo PY, Rhee S, Brown RS, Agarwal K, Angus P, et al. MAGELLAN-2: safety and efficacy of glecaprevir/pibrentasvir in liver or renal transplant adults with chronic hepatitis C genotype 1–6 infection. </w:t>
      </w:r>
      <w:r w:rsidRPr="003B61EF">
        <w:rPr>
          <w:rFonts w:ascii="Times" w:hAnsi="Times" w:cs="Times"/>
          <w:color w:val="0D6C9E"/>
          <w:sz w:val="18"/>
          <w:szCs w:val="18"/>
          <w:lang w:val="en-US"/>
        </w:rPr>
        <w:t>J Hepatol 2017;66:S90</w:t>
      </w:r>
      <w:r w:rsidRPr="003B61EF">
        <w:rPr>
          <w:rFonts w:ascii="Times" w:hAnsi="Times" w:cs="Times"/>
          <w:color w:val="000000"/>
          <w:sz w:val="18"/>
          <w:szCs w:val="18"/>
          <w:lang w:val="en-US"/>
        </w:rPr>
        <w:t xml:space="preserve">. </w:t>
      </w:r>
    </w:p>
    <w:p w14:paraId="3CC956C6" w14:textId="6F420159"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36</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Flamm SL, Everson GT, Charlton M, Denning JM, Arterburn S, Brandt- Sarif T, et al. Ledipasvir/sofosbuvir with ribavirin for the treatment of HCV in patients with decompensated cirrhosis: preliminary results of a prospective, multicenter study. </w:t>
      </w:r>
      <w:r w:rsidRPr="003B61EF">
        <w:rPr>
          <w:rFonts w:ascii="Times" w:hAnsi="Times" w:cs="Times"/>
          <w:color w:val="0D6C9E"/>
          <w:sz w:val="18"/>
          <w:szCs w:val="18"/>
          <w:lang w:val="en-US"/>
        </w:rPr>
        <w:t>Hepatology 2014;60:320A</w:t>
      </w:r>
      <w:r w:rsidRPr="003B61EF">
        <w:rPr>
          <w:rFonts w:ascii="Times" w:hAnsi="Times" w:cs="Times"/>
          <w:color w:val="000000"/>
          <w:sz w:val="18"/>
          <w:szCs w:val="18"/>
          <w:lang w:val="en-US"/>
        </w:rPr>
        <w:t xml:space="preserve">. </w:t>
      </w:r>
    </w:p>
    <w:p w14:paraId="1312CF17" w14:textId="52325032"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37</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Poordad F, Schiff ER, Vierling JM, Landis C, Fontana RJ, Yang R, et al. Daclatasvir with sofosbuvir and ribavirin for hepatitis C virus infection with advanced cirrhosis or post-liver transplantation recurrence. </w:t>
      </w:r>
      <w:r w:rsidRPr="003B61EF">
        <w:rPr>
          <w:rFonts w:ascii="Times" w:hAnsi="Times" w:cs="Times"/>
          <w:color w:val="0D6C9E"/>
          <w:sz w:val="18"/>
          <w:szCs w:val="18"/>
          <w:lang w:val="en-US"/>
        </w:rPr>
        <w:t>Hepatology 2016;63:1493–1505</w:t>
      </w:r>
      <w:r w:rsidRPr="003B61EF">
        <w:rPr>
          <w:rFonts w:ascii="Times" w:hAnsi="Times" w:cs="Times"/>
          <w:color w:val="000000"/>
          <w:sz w:val="18"/>
          <w:szCs w:val="18"/>
          <w:lang w:val="en-US"/>
        </w:rPr>
        <w:t xml:space="preserve">. </w:t>
      </w:r>
    </w:p>
    <w:p w14:paraId="539F51B6" w14:textId="5805BE05"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lastRenderedPageBreak/>
        <w:t>[1</w:t>
      </w:r>
      <w:r>
        <w:rPr>
          <w:rFonts w:ascii="Times" w:hAnsi="Times" w:cs="Times"/>
          <w:color w:val="000000"/>
          <w:sz w:val="18"/>
          <w:szCs w:val="18"/>
          <w:lang w:val="en-US"/>
        </w:rPr>
        <w:t>38</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Fernandez-Carrillo C, Lens S, Llop E, Pascasio JM, Crespo J, Arenas J, et al. Treatment of hepatitis C virus infection in patients with cirrhosis and predictive value of model for end-stage liver disease: analysis of data from the HEPA-C registry. </w:t>
      </w:r>
      <w:r w:rsidRPr="003B61EF">
        <w:rPr>
          <w:rFonts w:ascii="Times" w:hAnsi="Times" w:cs="Times"/>
          <w:color w:val="0D6C9E"/>
          <w:sz w:val="18"/>
          <w:szCs w:val="18"/>
          <w:lang w:val="en-US"/>
        </w:rPr>
        <w:t>Hepatology 2017;65:1810–1822</w:t>
      </w:r>
      <w:r w:rsidRPr="003B61EF">
        <w:rPr>
          <w:rFonts w:ascii="Times" w:hAnsi="Times" w:cs="Times"/>
          <w:color w:val="000000"/>
          <w:sz w:val="18"/>
          <w:szCs w:val="18"/>
          <w:lang w:val="en-US"/>
        </w:rPr>
        <w:t xml:space="preserve">. </w:t>
      </w:r>
    </w:p>
    <w:p w14:paraId="220EA157" w14:textId="13D350D2" w:rsidR="00A74698" w:rsidRPr="00A74698"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39</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Di Maira T, Torregrosa A, Navarro V, Sanchez D, Fornes V, Berenguer M. Liver volume as a predictor of functional improvement post-DAA treatment. </w:t>
      </w:r>
      <w:r w:rsidRPr="00A74698">
        <w:rPr>
          <w:rFonts w:ascii="Times" w:hAnsi="Times" w:cs="Times"/>
          <w:color w:val="0D6C9E"/>
          <w:sz w:val="18"/>
          <w:szCs w:val="18"/>
          <w:lang w:val="en-US"/>
        </w:rPr>
        <w:t>Transplantation 2018;102:74–81</w:t>
      </w:r>
      <w:r w:rsidRPr="00A74698">
        <w:rPr>
          <w:rFonts w:ascii="Times" w:hAnsi="Times" w:cs="Times"/>
          <w:color w:val="000000"/>
          <w:sz w:val="18"/>
          <w:szCs w:val="18"/>
          <w:lang w:val="en-US"/>
        </w:rPr>
        <w:t xml:space="preserve">. </w:t>
      </w:r>
    </w:p>
    <w:p w14:paraId="0F1B0630" w14:textId="0776F56A"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40</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Moon C, Jung KS, Kim do Y, Baatarkhuu O, Park JY, Kim BK, et al. Lower incidence of hepatocellular carcinoma and cirrhosis in hepatitis C patients with sustained virological response by pegylated interferon and ribavirin. </w:t>
      </w:r>
      <w:r w:rsidRPr="003B61EF">
        <w:rPr>
          <w:rFonts w:ascii="Times" w:hAnsi="Times" w:cs="Times"/>
          <w:color w:val="0D6C9E"/>
          <w:sz w:val="18"/>
          <w:szCs w:val="18"/>
          <w:lang w:val="en-US"/>
        </w:rPr>
        <w:t>Dig Dis Sci 2015;60:573–581</w:t>
      </w:r>
      <w:r w:rsidRPr="003B61EF">
        <w:rPr>
          <w:rFonts w:ascii="Times" w:hAnsi="Times" w:cs="Times"/>
          <w:color w:val="000000"/>
          <w:sz w:val="18"/>
          <w:szCs w:val="18"/>
          <w:lang w:val="en-US"/>
        </w:rPr>
        <w:t xml:space="preserve">. </w:t>
      </w:r>
    </w:p>
    <w:p w14:paraId="1AC91397" w14:textId="2FFC7090" w:rsidR="00A74698" w:rsidRPr="0080595E" w:rsidRDefault="00A74698" w:rsidP="00A74698">
      <w:pPr>
        <w:widowControl w:val="0"/>
        <w:autoSpaceDE w:val="0"/>
        <w:autoSpaceDN w:val="0"/>
        <w:adjustRightInd w:val="0"/>
        <w:spacing w:after="240"/>
        <w:ind w:left="426"/>
        <w:contextualSpacing/>
        <w:rPr>
          <w:rFonts w:ascii="Times" w:hAnsi="Times" w:cs="Times"/>
          <w:color w:val="000000"/>
          <w:lang w:val="de-DE"/>
        </w:rPr>
      </w:pPr>
      <w:r w:rsidRPr="00A74698">
        <w:rPr>
          <w:rFonts w:ascii="Times" w:hAnsi="Times" w:cs="Times"/>
          <w:color w:val="000000"/>
          <w:sz w:val="18"/>
          <w:szCs w:val="18"/>
          <w:lang w:val="en-US"/>
        </w:rPr>
        <w:t>[1</w:t>
      </w:r>
      <w:r>
        <w:rPr>
          <w:rFonts w:ascii="Times" w:hAnsi="Times" w:cs="Times"/>
          <w:color w:val="000000"/>
          <w:sz w:val="18"/>
          <w:szCs w:val="18"/>
          <w:lang w:val="en-US"/>
        </w:rPr>
        <w:t>41</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Morgan RL, Baack B, Smith BD, Yartel A, Pitasi M, Falck-Ytter Y. Eradication of hepatitis C virus infection and the development of hepatocellular carcinoma: a meta-analysis of observational studies. </w:t>
      </w:r>
      <w:r w:rsidRPr="0080595E">
        <w:rPr>
          <w:rFonts w:ascii="Times" w:hAnsi="Times" w:cs="Times"/>
          <w:color w:val="0D6C9E"/>
          <w:sz w:val="18"/>
          <w:szCs w:val="18"/>
          <w:lang w:val="de-DE"/>
        </w:rPr>
        <w:t>Ann Intern Med 2013;158:329–337</w:t>
      </w:r>
      <w:r w:rsidRPr="0080595E">
        <w:rPr>
          <w:rFonts w:ascii="Times" w:hAnsi="Times" w:cs="Times"/>
          <w:color w:val="000000"/>
          <w:sz w:val="18"/>
          <w:szCs w:val="18"/>
          <w:lang w:val="de-DE"/>
        </w:rPr>
        <w:t xml:space="preserve">. </w:t>
      </w:r>
    </w:p>
    <w:p w14:paraId="2F014B84" w14:textId="2A37C49B"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80595E">
        <w:rPr>
          <w:rFonts w:ascii="Times" w:hAnsi="Times" w:cs="Times"/>
          <w:color w:val="000000"/>
          <w:sz w:val="18"/>
          <w:szCs w:val="18"/>
          <w:lang w:val="de-DE"/>
        </w:rPr>
        <w:t>[142]</w:t>
      </w:r>
      <w:r w:rsidRPr="0080595E">
        <w:rPr>
          <w:rFonts w:ascii="Times" w:hAnsi="Times" w:cs="Times"/>
          <w:color w:val="0D6C9E"/>
          <w:sz w:val="18"/>
          <w:szCs w:val="18"/>
          <w:lang w:val="de-DE"/>
        </w:rPr>
        <w:t xml:space="preserve">Muir AJ, Buti M, Nahass R, Agarwal K, Gane EJ, Strasser SI, et al. </w:t>
      </w:r>
      <w:r w:rsidRPr="00BA5C0A">
        <w:rPr>
          <w:rFonts w:ascii="Times" w:hAnsi="Times" w:cs="Times"/>
          <w:color w:val="0D6C9E"/>
          <w:sz w:val="18"/>
          <w:szCs w:val="18"/>
          <w:lang w:val="en-US"/>
        </w:rPr>
        <w:t xml:space="preserve">Long- term follow-up of patients with chronic HCV infection and compen- sated or decompensated cirrhosis following treatment with sofosbuvir- based regimens. </w:t>
      </w:r>
      <w:r w:rsidRPr="003B61EF">
        <w:rPr>
          <w:rFonts w:ascii="Times" w:hAnsi="Times" w:cs="Times"/>
          <w:color w:val="0D6C9E"/>
          <w:sz w:val="18"/>
          <w:szCs w:val="18"/>
          <w:lang w:val="en-US"/>
        </w:rPr>
        <w:t>Hepatology 2016;64:437A</w:t>
      </w:r>
      <w:r w:rsidRPr="003B61EF">
        <w:rPr>
          <w:rFonts w:ascii="Times" w:hAnsi="Times" w:cs="Times"/>
          <w:color w:val="000000"/>
          <w:sz w:val="18"/>
          <w:szCs w:val="18"/>
          <w:lang w:val="en-US"/>
        </w:rPr>
        <w:t xml:space="preserve">. </w:t>
      </w:r>
    </w:p>
    <w:p w14:paraId="5FBAE19D" w14:textId="5E948EA2" w:rsidR="00A74698" w:rsidRPr="00A74698"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43</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Li DK, Ren Y, Fierer DS, Rutledge S, Shaikh OS, Lo Re V, et al. The short- term incidence of hepatocellular carcinoma is not increased after hepatitis C treatment with direct-acting antivirals: An ERCHIVES study. </w:t>
      </w:r>
      <w:r w:rsidRPr="00A74698">
        <w:rPr>
          <w:rFonts w:ascii="Times" w:hAnsi="Times" w:cs="Times"/>
          <w:color w:val="0D6C9E"/>
          <w:sz w:val="18"/>
          <w:szCs w:val="18"/>
          <w:lang w:val="en-US"/>
        </w:rPr>
        <w:t>Hepatology 2018, in press</w:t>
      </w:r>
      <w:r w:rsidRPr="00A74698">
        <w:rPr>
          <w:rFonts w:ascii="Times" w:hAnsi="Times" w:cs="Times"/>
          <w:color w:val="000000"/>
          <w:sz w:val="18"/>
          <w:szCs w:val="18"/>
          <w:lang w:val="en-US"/>
        </w:rPr>
        <w:t xml:space="preserve">. </w:t>
      </w:r>
    </w:p>
    <w:p w14:paraId="1F6E3BFF" w14:textId="60BFDDB7" w:rsidR="00A74698" w:rsidRPr="00A74698"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44</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Conti F, Buonfiglioli F, Scuteri A, Crespi C, Bolondi L, Caraceni P, et al. Early occurrence and recurrence of hepatocellular carcinoma in HCV- related cirrhosis treated with direct-acting antivirals. </w:t>
      </w:r>
      <w:r w:rsidRPr="00A74698">
        <w:rPr>
          <w:rFonts w:ascii="Times" w:hAnsi="Times" w:cs="Times"/>
          <w:color w:val="0D6C9E"/>
          <w:sz w:val="18"/>
          <w:szCs w:val="18"/>
          <w:lang w:val="en-US"/>
        </w:rPr>
        <w:t>J Hepatol 2016;65:727–733</w:t>
      </w:r>
      <w:r w:rsidRPr="00A74698">
        <w:rPr>
          <w:rFonts w:ascii="Times" w:hAnsi="Times" w:cs="Times"/>
          <w:color w:val="000000"/>
          <w:sz w:val="18"/>
          <w:szCs w:val="18"/>
          <w:lang w:val="en-US"/>
        </w:rPr>
        <w:t xml:space="preserve">. </w:t>
      </w:r>
    </w:p>
    <w:p w14:paraId="6300780E" w14:textId="746A5D42"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45</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Reig M, Marino Z, Perello C, Inarrairaegui M, Ribeiro A, Lens S, et al. Unexpected high rate of early tumor recurrence in patients with HCV- related HCC undergoing interferon-free therapy. </w:t>
      </w:r>
      <w:r w:rsidRPr="003B61EF">
        <w:rPr>
          <w:rFonts w:ascii="Times" w:hAnsi="Times" w:cs="Times"/>
          <w:color w:val="0D6C9E"/>
          <w:sz w:val="18"/>
          <w:szCs w:val="18"/>
          <w:lang w:val="en-US"/>
        </w:rPr>
        <w:t>J Hepatol 2016;65:719–726</w:t>
      </w:r>
      <w:r w:rsidRPr="003B61EF">
        <w:rPr>
          <w:rFonts w:ascii="Times" w:hAnsi="Times" w:cs="Times"/>
          <w:color w:val="000000"/>
          <w:sz w:val="18"/>
          <w:szCs w:val="18"/>
          <w:lang w:val="en-US"/>
        </w:rPr>
        <w:t xml:space="preserve">. </w:t>
      </w:r>
    </w:p>
    <w:p w14:paraId="240AA9CC" w14:textId="27B0C352" w:rsidR="00A74698" w:rsidRPr="00A74698"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46</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Camma C, Cabibbo G, Craxi A. Direct antiviral agents and risk for HCC early recurrence: Much ado about nothing. </w:t>
      </w:r>
      <w:r w:rsidRPr="00A74698">
        <w:rPr>
          <w:rFonts w:ascii="Times" w:hAnsi="Times" w:cs="Times"/>
          <w:color w:val="0D6C9E"/>
          <w:sz w:val="18"/>
          <w:szCs w:val="18"/>
          <w:lang w:val="en-US"/>
        </w:rPr>
        <w:t>J Hepatol 2016;65:861–862</w:t>
      </w:r>
      <w:r w:rsidRPr="00A74698">
        <w:rPr>
          <w:rFonts w:ascii="Times" w:hAnsi="Times" w:cs="Times"/>
          <w:color w:val="000000"/>
          <w:sz w:val="18"/>
          <w:szCs w:val="18"/>
          <w:lang w:val="en-US"/>
        </w:rPr>
        <w:t>.</w:t>
      </w:r>
      <w:r w:rsidRPr="00A74698">
        <w:rPr>
          <w:rFonts w:ascii="MS Mincho" w:eastAsia="MS Mincho" w:hAnsi="MS Mincho" w:cs="MS Mincho"/>
          <w:color w:val="000000"/>
          <w:sz w:val="18"/>
          <w:szCs w:val="18"/>
          <w:lang w:val="en-US"/>
        </w:rPr>
        <w:t> </w:t>
      </w:r>
    </w:p>
    <w:p w14:paraId="4820C27D" w14:textId="53FF7241" w:rsidR="00A74698" w:rsidRPr="00A74698"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47</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Ravi S, Kodali S, Simpson H, Alkurdi B, McGuire BM, Singal A. Unusually high HCC rates among patients with HCV cirrhosis after treatment with direct acting antivirals. </w:t>
      </w:r>
      <w:r w:rsidRPr="00A74698">
        <w:rPr>
          <w:rFonts w:ascii="Times" w:hAnsi="Times" w:cs="Times"/>
          <w:color w:val="0D6C9E"/>
          <w:sz w:val="18"/>
          <w:szCs w:val="18"/>
          <w:lang w:val="en-US"/>
        </w:rPr>
        <w:t>Hepatology 2016;64:663A</w:t>
      </w:r>
      <w:r w:rsidRPr="00A74698">
        <w:rPr>
          <w:rFonts w:ascii="Times" w:hAnsi="Times" w:cs="Times"/>
          <w:color w:val="000000"/>
          <w:sz w:val="18"/>
          <w:szCs w:val="18"/>
          <w:lang w:val="en-US"/>
        </w:rPr>
        <w:t xml:space="preserve">. </w:t>
      </w:r>
    </w:p>
    <w:p w14:paraId="2BD204E9" w14:textId="6979C2A4"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48</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Cardoso H, Vale AM, Rodrigues S, Goncalves R, Albuquerque A, Pereira P, et al. High incidence of hepatocellular carcinoma following success- ful interferon-free antiviral therapy for hepatitis C associated cirrhosis. </w:t>
      </w:r>
      <w:r w:rsidRPr="003B61EF">
        <w:rPr>
          <w:rFonts w:ascii="Times" w:hAnsi="Times" w:cs="Times"/>
          <w:color w:val="0D6C9E"/>
          <w:sz w:val="18"/>
          <w:szCs w:val="18"/>
          <w:lang w:val="en-US"/>
        </w:rPr>
        <w:t>J Hepatol 2016;65:1070–1071</w:t>
      </w:r>
      <w:r w:rsidRPr="003B61EF">
        <w:rPr>
          <w:rFonts w:ascii="Times" w:hAnsi="Times" w:cs="Times"/>
          <w:color w:val="000000"/>
          <w:sz w:val="18"/>
          <w:szCs w:val="18"/>
          <w:lang w:val="en-US"/>
        </w:rPr>
        <w:t xml:space="preserve">. </w:t>
      </w:r>
    </w:p>
    <w:p w14:paraId="33132DC5" w14:textId="7C62BB40" w:rsidR="00A74698" w:rsidRPr="0080595E" w:rsidRDefault="00A74698" w:rsidP="00A74698">
      <w:pPr>
        <w:widowControl w:val="0"/>
        <w:autoSpaceDE w:val="0"/>
        <w:autoSpaceDN w:val="0"/>
        <w:adjustRightInd w:val="0"/>
        <w:spacing w:after="240"/>
        <w:ind w:left="426"/>
        <w:contextualSpacing/>
        <w:rPr>
          <w:rFonts w:ascii="Times" w:hAnsi="Times" w:cs="Times"/>
          <w:color w:val="000000"/>
          <w:lang w:val="de-DE"/>
        </w:rPr>
      </w:pPr>
      <w:r w:rsidRPr="00A74698">
        <w:rPr>
          <w:rFonts w:ascii="Times" w:hAnsi="Times" w:cs="Times"/>
          <w:color w:val="000000"/>
          <w:sz w:val="18"/>
          <w:szCs w:val="18"/>
          <w:lang w:val="en-US"/>
        </w:rPr>
        <w:t>[1</w:t>
      </w:r>
      <w:r>
        <w:rPr>
          <w:rFonts w:ascii="Times" w:hAnsi="Times" w:cs="Times"/>
          <w:color w:val="000000"/>
          <w:sz w:val="18"/>
          <w:szCs w:val="18"/>
          <w:lang w:val="en-US"/>
        </w:rPr>
        <w:t>49</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Yang JD, Aqel BA, Pungpapong S, Gores GJ, Roberts LR, Leise MD. Direct acting antiviral therapy and tumor recurrence after liver transplanta- tion for hepatitis C-associated hepatocellular carcinoma. </w:t>
      </w:r>
      <w:r w:rsidRPr="0080595E">
        <w:rPr>
          <w:rFonts w:ascii="Times" w:hAnsi="Times" w:cs="Times"/>
          <w:color w:val="0D6C9E"/>
          <w:sz w:val="18"/>
          <w:szCs w:val="18"/>
          <w:lang w:val="de-DE"/>
        </w:rPr>
        <w:t>J Hepatol 2016;65:859–860</w:t>
      </w:r>
      <w:r w:rsidRPr="0080595E">
        <w:rPr>
          <w:rFonts w:ascii="Times" w:hAnsi="Times" w:cs="Times"/>
          <w:color w:val="000000"/>
          <w:sz w:val="18"/>
          <w:szCs w:val="18"/>
          <w:lang w:val="de-DE"/>
        </w:rPr>
        <w:t xml:space="preserve">. </w:t>
      </w:r>
    </w:p>
    <w:p w14:paraId="01CFB137" w14:textId="2FE27A98"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80595E">
        <w:rPr>
          <w:rFonts w:ascii="Times" w:hAnsi="Times" w:cs="Times"/>
          <w:color w:val="000000"/>
          <w:sz w:val="18"/>
          <w:szCs w:val="18"/>
          <w:lang w:val="de-DE"/>
        </w:rPr>
        <w:t>[150]</w:t>
      </w:r>
      <w:r w:rsidRPr="0080595E">
        <w:rPr>
          <w:rFonts w:ascii="Times" w:hAnsi="Times" w:cs="Times"/>
          <w:color w:val="0D6C9E"/>
          <w:sz w:val="18"/>
          <w:szCs w:val="18"/>
          <w:lang w:val="de-DE"/>
        </w:rPr>
        <w:t xml:space="preserve">Kozbial K, Moser S, Schwarzer R, Laferl H, Al-Zoairy R, Stauber R, et al. </w:t>
      </w:r>
      <w:r w:rsidRPr="00BA5C0A">
        <w:rPr>
          <w:rFonts w:ascii="Times" w:hAnsi="Times" w:cs="Times"/>
          <w:color w:val="0D6C9E"/>
          <w:sz w:val="18"/>
          <w:szCs w:val="18"/>
          <w:lang w:val="en-US"/>
        </w:rPr>
        <w:t xml:space="preserve">Unexpected high incidence of hepatocellular carcinoma in cirrhotic patients with sustained virologic response following inter- feron-free direct-acting antiviral treatment. </w:t>
      </w:r>
      <w:r w:rsidRPr="003B61EF">
        <w:rPr>
          <w:rFonts w:ascii="Times" w:hAnsi="Times" w:cs="Times"/>
          <w:color w:val="0D6C9E"/>
          <w:sz w:val="18"/>
          <w:szCs w:val="18"/>
          <w:lang w:val="en-US"/>
        </w:rPr>
        <w:t>J Hepatol 2016;65:856–858</w:t>
      </w:r>
      <w:r w:rsidRPr="003B61EF">
        <w:rPr>
          <w:rFonts w:ascii="Times" w:hAnsi="Times" w:cs="Times"/>
          <w:color w:val="000000"/>
          <w:sz w:val="18"/>
          <w:szCs w:val="18"/>
          <w:lang w:val="en-US"/>
        </w:rPr>
        <w:t xml:space="preserve">. </w:t>
      </w:r>
    </w:p>
    <w:p w14:paraId="17CE4BDF" w14:textId="0FDF2542"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51</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Mettke F, Schlevogt B, Deterding K, Wranke A, Smith A, Port K, et al. Interferon-free therapy of chronic hepatitis C with direct-acting antivirals does not change the short-term risk for de novo hepatocel- lular carcinoma in patients with liver cirrhosis. </w:t>
      </w:r>
      <w:r w:rsidRPr="003B61EF">
        <w:rPr>
          <w:rFonts w:ascii="Times" w:hAnsi="Times" w:cs="Times"/>
          <w:color w:val="0D6C9E"/>
          <w:sz w:val="18"/>
          <w:szCs w:val="18"/>
          <w:lang w:val="en-US"/>
        </w:rPr>
        <w:t>Aliment Pharmacol Ther 2018;47:516–525</w:t>
      </w:r>
      <w:r w:rsidRPr="003B61EF">
        <w:rPr>
          <w:rFonts w:ascii="Times" w:hAnsi="Times" w:cs="Times"/>
          <w:color w:val="000000"/>
          <w:sz w:val="18"/>
          <w:szCs w:val="18"/>
          <w:lang w:val="en-US"/>
        </w:rPr>
        <w:t xml:space="preserve">. </w:t>
      </w:r>
    </w:p>
    <w:p w14:paraId="60416907" w14:textId="1F025C21"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52</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Waziry R, Hajarizadeh B, Grebely J, Amin J, Law M, Danta M, et al. Hepatocellular carcinoma risk following direct-acting antiviral HCV therapy: a systematic review, meta-analyses, and meta-regression. </w:t>
      </w:r>
      <w:r w:rsidRPr="003B61EF">
        <w:rPr>
          <w:rFonts w:ascii="Times" w:hAnsi="Times" w:cs="Times"/>
          <w:color w:val="0D6C9E"/>
          <w:sz w:val="18"/>
          <w:szCs w:val="18"/>
          <w:lang w:val="en-US"/>
        </w:rPr>
        <w:t>J Hepatol 2017;67:1204–1212</w:t>
      </w:r>
      <w:r w:rsidRPr="003B61EF">
        <w:rPr>
          <w:rFonts w:ascii="Times" w:hAnsi="Times" w:cs="Times"/>
          <w:color w:val="000000"/>
          <w:sz w:val="18"/>
          <w:szCs w:val="18"/>
          <w:lang w:val="en-US"/>
        </w:rPr>
        <w:t xml:space="preserve">. </w:t>
      </w:r>
    </w:p>
    <w:p w14:paraId="4867192B" w14:textId="4DA8A76A" w:rsidR="00A74698" w:rsidRPr="003B61EF" w:rsidRDefault="00A74698"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53</w:t>
      </w:r>
      <w:r w:rsidRPr="00A74698">
        <w:rPr>
          <w:rFonts w:ascii="Times" w:hAnsi="Times" w:cs="Times"/>
          <w:color w:val="000000"/>
          <w:sz w:val="18"/>
          <w:szCs w:val="18"/>
          <w:lang w:val="en-US"/>
        </w:rPr>
        <w:t>]</w:t>
      </w:r>
      <w:r w:rsidRPr="00BA5C0A">
        <w:rPr>
          <w:rFonts w:ascii="Times" w:hAnsi="Times" w:cs="Times"/>
          <w:color w:val="0D6C9E"/>
          <w:sz w:val="18"/>
          <w:szCs w:val="18"/>
          <w:lang w:val="en-US"/>
        </w:rPr>
        <w:t xml:space="preserve">Petta S, Cabibbo G, Barbara M, Attardo S, Bucci L, Farinati F, et al. Hepatocellular carcinoma recurrence in patients with curative resec- tion or ablation: impact of HCV eradication does not depend on the use of interferon. </w:t>
      </w:r>
      <w:r w:rsidRPr="003B61EF">
        <w:rPr>
          <w:rFonts w:ascii="Times" w:hAnsi="Times" w:cs="Times"/>
          <w:color w:val="0D6C9E"/>
          <w:sz w:val="18"/>
          <w:szCs w:val="18"/>
          <w:lang w:val="en-US"/>
        </w:rPr>
        <w:t>Aliment Pharmacol Ther 2017;45:160–168</w:t>
      </w:r>
      <w:r w:rsidRPr="003B61EF">
        <w:rPr>
          <w:rFonts w:ascii="Times" w:hAnsi="Times" w:cs="Times"/>
          <w:color w:val="000000"/>
          <w:sz w:val="18"/>
          <w:szCs w:val="18"/>
          <w:lang w:val="en-US"/>
        </w:rPr>
        <w:t xml:space="preserve">. </w:t>
      </w:r>
    </w:p>
    <w:p w14:paraId="363D687A" w14:textId="2D6E434A" w:rsidR="00A74698" w:rsidRPr="0080595E" w:rsidRDefault="00216A77" w:rsidP="00A74698">
      <w:pPr>
        <w:widowControl w:val="0"/>
        <w:autoSpaceDE w:val="0"/>
        <w:autoSpaceDN w:val="0"/>
        <w:adjustRightInd w:val="0"/>
        <w:spacing w:after="240"/>
        <w:ind w:left="426"/>
        <w:contextualSpacing/>
        <w:rPr>
          <w:rFonts w:ascii="Times" w:hAnsi="Times" w:cs="Times"/>
          <w:color w:val="000000"/>
          <w:lang w:val="de-DE"/>
        </w:rPr>
      </w:pPr>
      <w:r w:rsidRPr="00A74698">
        <w:rPr>
          <w:rFonts w:ascii="Times" w:hAnsi="Times" w:cs="Times"/>
          <w:color w:val="000000"/>
          <w:sz w:val="18"/>
          <w:szCs w:val="18"/>
          <w:lang w:val="en-US"/>
        </w:rPr>
        <w:t>[1</w:t>
      </w:r>
      <w:r>
        <w:rPr>
          <w:rFonts w:ascii="Times" w:hAnsi="Times" w:cs="Times"/>
          <w:color w:val="000000"/>
          <w:sz w:val="18"/>
          <w:szCs w:val="18"/>
          <w:lang w:val="en-US"/>
        </w:rPr>
        <w:t>54</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ANRS Collaborative Study Group on Hepatocellular Carcinoma. Lack of evidence of an effect of direct-acting antivirals on the recurrence of hepatocellular carcinoma: data from three ANRS cohorts. </w:t>
      </w:r>
      <w:r w:rsidR="00A74698" w:rsidRPr="0080595E">
        <w:rPr>
          <w:rFonts w:ascii="Times" w:hAnsi="Times" w:cs="Times"/>
          <w:color w:val="0D6C9E"/>
          <w:sz w:val="18"/>
          <w:szCs w:val="18"/>
          <w:lang w:val="de-DE"/>
        </w:rPr>
        <w:t>J Hepatol 2016;65:734–740</w:t>
      </w:r>
      <w:r w:rsidR="00A74698" w:rsidRPr="0080595E">
        <w:rPr>
          <w:rFonts w:ascii="Times" w:hAnsi="Times" w:cs="Times"/>
          <w:color w:val="000000"/>
          <w:sz w:val="18"/>
          <w:szCs w:val="18"/>
          <w:lang w:val="de-DE"/>
        </w:rPr>
        <w:t xml:space="preserve">. </w:t>
      </w:r>
    </w:p>
    <w:p w14:paraId="6CDDF2B3" w14:textId="0F4B03FB" w:rsidR="00A74698" w:rsidRPr="00216A77" w:rsidRDefault="00216A77" w:rsidP="00A74698">
      <w:pPr>
        <w:widowControl w:val="0"/>
        <w:autoSpaceDE w:val="0"/>
        <w:autoSpaceDN w:val="0"/>
        <w:adjustRightInd w:val="0"/>
        <w:spacing w:after="240"/>
        <w:ind w:left="426"/>
        <w:contextualSpacing/>
        <w:rPr>
          <w:rFonts w:ascii="Times" w:hAnsi="Times" w:cs="Times"/>
          <w:color w:val="000000"/>
          <w:lang w:val="en-US"/>
        </w:rPr>
      </w:pPr>
      <w:r w:rsidRPr="0080595E">
        <w:rPr>
          <w:rFonts w:ascii="Times" w:hAnsi="Times" w:cs="Times"/>
          <w:color w:val="000000"/>
          <w:sz w:val="18"/>
          <w:szCs w:val="18"/>
          <w:lang w:val="de-DE"/>
        </w:rPr>
        <w:t>[155]</w:t>
      </w:r>
      <w:r w:rsidR="00A74698" w:rsidRPr="0080595E">
        <w:rPr>
          <w:rFonts w:ascii="Times" w:hAnsi="Times" w:cs="Times"/>
          <w:color w:val="0D6C9E"/>
          <w:sz w:val="18"/>
          <w:szCs w:val="18"/>
          <w:lang w:val="de-DE"/>
        </w:rPr>
        <w:t xml:space="preserve">Minami T, Tateishi R, Nakagomi R, Fujiwara N, Sato M, Enooku K, et al. </w:t>
      </w:r>
      <w:r w:rsidR="00A74698" w:rsidRPr="00BA5C0A">
        <w:rPr>
          <w:rFonts w:ascii="Times" w:hAnsi="Times" w:cs="Times"/>
          <w:color w:val="0D6C9E"/>
          <w:sz w:val="18"/>
          <w:szCs w:val="18"/>
          <w:lang w:val="en-US"/>
        </w:rPr>
        <w:t xml:space="preserve">The impact of direct-acting antivirals on early tumor recurrence after radiofrequency ablation in hepatitis C-related hepatocellular carci- noma. </w:t>
      </w:r>
      <w:r w:rsidR="00A74698" w:rsidRPr="00216A77">
        <w:rPr>
          <w:rFonts w:ascii="Times" w:hAnsi="Times" w:cs="Times"/>
          <w:color w:val="0D6C9E"/>
          <w:sz w:val="18"/>
          <w:szCs w:val="18"/>
          <w:lang w:val="en-US"/>
        </w:rPr>
        <w:t>J Hepatol 2016;65:1272–1273</w:t>
      </w:r>
      <w:r w:rsidR="00A74698" w:rsidRPr="00216A77">
        <w:rPr>
          <w:rFonts w:ascii="Times" w:hAnsi="Times" w:cs="Times"/>
          <w:color w:val="000000"/>
          <w:sz w:val="18"/>
          <w:szCs w:val="18"/>
          <w:lang w:val="en-US"/>
        </w:rPr>
        <w:t xml:space="preserve">. </w:t>
      </w:r>
    </w:p>
    <w:p w14:paraId="19B4A9D3" w14:textId="12AEE3FC" w:rsidR="00A74698" w:rsidRPr="00216A77"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56</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Torres HA, Vauthey JN, Economides MP, Mahale P, Kaseb A. Hepato- cellular carcinoma recurrence after treatment with direct-acting antivirals: first, do no harm by withdrawing treatment. </w:t>
      </w:r>
      <w:r w:rsidR="00A74698" w:rsidRPr="00216A77">
        <w:rPr>
          <w:rFonts w:ascii="Times" w:hAnsi="Times" w:cs="Times"/>
          <w:color w:val="0D6C9E"/>
          <w:sz w:val="18"/>
          <w:szCs w:val="18"/>
          <w:lang w:val="en-US"/>
        </w:rPr>
        <w:t>J Hepatol 2016;65:862–864</w:t>
      </w:r>
      <w:r w:rsidR="00A74698" w:rsidRPr="00216A77">
        <w:rPr>
          <w:rFonts w:ascii="Times" w:hAnsi="Times" w:cs="Times"/>
          <w:color w:val="000000"/>
          <w:sz w:val="18"/>
          <w:szCs w:val="18"/>
          <w:lang w:val="en-US"/>
        </w:rPr>
        <w:t xml:space="preserve">. </w:t>
      </w:r>
    </w:p>
    <w:p w14:paraId="42E3D39A" w14:textId="23020AAD" w:rsidR="00A74698" w:rsidRPr="00216A77"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57</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Zavaglia C, Okolicsanyi S, Cesarini L, Mazzarelli C, Pontecorvi V, Ciaccio A, et al. Is the risk of neoplastic recurrence increased after prescribing direct-acting antivirals for HCV patients whose HCC was previously cured? </w:t>
      </w:r>
      <w:r w:rsidR="00A74698" w:rsidRPr="00216A77">
        <w:rPr>
          <w:rFonts w:ascii="Times" w:hAnsi="Times" w:cs="Times"/>
          <w:color w:val="0D6C9E"/>
          <w:sz w:val="18"/>
          <w:szCs w:val="18"/>
          <w:lang w:val="en-US"/>
        </w:rPr>
        <w:t>J Hepatol 2017;66:236–237</w:t>
      </w:r>
      <w:r w:rsidR="00A74698" w:rsidRPr="00216A77">
        <w:rPr>
          <w:rFonts w:ascii="Times" w:hAnsi="Times" w:cs="Times"/>
          <w:color w:val="000000"/>
          <w:sz w:val="18"/>
          <w:szCs w:val="18"/>
          <w:lang w:val="en-US"/>
        </w:rPr>
        <w:t xml:space="preserve">. </w:t>
      </w:r>
    </w:p>
    <w:p w14:paraId="39398D84" w14:textId="2C49C8DF"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58</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Yasui Y, Kurosaki M, Wang W, Okada M, Kubota Y, Goto T, et al. Direct acting antivirals did not increase early recurrences after curative treatment of HCV-related hepatocellular carcinoma in comparison with IFN-based treatment. </w:t>
      </w:r>
      <w:r w:rsidR="00A74698" w:rsidRPr="003B61EF">
        <w:rPr>
          <w:rFonts w:ascii="Times" w:hAnsi="Times" w:cs="Times"/>
          <w:color w:val="0D6C9E"/>
          <w:sz w:val="18"/>
          <w:szCs w:val="18"/>
          <w:lang w:val="en-US"/>
        </w:rPr>
        <w:t>J Hepatol 2017;66:S748</w:t>
      </w:r>
      <w:r w:rsidR="00A74698" w:rsidRPr="003B61EF">
        <w:rPr>
          <w:rFonts w:ascii="Times" w:hAnsi="Times" w:cs="Times"/>
          <w:color w:val="000000"/>
          <w:sz w:val="18"/>
          <w:szCs w:val="18"/>
          <w:lang w:val="en-US"/>
        </w:rPr>
        <w:t xml:space="preserve">. </w:t>
      </w:r>
    </w:p>
    <w:p w14:paraId="6FF6E13C" w14:textId="4DBBCF1C" w:rsidR="00A74698" w:rsidRPr="00216A77"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59</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Innes H, Barclay ST, Hayes PC, Fraser A, Dillon JF, Stanley A, et al. The risk of hepatocellular carcinoma in cirrhotic patients with hepatitis C and sustained viral response: role of the treatment regimen. </w:t>
      </w:r>
      <w:r w:rsidR="00A74698" w:rsidRPr="00216A77">
        <w:rPr>
          <w:rFonts w:ascii="Times" w:hAnsi="Times" w:cs="Times"/>
          <w:color w:val="0D6C9E"/>
          <w:sz w:val="18"/>
          <w:szCs w:val="18"/>
          <w:lang w:val="en-US"/>
        </w:rPr>
        <w:t>J Hepatol 2018, in press</w:t>
      </w:r>
      <w:r w:rsidR="00A74698" w:rsidRPr="00216A77">
        <w:rPr>
          <w:rFonts w:ascii="Times" w:hAnsi="Times" w:cs="Times"/>
          <w:color w:val="000000"/>
          <w:sz w:val="18"/>
          <w:szCs w:val="18"/>
          <w:lang w:val="en-US"/>
        </w:rPr>
        <w:t xml:space="preserve">. </w:t>
      </w:r>
    </w:p>
    <w:p w14:paraId="6D2BA44B" w14:textId="6799B283" w:rsidR="00A74698" w:rsidRPr="00216A77"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60</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Cabibbo G, Petta S, Calvaruso V, Cacciola I, Cannavo MR, Madonia S, et al. Is early recurrence of hepatocellular carcinoma in HCV cirrhotic patients affected by treatment with direct-acting antivirals? </w:t>
      </w:r>
      <w:r w:rsidR="00A74698" w:rsidRPr="00216A77">
        <w:rPr>
          <w:rFonts w:ascii="Times" w:hAnsi="Times" w:cs="Times"/>
          <w:color w:val="0D6C9E"/>
          <w:sz w:val="18"/>
          <w:szCs w:val="18"/>
          <w:lang w:val="en-US"/>
        </w:rPr>
        <w:t>A prospec- tive multicentre study. Aliment Pharmacol Ther 2017;46:688–695</w:t>
      </w:r>
      <w:r w:rsidR="00A74698" w:rsidRPr="00216A77">
        <w:rPr>
          <w:rFonts w:ascii="Times" w:hAnsi="Times" w:cs="Times"/>
          <w:color w:val="000000"/>
          <w:sz w:val="18"/>
          <w:szCs w:val="18"/>
          <w:lang w:val="en-US"/>
        </w:rPr>
        <w:t xml:space="preserve">. </w:t>
      </w:r>
    </w:p>
    <w:p w14:paraId="3E4AC7DC" w14:textId="6AE30959"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61</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Reddy KR, Bourliere M, Agarwal K, Lawitz E, Osinusi A, Kersey K, et al. Sustained viral response following treatment with direct-acting antivi- ral agents for chronic hepatitis C and the risk of hepatocellular carcinoma. </w:t>
      </w:r>
      <w:r w:rsidR="00A74698" w:rsidRPr="003B61EF">
        <w:rPr>
          <w:rFonts w:ascii="Times" w:hAnsi="Times" w:cs="Times"/>
          <w:color w:val="0D6C9E"/>
          <w:sz w:val="18"/>
          <w:szCs w:val="18"/>
          <w:lang w:val="en-US"/>
        </w:rPr>
        <w:t>J Hepatol 2017;66:S491</w:t>
      </w:r>
      <w:r w:rsidR="00A74698" w:rsidRPr="003B61EF">
        <w:rPr>
          <w:rFonts w:ascii="Times" w:hAnsi="Times" w:cs="Times"/>
          <w:color w:val="000000"/>
          <w:sz w:val="18"/>
          <w:szCs w:val="18"/>
          <w:lang w:val="en-US"/>
        </w:rPr>
        <w:t xml:space="preserve">. </w:t>
      </w:r>
    </w:p>
    <w:p w14:paraId="55E20B14" w14:textId="1BD0FA5E" w:rsidR="00A74698" w:rsidRPr="00216A77"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62</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Telep LE, Muramoto D, Osinusi A, Brainard DM, Reddy KR, Singer AW, et al. No increased risk of hepatocellular carcinoma recurrence in patients following interferon-free, direct-acting antiviral treatment for hepatitis C virus: a cohort study using large-scale administrative medical claims data. </w:t>
      </w:r>
      <w:r w:rsidR="00A74698" w:rsidRPr="00216A77">
        <w:rPr>
          <w:rFonts w:ascii="Times" w:hAnsi="Times" w:cs="Times"/>
          <w:color w:val="0D6C9E"/>
          <w:sz w:val="18"/>
          <w:szCs w:val="18"/>
          <w:lang w:val="en-US"/>
        </w:rPr>
        <w:t>J Hepatol 2017;66:S533</w:t>
      </w:r>
      <w:r w:rsidR="00A74698" w:rsidRPr="00216A77">
        <w:rPr>
          <w:rFonts w:ascii="Times" w:hAnsi="Times" w:cs="Times"/>
          <w:color w:val="000000"/>
          <w:sz w:val="18"/>
          <w:szCs w:val="18"/>
          <w:lang w:val="en-US"/>
        </w:rPr>
        <w:t xml:space="preserve">. </w:t>
      </w:r>
    </w:p>
    <w:p w14:paraId="5BCFD508" w14:textId="13537B30" w:rsidR="00A74698" w:rsidRPr="00216A77"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63</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Huang AC, Mehta N, Dodge JL, Yao FY, Terrault NA. Direct-acting antivirals for hepatitis C do not increase the risk of hepatocellular carcinoma recurrence after locoregional therapy or liver transplant wait list dropout. </w:t>
      </w:r>
      <w:r w:rsidR="00A74698" w:rsidRPr="00216A77">
        <w:rPr>
          <w:rFonts w:ascii="Times" w:hAnsi="Times" w:cs="Times"/>
          <w:color w:val="0D6C9E"/>
          <w:sz w:val="18"/>
          <w:szCs w:val="18"/>
          <w:lang w:val="en-US"/>
        </w:rPr>
        <w:t>Hepatology 2018, in press</w:t>
      </w:r>
      <w:r w:rsidR="00A74698" w:rsidRPr="00216A77">
        <w:rPr>
          <w:rFonts w:ascii="Times" w:hAnsi="Times" w:cs="Times"/>
          <w:color w:val="000000"/>
          <w:sz w:val="18"/>
          <w:szCs w:val="18"/>
          <w:lang w:val="en-US"/>
        </w:rPr>
        <w:t xml:space="preserve">. </w:t>
      </w:r>
    </w:p>
    <w:p w14:paraId="4F2C7AC8" w14:textId="7A65551D" w:rsidR="00A74698" w:rsidRPr="00BA5C0A"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64</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Virlogeux V, Pradat P, Hartig-Lavie K, Bailly F, Maynard M, Ouziel G, et al. Direct-acting antiviral therapy decreases hepatocellular carci- noma recurrence rate in cirrhotic patients with chronic hepatitis C. Liver Int 2017;37:1122–1127</w:t>
      </w:r>
      <w:r w:rsidR="00A74698" w:rsidRPr="00BA5C0A">
        <w:rPr>
          <w:rFonts w:ascii="Times" w:hAnsi="Times" w:cs="Times"/>
          <w:color w:val="000000"/>
          <w:sz w:val="18"/>
          <w:szCs w:val="18"/>
          <w:lang w:val="en-US"/>
        </w:rPr>
        <w:t xml:space="preserve">. </w:t>
      </w:r>
    </w:p>
    <w:p w14:paraId="786F338E" w14:textId="574FBF69" w:rsidR="00A74698" w:rsidRPr="00216A77"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65</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Potthoff A, Berg T, Wedemeyer H. Late hepatitis B virus relapse in patients co-infected with hepatitis B virus and hepatitis C virus after antiviral treatment with pegylated interferon-</w:t>
      </w:r>
      <w:r w:rsidR="00A74698" w:rsidRPr="00BA5C0A">
        <w:rPr>
          <w:rFonts w:ascii="Times" w:hAnsi="Times" w:cs="Times"/>
          <w:color w:val="0D6C9E"/>
          <w:sz w:val="21"/>
          <w:szCs w:val="21"/>
          <w:lang w:val="en-US"/>
        </w:rPr>
        <w:t>a</w:t>
      </w:r>
      <w:r w:rsidR="00A74698" w:rsidRPr="00BA5C0A">
        <w:rPr>
          <w:rFonts w:ascii="Times" w:hAnsi="Times" w:cs="Times"/>
          <w:color w:val="0D6C9E"/>
          <w:sz w:val="18"/>
          <w:szCs w:val="18"/>
          <w:lang w:val="en-US"/>
        </w:rPr>
        <w:t xml:space="preserve">2b and ribavirin. </w:t>
      </w:r>
      <w:r w:rsidR="00A74698" w:rsidRPr="00216A77">
        <w:rPr>
          <w:rFonts w:ascii="Times" w:hAnsi="Times" w:cs="Times"/>
          <w:color w:val="0D6C9E"/>
          <w:sz w:val="18"/>
          <w:szCs w:val="18"/>
          <w:lang w:val="en-US"/>
        </w:rPr>
        <w:t>Scand J Gastroenterol 2009;44:1487–1490</w:t>
      </w:r>
      <w:r w:rsidR="00A74698" w:rsidRPr="00216A77">
        <w:rPr>
          <w:rFonts w:ascii="Times" w:hAnsi="Times" w:cs="Times"/>
          <w:color w:val="000000"/>
          <w:sz w:val="18"/>
          <w:szCs w:val="18"/>
          <w:lang w:val="en-US"/>
        </w:rPr>
        <w:t xml:space="preserve">. </w:t>
      </w:r>
    </w:p>
    <w:p w14:paraId="5D19B3D0" w14:textId="21894AC4"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66</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Wang C, Ji D, Chen J, Shao Q, Li B, Liu J, et al. Hepatitis due to reactivation of hepatitis B virus in endemic areas among </w:t>
      </w:r>
      <w:r w:rsidR="00A74698" w:rsidRPr="00BA5C0A">
        <w:rPr>
          <w:rFonts w:ascii="Times" w:hAnsi="Times" w:cs="Times"/>
          <w:color w:val="0D6C9E"/>
          <w:sz w:val="18"/>
          <w:szCs w:val="18"/>
          <w:lang w:val="en-US"/>
        </w:rPr>
        <w:lastRenderedPageBreak/>
        <w:t xml:space="preserve">patients with hepatitis C treated with direct-acting antiviral agents. </w:t>
      </w:r>
      <w:r w:rsidR="00A74698" w:rsidRPr="003B61EF">
        <w:rPr>
          <w:rFonts w:ascii="Times" w:hAnsi="Times" w:cs="Times"/>
          <w:color w:val="0D6C9E"/>
          <w:sz w:val="18"/>
          <w:szCs w:val="18"/>
          <w:lang w:val="en-US"/>
        </w:rPr>
        <w:t>Clin Gastroen- terol Hepatol 2017;15:132–136</w:t>
      </w:r>
      <w:r w:rsidR="00A74698" w:rsidRPr="003B61EF">
        <w:rPr>
          <w:rFonts w:ascii="Times" w:hAnsi="Times" w:cs="Times"/>
          <w:color w:val="000000"/>
          <w:sz w:val="18"/>
          <w:szCs w:val="18"/>
          <w:lang w:val="en-US"/>
        </w:rPr>
        <w:t xml:space="preserve">. </w:t>
      </w:r>
    </w:p>
    <w:p w14:paraId="3E141BB0" w14:textId="1E3AEC61"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67</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Liu CJ, Chuang WL, Sheen IS, Wang HY, Chen CY, Tseng KC, et al. Efficacy of ledipasvir and sofosbuvir treatment of HCV infection in patients coinfected with HBV. </w:t>
      </w:r>
      <w:r w:rsidR="00A74698" w:rsidRPr="003B61EF">
        <w:rPr>
          <w:rFonts w:ascii="Times" w:hAnsi="Times" w:cs="Times"/>
          <w:color w:val="0D6C9E"/>
          <w:sz w:val="18"/>
          <w:szCs w:val="18"/>
          <w:lang w:val="en-US"/>
        </w:rPr>
        <w:t>Gastroenterology 2018;154:989–997</w:t>
      </w:r>
      <w:r w:rsidR="00A74698" w:rsidRPr="003B61EF">
        <w:rPr>
          <w:rFonts w:ascii="Times" w:hAnsi="Times" w:cs="Times"/>
          <w:color w:val="000000"/>
          <w:sz w:val="18"/>
          <w:szCs w:val="18"/>
          <w:lang w:val="en-US"/>
        </w:rPr>
        <w:t>.</w:t>
      </w:r>
      <w:r w:rsidR="00A74698" w:rsidRPr="003B61EF">
        <w:rPr>
          <w:rFonts w:ascii="MS Mincho" w:eastAsia="MS Mincho" w:hAnsi="MS Mincho" w:cs="MS Mincho"/>
          <w:color w:val="000000"/>
          <w:sz w:val="18"/>
          <w:szCs w:val="18"/>
          <w:lang w:val="en-US"/>
        </w:rPr>
        <w:t> </w:t>
      </w:r>
    </w:p>
    <w:p w14:paraId="247702B6" w14:textId="4ED07D86"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68</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Saadoun D, Thibault V, Si Ahmed SN, Alric L, Mallet M, Guillaud C, et al. Sofosbuvir plus ribavirin for hepatitis C virus-associated cryoglobuli- naemia vasculitis: VASCUVALDIC study. </w:t>
      </w:r>
      <w:r w:rsidR="00A74698" w:rsidRPr="003B61EF">
        <w:rPr>
          <w:rFonts w:ascii="Times" w:hAnsi="Times" w:cs="Times"/>
          <w:color w:val="0D6C9E"/>
          <w:sz w:val="18"/>
          <w:szCs w:val="18"/>
          <w:lang w:val="en-US"/>
        </w:rPr>
        <w:t>Ann Rheum Dis 2016;75:1777–1782</w:t>
      </w:r>
      <w:r w:rsidR="00A74698" w:rsidRPr="003B61EF">
        <w:rPr>
          <w:rFonts w:ascii="Times" w:hAnsi="Times" w:cs="Times"/>
          <w:color w:val="000000"/>
          <w:sz w:val="18"/>
          <w:szCs w:val="18"/>
          <w:lang w:val="en-US"/>
        </w:rPr>
        <w:t xml:space="preserve">. </w:t>
      </w:r>
    </w:p>
    <w:p w14:paraId="04AFB672" w14:textId="6B0A339D"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69</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Sise ME, Bloom AK, Wisocky J, Lin MV, Gustafson JL, Lundquist AL, et al. Treatment of hepatitis C virus-associated mixed cryoglobulinemia with direct-acting antiviral agents. </w:t>
      </w:r>
      <w:r w:rsidR="00A74698" w:rsidRPr="003B61EF">
        <w:rPr>
          <w:rFonts w:ascii="Times" w:hAnsi="Times" w:cs="Times"/>
          <w:color w:val="0D6C9E"/>
          <w:sz w:val="18"/>
          <w:szCs w:val="18"/>
          <w:lang w:val="en-US"/>
        </w:rPr>
        <w:t>Hepatology 2016;63:408–417</w:t>
      </w:r>
      <w:r w:rsidR="00A74698" w:rsidRPr="003B61EF">
        <w:rPr>
          <w:rFonts w:ascii="Times" w:hAnsi="Times" w:cs="Times"/>
          <w:color w:val="000000"/>
          <w:sz w:val="18"/>
          <w:szCs w:val="18"/>
          <w:lang w:val="en-US"/>
        </w:rPr>
        <w:t>.</w:t>
      </w:r>
      <w:r w:rsidR="00A74698" w:rsidRPr="003B61EF">
        <w:rPr>
          <w:rFonts w:ascii="MS Mincho" w:eastAsia="MS Mincho" w:hAnsi="MS Mincho" w:cs="MS Mincho"/>
          <w:color w:val="000000"/>
          <w:sz w:val="18"/>
          <w:szCs w:val="18"/>
          <w:lang w:val="en-US"/>
        </w:rPr>
        <w:t> </w:t>
      </w:r>
    </w:p>
    <w:p w14:paraId="63F6DAF9" w14:textId="1BDA9B98"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70</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Bonacci M, Lens S, Londono MC, Marino Z, Cid MC, Ramos-Casals M, et al. Virologic, clinical, and immune response outcomes of patients with hepatitis C virus-associated cryoglobulinemia treated with direct- acting antivirals. </w:t>
      </w:r>
      <w:r w:rsidR="00A74698" w:rsidRPr="003B61EF">
        <w:rPr>
          <w:rFonts w:ascii="Times" w:hAnsi="Times" w:cs="Times"/>
          <w:color w:val="0D6C9E"/>
          <w:sz w:val="18"/>
          <w:szCs w:val="18"/>
          <w:lang w:val="en-US"/>
        </w:rPr>
        <w:t>Clin Gastroenterol Hepatol 2017;15:575–583, e571</w:t>
      </w:r>
      <w:r w:rsidR="00A74698" w:rsidRPr="003B61EF">
        <w:rPr>
          <w:rFonts w:ascii="Times" w:hAnsi="Times" w:cs="Times"/>
          <w:color w:val="000000"/>
          <w:sz w:val="18"/>
          <w:szCs w:val="18"/>
          <w:lang w:val="en-US"/>
        </w:rPr>
        <w:t xml:space="preserve">. </w:t>
      </w:r>
    </w:p>
    <w:p w14:paraId="103B7F11" w14:textId="247894FC"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71</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Comarmond C, Garrido M, Pol S, Desbois AC, Costopoulos M, Le Garff- Tavernier M, et al. Direct-acting antiviral therapy restores immune tolerance to patients with hepatitis C virus-induced cryoglobulinemia vasculitis. </w:t>
      </w:r>
      <w:r w:rsidR="00A74698" w:rsidRPr="003B61EF">
        <w:rPr>
          <w:rFonts w:ascii="Times" w:hAnsi="Times" w:cs="Times"/>
          <w:color w:val="0D6C9E"/>
          <w:sz w:val="18"/>
          <w:szCs w:val="18"/>
          <w:lang w:val="en-US"/>
        </w:rPr>
        <w:t>Gastroenterology 2017;152:2052–2062, e2052</w:t>
      </w:r>
      <w:r w:rsidR="00A74698" w:rsidRPr="003B61EF">
        <w:rPr>
          <w:rFonts w:ascii="Times" w:hAnsi="Times" w:cs="Times"/>
          <w:color w:val="000000"/>
          <w:sz w:val="18"/>
          <w:szCs w:val="18"/>
          <w:lang w:val="en-US"/>
        </w:rPr>
        <w:t xml:space="preserve">. </w:t>
      </w:r>
    </w:p>
    <w:p w14:paraId="55866546" w14:textId="0E5C0296"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72</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Emery JS, Kuczynski M, La D, Almarzooqi S, Kowgier M, Shah H, et al. Efficacy and safety of direct acting antivirals for the treatment of mixed cryoglobulinemia. </w:t>
      </w:r>
      <w:r w:rsidR="00A74698" w:rsidRPr="003B61EF">
        <w:rPr>
          <w:rFonts w:ascii="Times" w:hAnsi="Times" w:cs="Times"/>
          <w:color w:val="0D6C9E"/>
          <w:sz w:val="18"/>
          <w:szCs w:val="18"/>
          <w:lang w:val="en-US"/>
        </w:rPr>
        <w:t>Am J Gastroenterol 2017;112:1298–1308</w:t>
      </w:r>
      <w:r w:rsidR="00A74698" w:rsidRPr="003B61EF">
        <w:rPr>
          <w:rFonts w:ascii="Times" w:hAnsi="Times" w:cs="Times"/>
          <w:color w:val="000000"/>
          <w:sz w:val="18"/>
          <w:szCs w:val="18"/>
          <w:lang w:val="en-US"/>
        </w:rPr>
        <w:t>.</w:t>
      </w:r>
      <w:r w:rsidR="00A74698" w:rsidRPr="003B61EF">
        <w:rPr>
          <w:rFonts w:ascii="MS Mincho" w:eastAsia="MS Mincho" w:hAnsi="MS Mincho" w:cs="MS Mincho"/>
          <w:color w:val="000000"/>
          <w:sz w:val="18"/>
          <w:szCs w:val="18"/>
          <w:lang w:val="en-US"/>
        </w:rPr>
        <w:t> </w:t>
      </w:r>
    </w:p>
    <w:p w14:paraId="1FE80DD1" w14:textId="63EB6968"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73</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Gragnani L, Piluso A, Urraro T, Fabbrizzi A, Fognani E, Petraccia L, et al. Virological and clinical response to interferon-free regimens in patients with HCV-related mixed cryoglobulinemia: preliminary results of a prospective pilot study. </w:t>
      </w:r>
      <w:r w:rsidR="00A74698" w:rsidRPr="003B61EF">
        <w:rPr>
          <w:rFonts w:ascii="Times" w:hAnsi="Times" w:cs="Times"/>
          <w:color w:val="0D6C9E"/>
          <w:sz w:val="18"/>
          <w:szCs w:val="18"/>
          <w:lang w:val="en-US"/>
        </w:rPr>
        <w:t>Curr Drug Targets 2017;18:772–785</w:t>
      </w:r>
      <w:r w:rsidR="00A74698" w:rsidRPr="003B61EF">
        <w:rPr>
          <w:rFonts w:ascii="Times" w:hAnsi="Times" w:cs="Times"/>
          <w:color w:val="000000"/>
          <w:sz w:val="18"/>
          <w:szCs w:val="18"/>
          <w:lang w:val="en-US"/>
        </w:rPr>
        <w:t xml:space="preserve">. </w:t>
      </w:r>
    </w:p>
    <w:p w14:paraId="2466C72C" w14:textId="47C88158"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74</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Saadoun D, Pol S, Ferfar Y, Alric L, Hezode C, Si Ahmed SN, et al. Efficacy and safety of sofosbuvir plus daclatasvir for treatment of HCV- associated cryoglobulinemia vasculitis. </w:t>
      </w:r>
      <w:r w:rsidR="00A74698" w:rsidRPr="003B61EF">
        <w:rPr>
          <w:rFonts w:ascii="Times" w:hAnsi="Times" w:cs="Times"/>
          <w:color w:val="0D6C9E"/>
          <w:sz w:val="18"/>
          <w:szCs w:val="18"/>
          <w:lang w:val="en-US"/>
        </w:rPr>
        <w:t>Gastroenterology 2017;153:49–52, e45</w:t>
      </w:r>
      <w:r w:rsidR="00A74698" w:rsidRPr="003B61EF">
        <w:rPr>
          <w:rFonts w:ascii="Times" w:hAnsi="Times" w:cs="Times"/>
          <w:color w:val="000000"/>
          <w:sz w:val="18"/>
          <w:szCs w:val="18"/>
          <w:lang w:val="en-US"/>
        </w:rPr>
        <w:t xml:space="preserve">. </w:t>
      </w:r>
    </w:p>
    <w:p w14:paraId="15F397F6" w14:textId="55E21504" w:rsidR="00A74698" w:rsidRPr="00216A77"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75</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Lim LY, La D, Cserti-Gazdewich CM, Shah H. Lymphoma remission by interferon-free HCV eradication without chemotherapy. </w:t>
      </w:r>
      <w:r w:rsidR="00A74698" w:rsidRPr="00216A77">
        <w:rPr>
          <w:rFonts w:ascii="Times" w:hAnsi="Times" w:cs="Times"/>
          <w:color w:val="0D6C9E"/>
          <w:sz w:val="18"/>
          <w:szCs w:val="18"/>
          <w:lang w:val="en-US"/>
        </w:rPr>
        <w:t>ACG Case Rep J 2015;3:69–70</w:t>
      </w:r>
      <w:r w:rsidR="00A74698" w:rsidRPr="00216A77">
        <w:rPr>
          <w:rFonts w:ascii="Times" w:hAnsi="Times" w:cs="Times"/>
          <w:color w:val="000000"/>
          <w:sz w:val="18"/>
          <w:szCs w:val="18"/>
          <w:lang w:val="en-US"/>
        </w:rPr>
        <w:t>.</w:t>
      </w:r>
      <w:r w:rsidR="00A74698" w:rsidRPr="00216A77">
        <w:rPr>
          <w:rFonts w:ascii="MS Mincho" w:eastAsia="MS Mincho" w:hAnsi="MS Mincho" w:cs="MS Mincho"/>
          <w:color w:val="000000"/>
          <w:sz w:val="18"/>
          <w:szCs w:val="18"/>
          <w:lang w:val="en-US"/>
        </w:rPr>
        <w:t> </w:t>
      </w:r>
    </w:p>
    <w:p w14:paraId="3D197BF4" w14:textId="72B6DFE7" w:rsidR="00A74698" w:rsidRPr="00216A77"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76</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Sultanik P, Klotz C, Brault P, Pol S, Mallet V. Regression of an HCV- associated disseminated marginal zone lymphoma under IFN-free antiviral treatment. </w:t>
      </w:r>
      <w:r w:rsidR="00A74698" w:rsidRPr="00216A77">
        <w:rPr>
          <w:rFonts w:ascii="Times" w:hAnsi="Times" w:cs="Times"/>
          <w:color w:val="0D6C9E"/>
          <w:sz w:val="18"/>
          <w:szCs w:val="18"/>
          <w:lang w:val="en-US"/>
        </w:rPr>
        <w:t>Blood 2015;125:2446–2447</w:t>
      </w:r>
      <w:r w:rsidR="00A74698" w:rsidRPr="00216A77">
        <w:rPr>
          <w:rFonts w:ascii="Times" w:hAnsi="Times" w:cs="Times"/>
          <w:color w:val="000000"/>
          <w:sz w:val="18"/>
          <w:szCs w:val="18"/>
          <w:lang w:val="en-US"/>
        </w:rPr>
        <w:t xml:space="preserve">. </w:t>
      </w:r>
    </w:p>
    <w:p w14:paraId="15B51357" w14:textId="032C46E0"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77</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Arcaini L, Besson C, Frigeni M, Fontaine H, Goldaniga M, Casato M, et al. Interferon-free antiviral treatment in B-cell lymphoproliferative disor- ders associated with hepatitis C virus infection. </w:t>
      </w:r>
      <w:r w:rsidR="00A74698" w:rsidRPr="003B61EF">
        <w:rPr>
          <w:rFonts w:ascii="Times" w:hAnsi="Times" w:cs="Times"/>
          <w:color w:val="0D6C9E"/>
          <w:sz w:val="18"/>
          <w:szCs w:val="18"/>
          <w:lang w:val="en-US"/>
        </w:rPr>
        <w:t>Blood 2016;128:2527–2532</w:t>
      </w:r>
      <w:r w:rsidR="00A74698" w:rsidRPr="003B61EF">
        <w:rPr>
          <w:rFonts w:ascii="Times" w:hAnsi="Times" w:cs="Times"/>
          <w:color w:val="000000"/>
          <w:sz w:val="18"/>
          <w:szCs w:val="18"/>
          <w:lang w:val="en-US"/>
        </w:rPr>
        <w:t xml:space="preserve">. </w:t>
      </w:r>
    </w:p>
    <w:p w14:paraId="5EB39FF5" w14:textId="41541D8F"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78</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Persico M, Aglitti A, Caruso R, De Renzo A, Selleri C, Califano C, et al. Efficacy and safety of new direct antiviral agents in hepatitis C virus- infected patients with diffuse large B-cell non-Hodgkin’s lymphoma. </w:t>
      </w:r>
      <w:r w:rsidR="00A74698" w:rsidRPr="003B61EF">
        <w:rPr>
          <w:rFonts w:ascii="Times" w:hAnsi="Times" w:cs="Times"/>
          <w:color w:val="0D6C9E"/>
          <w:sz w:val="18"/>
          <w:szCs w:val="18"/>
          <w:lang w:val="en-US"/>
        </w:rPr>
        <w:t>Hepatology 2018;67:48–55</w:t>
      </w:r>
      <w:r w:rsidR="00A74698" w:rsidRPr="003B61EF">
        <w:rPr>
          <w:rFonts w:ascii="Times" w:hAnsi="Times" w:cs="Times"/>
          <w:color w:val="000000"/>
          <w:sz w:val="18"/>
          <w:szCs w:val="18"/>
          <w:lang w:val="en-US"/>
        </w:rPr>
        <w:t xml:space="preserve">. </w:t>
      </w:r>
    </w:p>
    <w:p w14:paraId="2C0C726A" w14:textId="13C510C2"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79</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Lai TS, Lee MH, Yang HI, You SL, Lu SN, Wang LY, et al. Hepatitis C viral load, genotype, and increased risk of developing end-stage renal disease: REVEAL-HCV study. </w:t>
      </w:r>
      <w:r w:rsidR="00A74698" w:rsidRPr="003B61EF">
        <w:rPr>
          <w:rFonts w:ascii="Times" w:hAnsi="Times" w:cs="Times"/>
          <w:color w:val="0D6C9E"/>
          <w:sz w:val="18"/>
          <w:szCs w:val="18"/>
          <w:lang w:val="en-US"/>
        </w:rPr>
        <w:t>Hepatology 2017;66:784–793</w:t>
      </w:r>
      <w:r w:rsidR="00A74698" w:rsidRPr="003B61EF">
        <w:rPr>
          <w:rFonts w:ascii="Times" w:hAnsi="Times" w:cs="Times"/>
          <w:color w:val="000000"/>
          <w:sz w:val="18"/>
          <w:szCs w:val="18"/>
          <w:lang w:val="en-US"/>
        </w:rPr>
        <w:t>.</w:t>
      </w:r>
      <w:r w:rsidR="00A74698" w:rsidRPr="003B61EF">
        <w:rPr>
          <w:rFonts w:ascii="MS Mincho" w:eastAsia="MS Mincho" w:hAnsi="MS Mincho" w:cs="MS Mincho"/>
          <w:color w:val="000000"/>
          <w:sz w:val="18"/>
          <w:szCs w:val="18"/>
          <w:lang w:val="en-US"/>
        </w:rPr>
        <w:t> </w:t>
      </w:r>
    </w:p>
    <w:p w14:paraId="748E225F" w14:textId="0CADFABF"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80</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Cox-North P, Hawkins KL, Rossiter ST, Hawley MN, Bhattacharya R, Landis CS. Sofosbuvir-based regimens for the treatment of chronic hepatitis C in severe renal dysfunction. </w:t>
      </w:r>
      <w:r w:rsidR="00A74698" w:rsidRPr="003B61EF">
        <w:rPr>
          <w:rFonts w:ascii="Times" w:hAnsi="Times" w:cs="Times"/>
          <w:color w:val="0D6C9E"/>
          <w:sz w:val="18"/>
          <w:szCs w:val="18"/>
          <w:lang w:val="en-US"/>
        </w:rPr>
        <w:t>Hepatol Commun 2017;1:248–255</w:t>
      </w:r>
      <w:r w:rsidR="00A74698" w:rsidRPr="003B61EF">
        <w:rPr>
          <w:rFonts w:ascii="Times" w:hAnsi="Times" w:cs="Times"/>
          <w:color w:val="000000"/>
          <w:sz w:val="18"/>
          <w:szCs w:val="18"/>
          <w:lang w:val="en-US"/>
        </w:rPr>
        <w:t xml:space="preserve">. </w:t>
      </w:r>
    </w:p>
    <w:p w14:paraId="0BC99CDD" w14:textId="094B4FA8"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81</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Saxena V, Koraishy FM, Sise ME, Lim JK, Schmidt M, Chung RT, et al. Safety and efficacy of sofosbuvir-containing regimens in hepatitis C- infected patients with impaired renal function. </w:t>
      </w:r>
      <w:r w:rsidR="00A74698" w:rsidRPr="003B61EF">
        <w:rPr>
          <w:rFonts w:ascii="Times" w:hAnsi="Times" w:cs="Times"/>
          <w:color w:val="0D6C9E"/>
          <w:sz w:val="18"/>
          <w:szCs w:val="18"/>
          <w:lang w:val="en-US"/>
        </w:rPr>
        <w:t>Liver Int 2016;36:807–816</w:t>
      </w:r>
      <w:r w:rsidR="00A74698" w:rsidRPr="003B61EF">
        <w:rPr>
          <w:rFonts w:ascii="Times" w:hAnsi="Times" w:cs="Times"/>
          <w:color w:val="000000"/>
          <w:sz w:val="18"/>
          <w:szCs w:val="18"/>
          <w:lang w:val="en-US"/>
        </w:rPr>
        <w:t xml:space="preserve">. </w:t>
      </w:r>
    </w:p>
    <w:p w14:paraId="5093719F" w14:textId="0D69C391" w:rsidR="00A74698" w:rsidRPr="00BA5C0A"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82</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http://www.ema.europa.eu/docs/en_GB/document_library/EPAR_-_ Product_Information/human/002798/WC500160597.pdf</w:t>
      </w:r>
      <w:r w:rsidR="00A74698" w:rsidRPr="00BA5C0A">
        <w:rPr>
          <w:rFonts w:ascii="Times" w:hAnsi="Times" w:cs="Times"/>
          <w:color w:val="000000"/>
          <w:sz w:val="18"/>
          <w:szCs w:val="18"/>
          <w:lang w:val="en-US"/>
        </w:rPr>
        <w:t xml:space="preserve">. </w:t>
      </w:r>
    </w:p>
    <w:p w14:paraId="437AC876" w14:textId="2CA79DD1"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80595E">
        <w:rPr>
          <w:rFonts w:ascii="Times" w:hAnsi="Times" w:cs="Times"/>
          <w:color w:val="000000"/>
          <w:sz w:val="18"/>
          <w:szCs w:val="18"/>
          <w:lang w:val="de-DE"/>
        </w:rPr>
        <w:t>[183]</w:t>
      </w:r>
      <w:r w:rsidR="00A74698" w:rsidRPr="0080595E">
        <w:rPr>
          <w:rFonts w:ascii="Times" w:hAnsi="Times" w:cs="Times"/>
          <w:color w:val="0D6C9E"/>
          <w:sz w:val="18"/>
          <w:szCs w:val="18"/>
          <w:lang w:val="de-DE"/>
        </w:rPr>
        <w:t xml:space="preserve">Pockros PJ, Reddy KR, Mantry PS, Cohen E, Bennett M, Sulkowski MS, et al. </w:t>
      </w:r>
      <w:r w:rsidR="00A74698" w:rsidRPr="00BA5C0A">
        <w:rPr>
          <w:rFonts w:ascii="Times" w:hAnsi="Times" w:cs="Times"/>
          <w:color w:val="0D6C9E"/>
          <w:sz w:val="18"/>
          <w:szCs w:val="18"/>
          <w:lang w:val="en-US"/>
        </w:rPr>
        <w:t xml:space="preserve">Efficacy of direct-acting antiviral combination for patients with hepatitis C virus genotype 1 infection and severe renal impairment or end-stage renal disease. </w:t>
      </w:r>
      <w:r w:rsidR="00A74698" w:rsidRPr="003B61EF">
        <w:rPr>
          <w:rFonts w:ascii="Times" w:hAnsi="Times" w:cs="Times"/>
          <w:color w:val="0D6C9E"/>
          <w:sz w:val="18"/>
          <w:szCs w:val="18"/>
          <w:lang w:val="en-US"/>
        </w:rPr>
        <w:t>Gastroenterology 2016;150:1590–1598</w:t>
      </w:r>
      <w:r w:rsidR="00A74698" w:rsidRPr="003B61EF">
        <w:rPr>
          <w:rFonts w:ascii="Times" w:hAnsi="Times" w:cs="Times"/>
          <w:color w:val="000000"/>
          <w:sz w:val="18"/>
          <w:szCs w:val="18"/>
          <w:lang w:val="en-US"/>
        </w:rPr>
        <w:t xml:space="preserve">. </w:t>
      </w:r>
    </w:p>
    <w:p w14:paraId="58693FB1" w14:textId="76FED8B2"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84</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Roth D, Nelson DR, Bruchfeld A, Liapakis A, Silva M, Monsour Jr H, et al. Grazoprevir plus elbasvir in treatment-naive and treatment-experi- enced patients with hepatitis C virus genotype 1 infection and stage 4– 5 chronic kidney disease (the C-SURFER study): a combination phase 3 study. </w:t>
      </w:r>
      <w:r w:rsidR="00A74698" w:rsidRPr="003B61EF">
        <w:rPr>
          <w:rFonts w:ascii="Times" w:hAnsi="Times" w:cs="Times"/>
          <w:color w:val="0D6C9E"/>
          <w:sz w:val="18"/>
          <w:szCs w:val="18"/>
          <w:lang w:val="en-US"/>
        </w:rPr>
        <w:t>Lancet 2015;386:1537–1545</w:t>
      </w:r>
      <w:r w:rsidR="00A74698" w:rsidRPr="003B61EF">
        <w:rPr>
          <w:rFonts w:ascii="Times" w:hAnsi="Times" w:cs="Times"/>
          <w:color w:val="000000"/>
          <w:sz w:val="18"/>
          <w:szCs w:val="18"/>
          <w:lang w:val="en-US"/>
        </w:rPr>
        <w:t xml:space="preserve">. </w:t>
      </w:r>
    </w:p>
    <w:p w14:paraId="58BD478F" w14:textId="16369B44"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85</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Bruchfeld A, Roth D, Martin P, Nelson DR, Pol S, Londono MC, et al. Elbasvir plus grazoprevir in patients with hepatitis C virus infection and stage 4–5 chronic kidney disease: clinical, virological, and health- related quality-of-life outcomes from a phase 3, multicentre, ran- domised, double-blind, placebo-controlled trial. </w:t>
      </w:r>
      <w:r w:rsidR="00A74698" w:rsidRPr="003B61EF">
        <w:rPr>
          <w:rFonts w:ascii="Times" w:hAnsi="Times" w:cs="Times"/>
          <w:color w:val="0D6C9E"/>
          <w:sz w:val="18"/>
          <w:szCs w:val="18"/>
          <w:lang w:val="en-US"/>
        </w:rPr>
        <w:t>Lancet Gastroenterol Hepatol 2017;2:585–594</w:t>
      </w:r>
      <w:r w:rsidR="00A74698" w:rsidRPr="003B61EF">
        <w:rPr>
          <w:rFonts w:ascii="Times" w:hAnsi="Times" w:cs="Times"/>
          <w:color w:val="000000"/>
          <w:sz w:val="18"/>
          <w:szCs w:val="18"/>
          <w:lang w:val="en-US"/>
        </w:rPr>
        <w:t xml:space="preserve">. </w:t>
      </w:r>
    </w:p>
    <w:p w14:paraId="706F261E" w14:textId="3EE45960"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86</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Kramer JR, Puenpatom A, Erickson K, Cao Y, Smith DL, El-Serag HB, et al. Effectiveness of elbasvir/grazoprevir in patients with chronic hepatitis C and chronic kidney disease: results from the Veterans Affairs system. </w:t>
      </w:r>
      <w:r w:rsidR="00A74698" w:rsidRPr="003B61EF">
        <w:rPr>
          <w:rFonts w:ascii="Times" w:hAnsi="Times" w:cs="Times"/>
          <w:color w:val="0D6C9E"/>
          <w:sz w:val="18"/>
          <w:szCs w:val="18"/>
          <w:lang w:val="en-US"/>
        </w:rPr>
        <w:t>Hepatology 2017;66:597A</w:t>
      </w:r>
      <w:r w:rsidR="00A74698" w:rsidRPr="003B61EF">
        <w:rPr>
          <w:rFonts w:ascii="Times" w:hAnsi="Times" w:cs="Times"/>
          <w:color w:val="000000"/>
          <w:sz w:val="18"/>
          <w:szCs w:val="18"/>
          <w:lang w:val="en-US"/>
        </w:rPr>
        <w:t xml:space="preserve">. </w:t>
      </w:r>
    </w:p>
    <w:p w14:paraId="73163FB0" w14:textId="5AFCE1C8"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87</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Gane E, Lawitz E, Pugatch D, Papatheodoridis G, Brau N, Brown A, et al. Glecaprevir and pibrentasvir in patients with HCV and severe renal impairment. </w:t>
      </w:r>
      <w:r w:rsidR="00A74698" w:rsidRPr="003B61EF">
        <w:rPr>
          <w:rFonts w:ascii="Times" w:hAnsi="Times" w:cs="Times"/>
          <w:color w:val="0D6C9E"/>
          <w:sz w:val="18"/>
          <w:szCs w:val="18"/>
          <w:lang w:val="en-US"/>
        </w:rPr>
        <w:t>N Engl J Med 2017;377:1448–1455</w:t>
      </w:r>
      <w:r w:rsidR="00A74698" w:rsidRPr="003B61EF">
        <w:rPr>
          <w:rFonts w:ascii="Times" w:hAnsi="Times" w:cs="Times"/>
          <w:color w:val="000000"/>
          <w:sz w:val="18"/>
          <w:szCs w:val="18"/>
          <w:lang w:val="en-US"/>
        </w:rPr>
        <w:t>.</w:t>
      </w:r>
      <w:r w:rsidR="00A74698" w:rsidRPr="003B61EF">
        <w:rPr>
          <w:rFonts w:ascii="MS Mincho" w:eastAsia="MS Mincho" w:hAnsi="MS Mincho" w:cs="MS Mincho"/>
          <w:color w:val="000000"/>
          <w:sz w:val="18"/>
          <w:szCs w:val="18"/>
          <w:lang w:val="en-US"/>
        </w:rPr>
        <w:t> </w:t>
      </w:r>
    </w:p>
    <w:p w14:paraId="37962744" w14:textId="5B0A38B0"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88</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Pol S, Pockros P, Pugatch D, Brau N, Landis C, Elkhashab M, et al. Safety and efficacy of glecaprevir/pibrentasvir in adults with chronic hepatitis C virus infection genotype 1–6 and chronic kidney disease: an integrated analysis. </w:t>
      </w:r>
      <w:r w:rsidR="00A74698" w:rsidRPr="003B61EF">
        <w:rPr>
          <w:rFonts w:ascii="Times" w:hAnsi="Times" w:cs="Times"/>
          <w:color w:val="0D6C9E"/>
          <w:sz w:val="18"/>
          <w:szCs w:val="18"/>
          <w:lang w:val="en-US"/>
        </w:rPr>
        <w:t>J Hepatol 2017;66:S738</w:t>
      </w:r>
      <w:r w:rsidR="00A74698" w:rsidRPr="003B61EF">
        <w:rPr>
          <w:rFonts w:ascii="Times" w:hAnsi="Times" w:cs="Times"/>
          <w:color w:val="000000"/>
          <w:sz w:val="18"/>
          <w:szCs w:val="18"/>
          <w:lang w:val="en-US"/>
        </w:rPr>
        <w:t xml:space="preserve">. </w:t>
      </w:r>
    </w:p>
    <w:p w14:paraId="166D3DF0" w14:textId="1D4082CC"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89</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Beinhardt S, Al Zoairy R, Ferenci P, Kozbial K, Freissmuth C, Stern R, et al. DAA-based antiviral treatment of patients with chronic hepatitis C in the pre- and postkidney transplantation setting. </w:t>
      </w:r>
      <w:r w:rsidR="00A74698" w:rsidRPr="003B61EF">
        <w:rPr>
          <w:rFonts w:ascii="Times" w:hAnsi="Times" w:cs="Times"/>
          <w:color w:val="0D6C9E"/>
          <w:sz w:val="18"/>
          <w:szCs w:val="18"/>
          <w:lang w:val="en-US"/>
        </w:rPr>
        <w:t>Transpl Int 2016;29:999–1007</w:t>
      </w:r>
      <w:r w:rsidR="00A74698" w:rsidRPr="003B61EF">
        <w:rPr>
          <w:rFonts w:ascii="Times" w:hAnsi="Times" w:cs="Times"/>
          <w:color w:val="000000"/>
          <w:sz w:val="18"/>
          <w:szCs w:val="18"/>
          <w:lang w:val="en-US"/>
        </w:rPr>
        <w:t xml:space="preserve">. </w:t>
      </w:r>
    </w:p>
    <w:p w14:paraId="77EDD8AE" w14:textId="77089125"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90</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Kamar N, Marion O, Rostaing L, Cointault O, Ribes D, Lavayssiere L, et al. Efficacy and safety of sofosbuvir-based antiviral therapy to treat hepatitis C virus infection after kidney transplantation. </w:t>
      </w:r>
      <w:r w:rsidR="00A74698" w:rsidRPr="003B61EF">
        <w:rPr>
          <w:rFonts w:ascii="Times" w:hAnsi="Times" w:cs="Times"/>
          <w:color w:val="0D6C9E"/>
          <w:sz w:val="18"/>
          <w:szCs w:val="18"/>
          <w:lang w:val="en-US"/>
        </w:rPr>
        <w:t>Am J Transplant 2016;16:1474–1479</w:t>
      </w:r>
      <w:r w:rsidR="00A74698" w:rsidRPr="003B61EF">
        <w:rPr>
          <w:rFonts w:ascii="Times" w:hAnsi="Times" w:cs="Times"/>
          <w:color w:val="000000"/>
          <w:sz w:val="18"/>
          <w:szCs w:val="18"/>
          <w:lang w:val="en-US"/>
        </w:rPr>
        <w:t xml:space="preserve">. </w:t>
      </w:r>
    </w:p>
    <w:p w14:paraId="7A9E89C3" w14:textId="298A20D8" w:rsidR="00A74698" w:rsidRPr="00216A77"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91</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Lin MV, Sise ME, Pavlakis M, Amundsen BM, Chute D, Rutherford AE, et al. Efficacy and safety of direct acting antivirals in kidney transplant recipients with chronic hepatitis C virus infection. </w:t>
      </w:r>
      <w:r w:rsidR="00A74698" w:rsidRPr="00216A77">
        <w:rPr>
          <w:rFonts w:ascii="Times" w:hAnsi="Times" w:cs="Times"/>
          <w:color w:val="0D6C9E"/>
          <w:sz w:val="18"/>
          <w:szCs w:val="18"/>
          <w:lang w:val="en-US"/>
        </w:rPr>
        <w:t>PLoS One 2016;11: e0158431</w:t>
      </w:r>
      <w:r w:rsidR="00A74698" w:rsidRPr="00216A77">
        <w:rPr>
          <w:rFonts w:ascii="Times" w:hAnsi="Times" w:cs="Times"/>
          <w:color w:val="000000"/>
          <w:sz w:val="18"/>
          <w:szCs w:val="18"/>
          <w:lang w:val="en-US"/>
        </w:rPr>
        <w:t xml:space="preserve">. </w:t>
      </w:r>
    </w:p>
    <w:p w14:paraId="2F17F61A" w14:textId="26CC8D2D" w:rsidR="00A74698" w:rsidRPr="0080595E" w:rsidRDefault="00216A77" w:rsidP="00A74698">
      <w:pPr>
        <w:widowControl w:val="0"/>
        <w:autoSpaceDE w:val="0"/>
        <w:autoSpaceDN w:val="0"/>
        <w:adjustRightInd w:val="0"/>
        <w:spacing w:after="240"/>
        <w:ind w:left="426"/>
        <w:contextualSpacing/>
        <w:rPr>
          <w:rFonts w:ascii="Times" w:hAnsi="Times" w:cs="Times"/>
          <w:color w:val="000000"/>
          <w:lang w:val="de-DE"/>
        </w:rPr>
      </w:pPr>
      <w:r w:rsidRPr="00A74698">
        <w:rPr>
          <w:rFonts w:ascii="Times" w:hAnsi="Times" w:cs="Times"/>
          <w:color w:val="000000"/>
          <w:sz w:val="18"/>
          <w:szCs w:val="18"/>
          <w:lang w:val="en-US"/>
        </w:rPr>
        <w:t>[1</w:t>
      </w:r>
      <w:r>
        <w:rPr>
          <w:rFonts w:ascii="Times" w:hAnsi="Times" w:cs="Times"/>
          <w:color w:val="000000"/>
          <w:sz w:val="18"/>
          <w:szCs w:val="18"/>
          <w:lang w:val="en-US"/>
        </w:rPr>
        <w:t>92</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Colombo M, Aghemo A, Liu H, Zhang J, Dvory-Sobol H, Hyland R, et al. Treatment with ledipasvir-sofosbuvir for 12 or 24 weeks in kidney transplant recipients with chronic hepatitis C virus genotype 1 or 4 infection: a randomized trial. </w:t>
      </w:r>
      <w:r w:rsidR="00A74698" w:rsidRPr="0080595E">
        <w:rPr>
          <w:rFonts w:ascii="Times" w:hAnsi="Times" w:cs="Times"/>
          <w:color w:val="0D6C9E"/>
          <w:sz w:val="18"/>
          <w:szCs w:val="18"/>
          <w:lang w:val="de-DE"/>
        </w:rPr>
        <w:t>Ann Intern Med 2017;166:109–117</w:t>
      </w:r>
      <w:r w:rsidR="00A74698" w:rsidRPr="0080595E">
        <w:rPr>
          <w:rFonts w:ascii="Times" w:hAnsi="Times" w:cs="Times"/>
          <w:color w:val="000000"/>
          <w:sz w:val="18"/>
          <w:szCs w:val="18"/>
          <w:lang w:val="de-DE"/>
        </w:rPr>
        <w:t xml:space="preserve">. </w:t>
      </w:r>
    </w:p>
    <w:p w14:paraId="45490B74" w14:textId="054B2913"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80595E">
        <w:rPr>
          <w:rFonts w:ascii="Times" w:hAnsi="Times" w:cs="Times"/>
          <w:color w:val="000000"/>
          <w:sz w:val="18"/>
          <w:szCs w:val="18"/>
          <w:lang w:val="de-DE"/>
        </w:rPr>
        <w:t>[193]</w:t>
      </w:r>
      <w:r w:rsidR="00A74698" w:rsidRPr="0080595E">
        <w:rPr>
          <w:rFonts w:ascii="Times" w:hAnsi="Times" w:cs="Times"/>
          <w:color w:val="0D6C9E"/>
          <w:sz w:val="18"/>
          <w:szCs w:val="18"/>
          <w:lang w:val="de-DE"/>
        </w:rPr>
        <w:t xml:space="preserve">Saxena V, Khungar V, Verna EC, Levitsky J, Brown Jr RS, Hassan MA, et al. </w:t>
      </w:r>
      <w:r w:rsidR="00A74698" w:rsidRPr="00BA5C0A">
        <w:rPr>
          <w:rFonts w:ascii="Times" w:hAnsi="Times" w:cs="Times"/>
          <w:color w:val="0D6C9E"/>
          <w:sz w:val="18"/>
          <w:szCs w:val="18"/>
          <w:lang w:val="en-US"/>
        </w:rPr>
        <w:t xml:space="preserve">Safety and efficacy of current direct-acting antiviral regimens in kidney and liver transplant recipients with hepatitis C: results from the HCV-TARGET study. </w:t>
      </w:r>
      <w:r w:rsidR="00A74698" w:rsidRPr="003B61EF">
        <w:rPr>
          <w:rFonts w:ascii="Times" w:hAnsi="Times" w:cs="Times"/>
          <w:color w:val="0D6C9E"/>
          <w:sz w:val="18"/>
          <w:szCs w:val="18"/>
          <w:lang w:val="en-US"/>
        </w:rPr>
        <w:t>Hepatology 2017;66:1090–1101</w:t>
      </w:r>
      <w:r w:rsidR="00A74698" w:rsidRPr="003B61EF">
        <w:rPr>
          <w:rFonts w:ascii="Times" w:hAnsi="Times" w:cs="Times"/>
          <w:color w:val="000000"/>
          <w:sz w:val="18"/>
          <w:szCs w:val="18"/>
          <w:lang w:val="en-US"/>
        </w:rPr>
        <w:t xml:space="preserve">. </w:t>
      </w:r>
    </w:p>
    <w:p w14:paraId="1E4929F9" w14:textId="79365A67"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94</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Goldberg DS, Abt PL, Reese PP. Transplanting HCV-infected kidneys into uninfected recipients. </w:t>
      </w:r>
      <w:r w:rsidR="00A74698" w:rsidRPr="003B61EF">
        <w:rPr>
          <w:rFonts w:ascii="Times" w:hAnsi="Times" w:cs="Times"/>
          <w:color w:val="0D6C9E"/>
          <w:sz w:val="18"/>
          <w:szCs w:val="18"/>
          <w:lang w:val="en-US"/>
        </w:rPr>
        <w:t>N Engl J Med 2017;377:1105</w:t>
      </w:r>
      <w:r w:rsidR="00A74698" w:rsidRPr="003B61EF">
        <w:rPr>
          <w:rFonts w:ascii="Times" w:hAnsi="Times" w:cs="Times"/>
          <w:color w:val="000000"/>
          <w:sz w:val="18"/>
          <w:szCs w:val="18"/>
          <w:lang w:val="en-US"/>
        </w:rPr>
        <w:t>.</w:t>
      </w:r>
      <w:r w:rsidR="00A74698" w:rsidRPr="003B61EF">
        <w:rPr>
          <w:rFonts w:ascii="MS Mincho" w:eastAsia="MS Mincho" w:hAnsi="MS Mincho" w:cs="MS Mincho"/>
          <w:color w:val="000000"/>
          <w:sz w:val="18"/>
          <w:szCs w:val="18"/>
          <w:lang w:val="en-US"/>
        </w:rPr>
        <w:t> </w:t>
      </w:r>
    </w:p>
    <w:p w14:paraId="77DBFE36" w14:textId="1B546DA7"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95</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Scott DR, Wong JK, Spicer TS, Dent H, Mensah FK, McDonald S, et al. Adverse impact of hepatitis C virus infection on renal replacement therapy and renal transplant patients in Australia and New Zealand. </w:t>
      </w:r>
      <w:r w:rsidR="00A74698" w:rsidRPr="003B61EF">
        <w:rPr>
          <w:rFonts w:ascii="Times" w:hAnsi="Times" w:cs="Times"/>
          <w:color w:val="0D6C9E"/>
          <w:sz w:val="18"/>
          <w:szCs w:val="18"/>
          <w:lang w:val="en-US"/>
        </w:rPr>
        <w:t>Transplantation 2010;90:1165–1171</w:t>
      </w:r>
      <w:r w:rsidR="00A74698" w:rsidRPr="003B61EF">
        <w:rPr>
          <w:rFonts w:ascii="Times" w:hAnsi="Times" w:cs="Times"/>
          <w:color w:val="000000"/>
          <w:sz w:val="18"/>
          <w:szCs w:val="18"/>
          <w:lang w:val="en-US"/>
        </w:rPr>
        <w:t xml:space="preserve">. </w:t>
      </w:r>
    </w:p>
    <w:p w14:paraId="4DB445C4" w14:textId="2EDA9BF8" w:rsidR="00A74698" w:rsidRPr="0080595E" w:rsidRDefault="00216A77" w:rsidP="00A74698">
      <w:pPr>
        <w:widowControl w:val="0"/>
        <w:autoSpaceDE w:val="0"/>
        <w:autoSpaceDN w:val="0"/>
        <w:adjustRightInd w:val="0"/>
        <w:spacing w:after="240"/>
        <w:ind w:left="426"/>
        <w:contextualSpacing/>
        <w:rPr>
          <w:rFonts w:ascii="Times" w:hAnsi="Times" w:cs="Times"/>
          <w:color w:val="000000"/>
          <w:lang w:val="de-DE"/>
        </w:rPr>
      </w:pPr>
      <w:r w:rsidRPr="00A74698">
        <w:rPr>
          <w:rFonts w:ascii="Times" w:hAnsi="Times" w:cs="Times"/>
          <w:color w:val="000000"/>
          <w:sz w:val="18"/>
          <w:szCs w:val="18"/>
          <w:lang w:val="en-US"/>
        </w:rPr>
        <w:t>[1</w:t>
      </w:r>
      <w:r>
        <w:rPr>
          <w:rFonts w:ascii="Times" w:hAnsi="Times" w:cs="Times"/>
          <w:color w:val="000000"/>
          <w:sz w:val="18"/>
          <w:szCs w:val="18"/>
          <w:lang w:val="en-US"/>
        </w:rPr>
        <w:t>96</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van Wagner LB, Baker T, Ahya SN, Norvell JP, Wang E, Levitsky J. Outcomes of patients with hepatitis C undergoing simultaneous liver- kidney transplantation. </w:t>
      </w:r>
      <w:r w:rsidR="00A74698" w:rsidRPr="0080595E">
        <w:rPr>
          <w:rFonts w:ascii="Times" w:hAnsi="Times" w:cs="Times"/>
          <w:color w:val="0D6C9E"/>
          <w:sz w:val="18"/>
          <w:szCs w:val="18"/>
          <w:lang w:val="de-DE"/>
        </w:rPr>
        <w:t>J Hepatol 2009;51:874–880</w:t>
      </w:r>
      <w:r w:rsidR="00A74698" w:rsidRPr="0080595E">
        <w:rPr>
          <w:rFonts w:ascii="Times" w:hAnsi="Times" w:cs="Times"/>
          <w:color w:val="000000"/>
          <w:sz w:val="18"/>
          <w:szCs w:val="18"/>
          <w:lang w:val="de-DE"/>
        </w:rPr>
        <w:t>.</w:t>
      </w:r>
      <w:r w:rsidR="00A74698" w:rsidRPr="0080595E">
        <w:rPr>
          <w:rFonts w:ascii="MS Mincho" w:eastAsia="MS Mincho" w:hAnsi="MS Mincho" w:cs="MS Mincho"/>
          <w:color w:val="000000"/>
          <w:sz w:val="18"/>
          <w:szCs w:val="18"/>
          <w:lang w:val="de-DE"/>
        </w:rPr>
        <w:t> </w:t>
      </w:r>
    </w:p>
    <w:p w14:paraId="17E55CA1" w14:textId="37658019"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80595E">
        <w:rPr>
          <w:rFonts w:ascii="Times" w:hAnsi="Times" w:cs="Times"/>
          <w:color w:val="000000"/>
          <w:sz w:val="18"/>
          <w:szCs w:val="18"/>
          <w:lang w:val="de-DE"/>
        </w:rPr>
        <w:lastRenderedPageBreak/>
        <w:t>[197]</w:t>
      </w:r>
      <w:r w:rsidR="00A74698" w:rsidRPr="0080595E">
        <w:rPr>
          <w:rFonts w:ascii="Times" w:hAnsi="Times" w:cs="Times"/>
          <w:color w:val="0D6C9E"/>
          <w:sz w:val="18"/>
          <w:szCs w:val="18"/>
          <w:lang w:val="de-DE"/>
        </w:rPr>
        <w:t xml:space="preserve">Eisenberger U, Guberina H, Willuweit K, Bienholz A, Kribben A, Gerken G, et al. </w:t>
      </w:r>
      <w:r w:rsidR="00A74698" w:rsidRPr="00BA5C0A">
        <w:rPr>
          <w:rFonts w:ascii="Times" w:hAnsi="Times" w:cs="Times"/>
          <w:color w:val="0D6C9E"/>
          <w:sz w:val="18"/>
          <w:szCs w:val="18"/>
          <w:lang w:val="en-US"/>
        </w:rPr>
        <w:t xml:space="preserve">Successful treatment of chronic hepatitis C virus infection with sofosbuvir and ledipasvir in renal transplant recipients. </w:t>
      </w:r>
      <w:r w:rsidR="00A74698" w:rsidRPr="003B61EF">
        <w:rPr>
          <w:rFonts w:ascii="Times" w:hAnsi="Times" w:cs="Times"/>
          <w:color w:val="0D6C9E"/>
          <w:sz w:val="18"/>
          <w:szCs w:val="18"/>
          <w:lang w:val="en-US"/>
        </w:rPr>
        <w:t>Transplantation 2017;101:980–986</w:t>
      </w:r>
      <w:r w:rsidR="00A74698" w:rsidRPr="003B61EF">
        <w:rPr>
          <w:rFonts w:ascii="Times" w:hAnsi="Times" w:cs="Times"/>
          <w:color w:val="000000"/>
          <w:sz w:val="18"/>
          <w:szCs w:val="18"/>
          <w:lang w:val="en-US"/>
        </w:rPr>
        <w:t xml:space="preserve">. </w:t>
      </w:r>
    </w:p>
    <w:p w14:paraId="551F3998" w14:textId="541B915D" w:rsidR="00A74698" w:rsidRPr="00BA5C0A"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98</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Fernandez I, Munoz-Gomez R, Pascasio JM, Baliellas C, Polanco N, Esforzado N, et al. Efficacy and tolerability of interferon-free antiviral therapy in kidney transplant recipients with chronic hepatitis C. J Hepatol 2017;66:718–723</w:t>
      </w:r>
      <w:r w:rsidR="00A74698" w:rsidRPr="00BA5C0A">
        <w:rPr>
          <w:rFonts w:ascii="Times" w:hAnsi="Times" w:cs="Times"/>
          <w:color w:val="000000"/>
          <w:sz w:val="18"/>
          <w:szCs w:val="18"/>
          <w:lang w:val="en-US"/>
        </w:rPr>
        <w:t xml:space="preserve">. </w:t>
      </w:r>
    </w:p>
    <w:p w14:paraId="29F16366" w14:textId="01E5F89A"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[1</w:t>
      </w:r>
      <w:r>
        <w:rPr>
          <w:rFonts w:ascii="Times" w:hAnsi="Times" w:cs="Times"/>
          <w:color w:val="000000"/>
          <w:sz w:val="18"/>
          <w:szCs w:val="18"/>
          <w:lang w:val="en-US"/>
        </w:rPr>
        <w:t>99</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Lubetzky M, Chun S, Joelson A, Coco M, Kamal L, Ajaimy M, et al. Safety and efficacy of treatment of hepatitis C in kidney transplant recipients with directly acting antiviral agents. </w:t>
      </w:r>
      <w:r w:rsidR="00A74698" w:rsidRPr="003B61EF">
        <w:rPr>
          <w:rFonts w:ascii="Times" w:hAnsi="Times" w:cs="Times"/>
          <w:color w:val="0D6C9E"/>
          <w:sz w:val="18"/>
          <w:szCs w:val="18"/>
          <w:lang w:val="en-US"/>
        </w:rPr>
        <w:t>Transplantation 2017;101:1704–1710</w:t>
      </w:r>
      <w:r w:rsidR="00A74698" w:rsidRPr="003B61EF">
        <w:rPr>
          <w:rFonts w:ascii="Times" w:hAnsi="Times" w:cs="Times"/>
          <w:color w:val="000000"/>
          <w:sz w:val="18"/>
          <w:szCs w:val="18"/>
          <w:lang w:val="en-US"/>
        </w:rPr>
        <w:t xml:space="preserve">. </w:t>
      </w:r>
    </w:p>
    <w:p w14:paraId="2C7EF81A" w14:textId="284AEB7F"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200</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Morales AL, Liriano-Ward L, Tierney A, Sang M, Lalos A, Hassan M, et al. Ledipasvir/sofosbuvir is effective and well tolerated in postkidney transplant patients with chronic hepatitis C virus. </w:t>
      </w:r>
      <w:r w:rsidR="00A74698" w:rsidRPr="003B61EF">
        <w:rPr>
          <w:rFonts w:ascii="Times" w:hAnsi="Times" w:cs="Times"/>
          <w:color w:val="0D6C9E"/>
          <w:sz w:val="18"/>
          <w:szCs w:val="18"/>
          <w:lang w:val="en-US"/>
        </w:rPr>
        <w:t>Clin Transplant 2017;31:e12941</w:t>
      </w:r>
      <w:r w:rsidR="00A74698" w:rsidRPr="003B61EF">
        <w:rPr>
          <w:rFonts w:ascii="Times" w:hAnsi="Times" w:cs="Times"/>
          <w:color w:val="000000"/>
          <w:sz w:val="18"/>
          <w:szCs w:val="18"/>
          <w:lang w:val="en-US"/>
        </w:rPr>
        <w:t xml:space="preserve">. </w:t>
      </w:r>
    </w:p>
    <w:p w14:paraId="1E00D231" w14:textId="789E2711"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201</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Liu CH, Chen YS, Wang SS, Liu CJ, Su TH, Yang HC, et al. Sofosbuvir- based interferon-free direct acting antiviral regimens for heart trans- plant recipients with chronic hepatitis C virus infection. </w:t>
      </w:r>
      <w:r w:rsidR="00A74698" w:rsidRPr="003B61EF">
        <w:rPr>
          <w:rFonts w:ascii="Times" w:hAnsi="Times" w:cs="Times"/>
          <w:color w:val="0D6C9E"/>
          <w:sz w:val="18"/>
          <w:szCs w:val="18"/>
          <w:lang w:val="en-US"/>
        </w:rPr>
        <w:t>Clin Infect Dis 2018;66:289–292</w:t>
      </w:r>
      <w:r w:rsidR="00A74698" w:rsidRPr="003B61EF">
        <w:rPr>
          <w:rFonts w:ascii="Times" w:hAnsi="Times" w:cs="Times"/>
          <w:color w:val="000000"/>
          <w:sz w:val="18"/>
          <w:szCs w:val="18"/>
          <w:lang w:val="en-US"/>
        </w:rPr>
        <w:t xml:space="preserve">. </w:t>
      </w:r>
    </w:p>
    <w:p w14:paraId="208C65FD" w14:textId="4D6442B6" w:rsidR="00A74698" w:rsidRPr="00216A77"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202</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D’Ambrosio R, Aghemo A, Rossetti V, Carrinola R, Colombo M. Sofos- buvir-based regimens for the treatment of hepatitis C virus in patients who underwent lung transplant: case series and review of the literature. </w:t>
      </w:r>
      <w:r w:rsidR="00A74698" w:rsidRPr="00216A77">
        <w:rPr>
          <w:rFonts w:ascii="Times" w:hAnsi="Times" w:cs="Times"/>
          <w:color w:val="0D6C9E"/>
          <w:sz w:val="18"/>
          <w:szCs w:val="18"/>
          <w:lang w:val="en-US"/>
        </w:rPr>
        <w:t>Liver Int 2016;36:1585–1589</w:t>
      </w:r>
      <w:r w:rsidR="00A74698" w:rsidRPr="00216A77">
        <w:rPr>
          <w:rFonts w:ascii="Times" w:hAnsi="Times" w:cs="Times"/>
          <w:color w:val="000000"/>
          <w:sz w:val="18"/>
          <w:szCs w:val="18"/>
          <w:lang w:val="en-US"/>
        </w:rPr>
        <w:t xml:space="preserve">. </w:t>
      </w:r>
    </w:p>
    <w:p w14:paraId="453159A0" w14:textId="7765946B" w:rsidR="00A74698" w:rsidRPr="00216A77"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203</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Bari K, Luckett K, Kaiser T, Diwan T, Cuffy M, Schoech M, et al. Hepatitis C transmission from seropositive, non-viremic donors to non-hepatitis C liver transplant recipients. </w:t>
      </w:r>
      <w:r w:rsidR="00A74698" w:rsidRPr="00216A77">
        <w:rPr>
          <w:rFonts w:ascii="Times" w:hAnsi="Times" w:cs="Times"/>
          <w:color w:val="0D6C9E"/>
          <w:sz w:val="18"/>
          <w:szCs w:val="18"/>
          <w:lang w:val="en-US"/>
        </w:rPr>
        <w:t>Hepatology 2018, in press</w:t>
      </w:r>
      <w:r w:rsidR="00A74698" w:rsidRPr="00216A77">
        <w:rPr>
          <w:rFonts w:ascii="Times" w:hAnsi="Times" w:cs="Times"/>
          <w:color w:val="000000"/>
          <w:sz w:val="18"/>
          <w:szCs w:val="18"/>
          <w:lang w:val="en-US"/>
        </w:rPr>
        <w:t>.</w:t>
      </w:r>
      <w:r w:rsidR="00A74698" w:rsidRPr="00216A77">
        <w:rPr>
          <w:rFonts w:ascii="MS Mincho" w:eastAsia="MS Mincho" w:hAnsi="MS Mincho" w:cs="MS Mincho"/>
          <w:color w:val="000000"/>
          <w:sz w:val="18"/>
          <w:szCs w:val="18"/>
          <w:lang w:val="en-US"/>
        </w:rPr>
        <w:t> </w:t>
      </w:r>
    </w:p>
    <w:p w14:paraId="11482A3E" w14:textId="6B5C1611" w:rsidR="00A74698" w:rsidRPr="00216A77"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204</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Coilly A, Samuel D. Pros and Cons: Usage of organs from donors infected with hepatitis C virus. </w:t>
      </w:r>
      <w:r w:rsidR="00A74698" w:rsidRPr="00216A77">
        <w:rPr>
          <w:rFonts w:ascii="Times" w:hAnsi="Times" w:cs="Times"/>
          <w:color w:val="0D6C9E"/>
          <w:sz w:val="18"/>
          <w:szCs w:val="18"/>
          <w:lang w:val="en-US"/>
        </w:rPr>
        <w:t>Revision in the direct-acting antiviral era. J Hepatol 2016;64:226–231</w:t>
      </w:r>
      <w:r w:rsidR="00A74698" w:rsidRPr="00216A77">
        <w:rPr>
          <w:rFonts w:ascii="Times" w:hAnsi="Times" w:cs="Times"/>
          <w:color w:val="000000"/>
          <w:sz w:val="18"/>
          <w:szCs w:val="18"/>
          <w:lang w:val="en-US"/>
        </w:rPr>
        <w:t xml:space="preserve">. </w:t>
      </w:r>
    </w:p>
    <w:p w14:paraId="18893B35" w14:textId="6C574820" w:rsidR="00A74698" w:rsidRPr="0080595E" w:rsidRDefault="00216A77" w:rsidP="00A74698">
      <w:pPr>
        <w:widowControl w:val="0"/>
        <w:autoSpaceDE w:val="0"/>
        <w:autoSpaceDN w:val="0"/>
        <w:adjustRightInd w:val="0"/>
        <w:spacing w:after="240"/>
        <w:ind w:left="426"/>
        <w:contextualSpacing/>
        <w:rPr>
          <w:rFonts w:ascii="Times" w:hAnsi="Times" w:cs="Times"/>
          <w:color w:val="000000"/>
          <w:lang w:val="de-DE"/>
        </w:rPr>
      </w:pPr>
      <w:r w:rsidRPr="00A74698">
        <w:rPr>
          <w:rFonts w:ascii="Times" w:hAnsi="Times" w:cs="Times"/>
          <w:color w:val="000000"/>
          <w:sz w:val="18"/>
          <w:szCs w:val="18"/>
          <w:lang w:val="en-US"/>
        </w:rPr>
        <w:t>[</w:t>
      </w:r>
      <w:r>
        <w:rPr>
          <w:rFonts w:ascii="Times" w:hAnsi="Times" w:cs="Times"/>
          <w:color w:val="000000"/>
          <w:sz w:val="18"/>
          <w:szCs w:val="18"/>
          <w:lang w:val="en-US"/>
        </w:rPr>
        <w:t>205</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Bowring MG, Kucirka LM, Massie AB, Luo X, Cameron A, Sulkowski M, et al. Changes in utilization and discard of hepatitis C-infected donor livers in the recent era. </w:t>
      </w:r>
      <w:r w:rsidR="00A74698" w:rsidRPr="0080595E">
        <w:rPr>
          <w:rFonts w:ascii="Times" w:hAnsi="Times" w:cs="Times"/>
          <w:color w:val="0D6C9E"/>
          <w:sz w:val="18"/>
          <w:szCs w:val="18"/>
          <w:lang w:val="de-DE"/>
        </w:rPr>
        <w:t>Am J Transplant 2017;17:519–527</w:t>
      </w:r>
      <w:r w:rsidR="00A74698" w:rsidRPr="0080595E">
        <w:rPr>
          <w:rFonts w:ascii="Times" w:hAnsi="Times" w:cs="Times"/>
          <w:color w:val="000000"/>
          <w:sz w:val="18"/>
          <w:szCs w:val="18"/>
          <w:lang w:val="de-DE"/>
        </w:rPr>
        <w:t>.</w:t>
      </w:r>
      <w:r w:rsidR="00A74698" w:rsidRPr="0080595E">
        <w:rPr>
          <w:rFonts w:ascii="MS Mincho" w:eastAsia="MS Mincho" w:hAnsi="MS Mincho" w:cs="MS Mincho"/>
          <w:color w:val="000000"/>
          <w:sz w:val="18"/>
          <w:szCs w:val="18"/>
          <w:lang w:val="de-DE"/>
        </w:rPr>
        <w:t> </w:t>
      </w:r>
    </w:p>
    <w:p w14:paraId="63B119F2" w14:textId="486A37E8"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80595E">
        <w:rPr>
          <w:rFonts w:ascii="Times" w:hAnsi="Times" w:cs="Times"/>
          <w:color w:val="000000"/>
          <w:sz w:val="18"/>
          <w:szCs w:val="18"/>
          <w:lang w:val="de-DE"/>
        </w:rPr>
        <w:t>[206]</w:t>
      </w:r>
      <w:r w:rsidR="00A74698" w:rsidRPr="0080595E">
        <w:rPr>
          <w:rFonts w:ascii="Times" w:hAnsi="Times" w:cs="Times"/>
          <w:color w:val="0D6C9E"/>
          <w:sz w:val="18"/>
          <w:szCs w:val="18"/>
          <w:lang w:val="de-DE"/>
        </w:rPr>
        <w:t xml:space="preserve">Zibbell JE, Asher AK, Patel RC, Kupronis B, Iqbal K, Ward JW, et al. </w:t>
      </w:r>
      <w:r w:rsidR="00A74698" w:rsidRPr="00BA5C0A">
        <w:rPr>
          <w:rFonts w:ascii="Times" w:hAnsi="Times" w:cs="Times"/>
          <w:color w:val="0D6C9E"/>
          <w:sz w:val="18"/>
          <w:szCs w:val="18"/>
          <w:lang w:val="en-US"/>
        </w:rPr>
        <w:t xml:space="preserve">Increases in acute hepatitis C virus infection related to a growing opioid epidemic and associated injection drug use, United States, 2004 to 2014. </w:t>
      </w:r>
      <w:r w:rsidR="00A74698" w:rsidRPr="003B61EF">
        <w:rPr>
          <w:rFonts w:ascii="Times" w:hAnsi="Times" w:cs="Times"/>
          <w:color w:val="0D6C9E"/>
          <w:sz w:val="18"/>
          <w:szCs w:val="18"/>
          <w:lang w:val="en-US"/>
        </w:rPr>
        <w:t>Am J Public Health 2018;108:175–181</w:t>
      </w:r>
      <w:r w:rsidR="00A74698" w:rsidRPr="003B61EF">
        <w:rPr>
          <w:rFonts w:ascii="Times" w:hAnsi="Times" w:cs="Times"/>
          <w:color w:val="000000"/>
          <w:sz w:val="18"/>
          <w:szCs w:val="18"/>
          <w:lang w:val="en-US"/>
        </w:rPr>
        <w:t xml:space="preserve">. </w:t>
      </w:r>
    </w:p>
    <w:p w14:paraId="1C3D53E0" w14:textId="5970A759" w:rsidR="00A74698" w:rsidRPr="00216A77"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207</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Larney S, Grebely J, Hickman M, De Angelis D, Dore GJ, Degenhardt L. Defining populations and injecting parameters among people who inject drugs: implications for the assessment of hepatitis C treatment programs. </w:t>
      </w:r>
      <w:r w:rsidR="00A74698" w:rsidRPr="00216A77">
        <w:rPr>
          <w:rFonts w:ascii="Times" w:hAnsi="Times" w:cs="Times"/>
          <w:color w:val="0D6C9E"/>
          <w:sz w:val="18"/>
          <w:szCs w:val="18"/>
          <w:lang w:val="en-US"/>
        </w:rPr>
        <w:t>Int J Drug Policy 2015;26:950–957</w:t>
      </w:r>
      <w:r w:rsidR="00A74698" w:rsidRPr="00216A77">
        <w:rPr>
          <w:rFonts w:ascii="Times" w:hAnsi="Times" w:cs="Times"/>
          <w:color w:val="000000"/>
          <w:sz w:val="18"/>
          <w:szCs w:val="18"/>
          <w:lang w:val="en-US"/>
        </w:rPr>
        <w:t xml:space="preserve">. </w:t>
      </w:r>
    </w:p>
    <w:p w14:paraId="77C76E9F" w14:textId="58D60638"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208</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Degenhardt L, Charlson F, Stanaway J, Larney S, Alexander LT, Hickman M, et al. Estimating the burden of disease attributable to injecting drug use as a risk factor for HIV, hepatitis C, and hepatitis B: findings from the Global Burden of Disease Study 2013. </w:t>
      </w:r>
      <w:r w:rsidR="00A74698" w:rsidRPr="003B61EF">
        <w:rPr>
          <w:rFonts w:ascii="Times" w:hAnsi="Times" w:cs="Times"/>
          <w:color w:val="0D6C9E"/>
          <w:sz w:val="18"/>
          <w:szCs w:val="18"/>
          <w:lang w:val="en-US"/>
        </w:rPr>
        <w:t>Lancet Infect Dis 2016;16:1385–1398</w:t>
      </w:r>
      <w:r w:rsidR="00A74698" w:rsidRPr="003B61EF">
        <w:rPr>
          <w:rFonts w:ascii="Times" w:hAnsi="Times" w:cs="Times"/>
          <w:color w:val="000000"/>
          <w:sz w:val="18"/>
          <w:szCs w:val="18"/>
          <w:lang w:val="en-US"/>
        </w:rPr>
        <w:t xml:space="preserve">. </w:t>
      </w:r>
    </w:p>
    <w:p w14:paraId="38EBB715" w14:textId="5602128A"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209</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Degenhardt L, Peacock A, Colledge S, Leung J, Grebely J, Vickerman P, et al. Global prevalence of injecting drug use and sociodemographic characteristics and prevalence of HIV, HBV, and HCV in people who inject drugs: a multistage systematic review. </w:t>
      </w:r>
      <w:r w:rsidR="00A74698" w:rsidRPr="003B61EF">
        <w:rPr>
          <w:rFonts w:ascii="Times" w:hAnsi="Times" w:cs="Times"/>
          <w:color w:val="0D6C9E"/>
          <w:sz w:val="18"/>
          <w:szCs w:val="18"/>
          <w:lang w:val="en-US"/>
        </w:rPr>
        <w:t>Lancet Glob Health 2017;5:e1192–e1207</w:t>
      </w:r>
      <w:r w:rsidR="00A74698" w:rsidRPr="003B61EF">
        <w:rPr>
          <w:rFonts w:ascii="Times" w:hAnsi="Times" w:cs="Times"/>
          <w:color w:val="000000"/>
          <w:sz w:val="18"/>
          <w:szCs w:val="18"/>
          <w:lang w:val="en-US"/>
        </w:rPr>
        <w:t xml:space="preserve">. </w:t>
      </w:r>
    </w:p>
    <w:p w14:paraId="45DB7B11" w14:textId="4A3F649C"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210</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Nelson PK, Mathers BM, Cowie B, Hagan H, Des Jarlais D, Horyniak D, et al. Global epidemiology of hepatitis B and hepatitis C in people who inject drugs: results of systematic reviews. </w:t>
      </w:r>
      <w:r w:rsidR="00A74698" w:rsidRPr="003B61EF">
        <w:rPr>
          <w:rFonts w:ascii="Times" w:hAnsi="Times" w:cs="Times"/>
          <w:color w:val="0D6C9E"/>
          <w:sz w:val="18"/>
          <w:szCs w:val="18"/>
          <w:lang w:val="en-US"/>
        </w:rPr>
        <w:t>Lancet 2011;378:571–583</w:t>
      </w:r>
      <w:r w:rsidR="00A74698" w:rsidRPr="003B61EF">
        <w:rPr>
          <w:rFonts w:ascii="Times" w:hAnsi="Times" w:cs="Times"/>
          <w:color w:val="000000"/>
          <w:sz w:val="18"/>
          <w:szCs w:val="18"/>
          <w:lang w:val="en-US"/>
        </w:rPr>
        <w:t xml:space="preserve">. </w:t>
      </w:r>
    </w:p>
    <w:p w14:paraId="100D1E3C" w14:textId="0E8D1199" w:rsidR="00A74698" w:rsidRPr="00216A77"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211</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Hagan H, Pouget ER, Des Jarlais DC, Lelutiu-Weinberger C. Meta- regression of hepatitis C virus infection in relation to time since onset of illicit drug injection: the influence of time and place. </w:t>
      </w:r>
      <w:r w:rsidR="00A74698" w:rsidRPr="00216A77">
        <w:rPr>
          <w:rFonts w:ascii="Times" w:hAnsi="Times" w:cs="Times"/>
          <w:color w:val="0D6C9E"/>
          <w:sz w:val="18"/>
          <w:szCs w:val="18"/>
          <w:lang w:val="en-US"/>
        </w:rPr>
        <w:t>Am J Epidemiol 2008;168:1099–1109</w:t>
      </w:r>
      <w:r w:rsidR="00A74698" w:rsidRPr="00216A77">
        <w:rPr>
          <w:rFonts w:ascii="Times" w:hAnsi="Times" w:cs="Times"/>
          <w:color w:val="000000"/>
          <w:sz w:val="18"/>
          <w:szCs w:val="18"/>
          <w:lang w:val="en-US"/>
        </w:rPr>
        <w:t xml:space="preserve">. </w:t>
      </w:r>
    </w:p>
    <w:p w14:paraId="624D9C37" w14:textId="041E9124" w:rsidR="00A74698" w:rsidRPr="00BA5C0A"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212</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Aspinall EJ, Weir A, Sacks-Davis R, Spelman T, Grebely J, Higgs P, et al. Does informing people who inject drugs of their hepatitis C status influence their injecting behaviour? Analysis of the Networks II study. Int J Drug Policy 2014;25:179–182</w:t>
      </w:r>
      <w:r w:rsidR="00A74698" w:rsidRPr="00BA5C0A">
        <w:rPr>
          <w:rFonts w:ascii="Times" w:hAnsi="Times" w:cs="Times"/>
          <w:color w:val="000000"/>
          <w:sz w:val="18"/>
          <w:szCs w:val="18"/>
          <w:lang w:val="en-US"/>
        </w:rPr>
        <w:t xml:space="preserve">. </w:t>
      </w:r>
    </w:p>
    <w:p w14:paraId="566EE191" w14:textId="1ABF3C5E" w:rsidR="00A74698" w:rsidRPr="00216A77"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213</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Bruneau J, Zang G, Abrahamowicz M, Jutras-Aswad D, Daniel M, Roy E. Sustained drug use changes after hepatitis C screening and counseling among recently infected persons who inject drugs: a longitudinal study. </w:t>
      </w:r>
      <w:r w:rsidR="00A74698" w:rsidRPr="00216A77">
        <w:rPr>
          <w:rFonts w:ascii="Times" w:hAnsi="Times" w:cs="Times"/>
          <w:color w:val="0D6C9E"/>
          <w:sz w:val="18"/>
          <w:szCs w:val="18"/>
          <w:lang w:val="en-US"/>
        </w:rPr>
        <w:t>Clin Infect Dis 2014;58:755–761</w:t>
      </w:r>
      <w:r w:rsidR="00A74698" w:rsidRPr="00216A77">
        <w:rPr>
          <w:rFonts w:ascii="Times" w:hAnsi="Times" w:cs="Times"/>
          <w:color w:val="000000"/>
          <w:sz w:val="18"/>
          <w:szCs w:val="18"/>
          <w:lang w:val="en-US"/>
        </w:rPr>
        <w:t xml:space="preserve">. </w:t>
      </w:r>
    </w:p>
    <w:p w14:paraId="1403BF6D" w14:textId="77777777" w:rsidR="00216A77" w:rsidRDefault="00216A77" w:rsidP="00A74698">
      <w:pPr>
        <w:widowControl w:val="0"/>
        <w:autoSpaceDE w:val="0"/>
        <w:autoSpaceDN w:val="0"/>
        <w:adjustRightInd w:val="0"/>
        <w:spacing w:after="240"/>
        <w:ind w:left="426"/>
        <w:contextualSpacing/>
        <w:rPr>
          <w:rFonts w:ascii="MS Mincho" w:eastAsia="MS Mincho" w:hAnsi="MS Mincho" w:cs="MS Mincho"/>
          <w:color w:val="000000"/>
          <w:sz w:val="18"/>
          <w:szCs w:val="18"/>
          <w:lang w:val="en-US"/>
        </w:rPr>
      </w:pPr>
      <w:r w:rsidRPr="00A74698">
        <w:rPr>
          <w:rFonts w:ascii="Times" w:hAnsi="Times" w:cs="Times"/>
          <w:color w:val="000000"/>
          <w:sz w:val="18"/>
          <w:szCs w:val="18"/>
          <w:lang w:val="en-US"/>
        </w:rPr>
        <w:t>[</w:t>
      </w:r>
      <w:r>
        <w:rPr>
          <w:rFonts w:ascii="Times" w:hAnsi="Times" w:cs="Times"/>
          <w:color w:val="000000"/>
          <w:sz w:val="18"/>
          <w:szCs w:val="18"/>
          <w:lang w:val="en-US"/>
        </w:rPr>
        <w:t>214</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de Vos AS, Prins M, Kretzschmar ME. Hepatitis C virus treatment as prevention among injecting drug users: who should we cure first? Addiction 2015;110:975–983</w:t>
      </w:r>
      <w:r w:rsidR="00A74698" w:rsidRPr="00BA5C0A">
        <w:rPr>
          <w:rFonts w:ascii="Times" w:hAnsi="Times" w:cs="Times"/>
          <w:color w:val="000000"/>
          <w:sz w:val="18"/>
          <w:szCs w:val="18"/>
          <w:lang w:val="en-US"/>
        </w:rPr>
        <w:t>.</w:t>
      </w:r>
      <w:r w:rsidR="00A74698" w:rsidRPr="00BA5C0A">
        <w:rPr>
          <w:rFonts w:ascii="MS Mincho" w:eastAsia="MS Mincho" w:hAnsi="MS Mincho" w:cs="MS Mincho"/>
          <w:color w:val="000000"/>
          <w:sz w:val="18"/>
          <w:szCs w:val="18"/>
          <w:lang w:val="en-US"/>
        </w:rPr>
        <w:t> </w:t>
      </w:r>
    </w:p>
    <w:p w14:paraId="76D04D9E" w14:textId="3F8FAA74" w:rsidR="00A74698" w:rsidRPr="00216A77"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215</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Hellard M, Rolls DA, Sacks-Davis R, Robins G, Pattison P, Higgs P, et al. The impact of injecting networks on hepatitis C transmission and treatment in people who inject drugs. </w:t>
      </w:r>
      <w:r w:rsidR="00A74698" w:rsidRPr="00216A77">
        <w:rPr>
          <w:rFonts w:ascii="Times" w:hAnsi="Times" w:cs="Times"/>
          <w:color w:val="0D6C9E"/>
          <w:sz w:val="18"/>
          <w:szCs w:val="18"/>
          <w:lang w:val="en-US"/>
        </w:rPr>
        <w:t>Hepatology 2014;60: 1861–1870</w:t>
      </w:r>
      <w:r w:rsidR="00A74698" w:rsidRPr="00216A77">
        <w:rPr>
          <w:rFonts w:ascii="Times" w:hAnsi="Times" w:cs="Times"/>
          <w:color w:val="000000"/>
          <w:sz w:val="18"/>
          <w:szCs w:val="18"/>
          <w:lang w:val="en-US"/>
        </w:rPr>
        <w:t xml:space="preserve">. </w:t>
      </w:r>
    </w:p>
    <w:p w14:paraId="303E8D5A" w14:textId="4174C9E3" w:rsidR="00A74698" w:rsidRPr="00216A77"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216</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Martin NK, Vickerman P, Foster GR, Hutchinson SJ, Goldberg DJ, Hickman M. Can antiviral therapy for hepatitis C reduce the prevalence of HCV among injecting drug user populations? </w:t>
      </w:r>
      <w:r w:rsidR="00A74698" w:rsidRPr="00216A77">
        <w:rPr>
          <w:rFonts w:ascii="Times" w:hAnsi="Times" w:cs="Times"/>
          <w:color w:val="0D6C9E"/>
          <w:sz w:val="18"/>
          <w:szCs w:val="18"/>
          <w:lang w:val="en-US"/>
        </w:rPr>
        <w:t>A modeling analysis of its prevention utility. J Hepatol 2011;54:1137–1144</w:t>
      </w:r>
      <w:r w:rsidR="00A74698" w:rsidRPr="00216A77">
        <w:rPr>
          <w:rFonts w:ascii="Times" w:hAnsi="Times" w:cs="Times"/>
          <w:color w:val="000000"/>
          <w:sz w:val="18"/>
          <w:szCs w:val="18"/>
          <w:lang w:val="en-US"/>
        </w:rPr>
        <w:t xml:space="preserve">. </w:t>
      </w:r>
    </w:p>
    <w:p w14:paraId="6AC17F59" w14:textId="06631F68" w:rsidR="00A74698" w:rsidRPr="003B61EF" w:rsidRDefault="00216A77"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217</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Martin NK, Vickerman P, Grebely J, Hellard M, Hutchinson SJ, Lima VD, et al. Hepatitis C virus treatment for prevention among people who inject drugs: modeling treatment scale-up in the age of direct-acting antivirals. </w:t>
      </w:r>
      <w:r w:rsidR="00A74698" w:rsidRPr="003B61EF">
        <w:rPr>
          <w:rFonts w:ascii="Times" w:hAnsi="Times" w:cs="Times"/>
          <w:color w:val="0D6C9E"/>
          <w:sz w:val="18"/>
          <w:szCs w:val="18"/>
          <w:lang w:val="en-US"/>
        </w:rPr>
        <w:t>Hepatology 2013;58:1598–1609</w:t>
      </w:r>
      <w:r w:rsidR="00A74698" w:rsidRPr="003B61EF">
        <w:rPr>
          <w:rFonts w:ascii="Times" w:hAnsi="Times" w:cs="Times"/>
          <w:color w:val="000000"/>
          <w:sz w:val="18"/>
          <w:szCs w:val="18"/>
          <w:lang w:val="en-US"/>
        </w:rPr>
        <w:t xml:space="preserve">. </w:t>
      </w:r>
    </w:p>
    <w:p w14:paraId="1C3F6861" w14:textId="241A22FC" w:rsidR="00A74698" w:rsidRPr="003B61EF" w:rsidRDefault="00EC2ED6"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218</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Martin NK, Vickerman P, Miners A, Foster GR, Hutchinson SJ, Goldberg DJ, et al. Cost-effectiveness of hepatitis C virus antiviral treatment for injection drug user populations. </w:t>
      </w:r>
      <w:r w:rsidR="00A74698" w:rsidRPr="003B61EF">
        <w:rPr>
          <w:rFonts w:ascii="Times" w:hAnsi="Times" w:cs="Times"/>
          <w:color w:val="0D6C9E"/>
          <w:sz w:val="18"/>
          <w:szCs w:val="18"/>
          <w:lang w:val="en-US"/>
        </w:rPr>
        <w:t>Hepatology 2012;55:49–57</w:t>
      </w:r>
      <w:r w:rsidR="00A74698" w:rsidRPr="003B61EF">
        <w:rPr>
          <w:rFonts w:ascii="Times" w:hAnsi="Times" w:cs="Times"/>
          <w:color w:val="000000"/>
          <w:sz w:val="18"/>
          <w:szCs w:val="18"/>
          <w:lang w:val="en-US"/>
        </w:rPr>
        <w:t xml:space="preserve">. </w:t>
      </w:r>
    </w:p>
    <w:p w14:paraId="159F657B" w14:textId="033C9E66"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219</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van der Meer AJ, Wedemeyer H, Feld JJ, Dufour JF, Zeuzem S, Hansen BE, et al. Life expectancy in patients with chronic HCV infection and cirrhosis compared with a general population. </w:t>
      </w:r>
      <w:r w:rsidR="00A74698" w:rsidRPr="003B61EF">
        <w:rPr>
          <w:rFonts w:ascii="Times" w:hAnsi="Times" w:cs="Times"/>
          <w:color w:val="0D6C9E"/>
          <w:sz w:val="18"/>
          <w:szCs w:val="18"/>
          <w:lang w:val="en-US"/>
        </w:rPr>
        <w:t>JAMA 2014;312:1927–1928</w:t>
      </w:r>
      <w:r w:rsidR="00A74698" w:rsidRPr="003B61EF">
        <w:rPr>
          <w:rFonts w:ascii="Times" w:hAnsi="Times" w:cs="Times"/>
          <w:color w:val="000000"/>
          <w:sz w:val="18"/>
          <w:szCs w:val="18"/>
          <w:lang w:val="en-US"/>
        </w:rPr>
        <w:t xml:space="preserve">. </w:t>
      </w:r>
    </w:p>
    <w:p w14:paraId="1F04E4D8" w14:textId="7B3E1B6D"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220</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Page K, Morris MD, Hahn JA, Maher L, Prins M. Injection drug use and hepatitis C virus infection in young adult injectors: using evidence to inform comprehensive prevention. </w:t>
      </w:r>
      <w:r w:rsidR="00A74698" w:rsidRPr="0043429F">
        <w:rPr>
          <w:rFonts w:ascii="Times" w:hAnsi="Times" w:cs="Times"/>
          <w:color w:val="0D6C9E"/>
          <w:sz w:val="18"/>
          <w:szCs w:val="18"/>
          <w:lang w:val="en-US"/>
        </w:rPr>
        <w:t>Clin Infect Dis 2013;57:S32–S38</w:t>
      </w:r>
      <w:r w:rsidR="00A74698" w:rsidRPr="0043429F">
        <w:rPr>
          <w:rFonts w:ascii="Times" w:hAnsi="Times" w:cs="Times"/>
          <w:color w:val="000000"/>
          <w:sz w:val="18"/>
          <w:szCs w:val="18"/>
          <w:lang w:val="en-US"/>
        </w:rPr>
        <w:t xml:space="preserve">. </w:t>
      </w:r>
    </w:p>
    <w:p w14:paraId="19CBFF0C" w14:textId="12742624"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221</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Wiessing L, Ferri M, Grady B, Kantzanou M, Sperle I, Cullen KJ, et al. Hepatitis C virus infection epidemiology among people who inject drugs in Europe: a systematic review of data for scaling up treatment and prevention. </w:t>
      </w:r>
      <w:r w:rsidR="00A74698" w:rsidRPr="003B61EF">
        <w:rPr>
          <w:rFonts w:ascii="Times" w:hAnsi="Times" w:cs="Times"/>
          <w:color w:val="0D6C9E"/>
          <w:sz w:val="18"/>
          <w:szCs w:val="18"/>
          <w:lang w:val="en-US"/>
        </w:rPr>
        <w:t>PLoS One 2014;9:e103345</w:t>
      </w:r>
      <w:r w:rsidR="00A74698" w:rsidRPr="003B61EF">
        <w:rPr>
          <w:rFonts w:ascii="Times" w:hAnsi="Times" w:cs="Times"/>
          <w:color w:val="000000"/>
          <w:sz w:val="18"/>
          <w:szCs w:val="18"/>
          <w:lang w:val="en-US"/>
        </w:rPr>
        <w:t xml:space="preserve">. </w:t>
      </w:r>
    </w:p>
    <w:p w14:paraId="42043B43" w14:textId="384AFE56"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222</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Platt L, Minozzi S, Reed J, Vickerman P, Hagan H, French C, et al. Needle syringe programmes and opioid substitution therapy for preventing hepatitis C transmission in people who inject drugs. </w:t>
      </w:r>
      <w:r w:rsidR="00A74698" w:rsidRPr="0043429F">
        <w:rPr>
          <w:rFonts w:ascii="Times" w:hAnsi="Times" w:cs="Times"/>
          <w:color w:val="0D6C9E"/>
          <w:sz w:val="18"/>
          <w:szCs w:val="18"/>
          <w:lang w:val="en-US"/>
        </w:rPr>
        <w:t>Cochrane Database Syst Rev 2017;9:CD012021</w:t>
      </w:r>
      <w:r w:rsidR="00A74698" w:rsidRPr="0043429F">
        <w:rPr>
          <w:rFonts w:ascii="Times" w:hAnsi="Times" w:cs="Times"/>
          <w:color w:val="000000"/>
          <w:sz w:val="18"/>
          <w:szCs w:val="18"/>
          <w:lang w:val="en-US"/>
        </w:rPr>
        <w:t xml:space="preserve">. </w:t>
      </w:r>
    </w:p>
    <w:p w14:paraId="37625341" w14:textId="556F4A5D"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223</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Larney S, Peacock A, Leung J, Colledge S, Hickman M, Vickerman P, et al. Global, regional, and country-level coverage of interventions to prevent and manage HIV and hepatitis C among people who inject drugs: a systematic review. </w:t>
      </w:r>
      <w:r w:rsidR="00A74698" w:rsidRPr="003B61EF">
        <w:rPr>
          <w:rFonts w:ascii="Times" w:hAnsi="Times" w:cs="Times"/>
          <w:color w:val="0D6C9E"/>
          <w:sz w:val="18"/>
          <w:szCs w:val="18"/>
          <w:lang w:val="en-US"/>
        </w:rPr>
        <w:t>Lancet Glob Health 2017;5:e1208–e1220</w:t>
      </w:r>
      <w:r w:rsidR="00A74698" w:rsidRPr="003B61EF">
        <w:rPr>
          <w:rFonts w:ascii="Times" w:hAnsi="Times" w:cs="Times"/>
          <w:color w:val="000000"/>
          <w:sz w:val="18"/>
          <w:szCs w:val="18"/>
          <w:lang w:val="en-US"/>
        </w:rPr>
        <w:t xml:space="preserve">. </w:t>
      </w:r>
    </w:p>
    <w:p w14:paraId="5220BD41" w14:textId="6370B702"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224</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Williams R, Aspinall R, Bellis M, Camps-Walsh G, Cramp M, Dhawan A, et al. Addressing liver disease in the UK: a blueprint for attaining excellence in health care and reducing premature mortality from lifestyle issues of excess consumption of alcohol, obesity, and viral hepatitis. </w:t>
      </w:r>
      <w:r w:rsidR="00A74698" w:rsidRPr="003B61EF">
        <w:rPr>
          <w:rFonts w:ascii="Times" w:hAnsi="Times" w:cs="Times"/>
          <w:color w:val="0D6C9E"/>
          <w:sz w:val="18"/>
          <w:szCs w:val="18"/>
          <w:lang w:val="en-US"/>
        </w:rPr>
        <w:t>Lancet 2014;384:1953–1997</w:t>
      </w:r>
      <w:r w:rsidR="00A74698" w:rsidRPr="003B61EF">
        <w:rPr>
          <w:rFonts w:ascii="Times" w:hAnsi="Times" w:cs="Times"/>
          <w:color w:val="000000"/>
          <w:sz w:val="18"/>
          <w:szCs w:val="18"/>
          <w:lang w:val="en-US"/>
        </w:rPr>
        <w:t xml:space="preserve">. </w:t>
      </w:r>
    </w:p>
    <w:p w14:paraId="4D093BE2" w14:textId="395584C0"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225</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Alavi M, Raffa JD, Deans GD, Lai C, Krajden M, Dore GJ, et al. Continued low uptake of treatment for hepatitis C virus infection in a large community-based cohort of inner city residents. </w:t>
      </w:r>
      <w:r w:rsidR="00A74698" w:rsidRPr="003B61EF">
        <w:rPr>
          <w:rFonts w:ascii="Times" w:hAnsi="Times" w:cs="Times"/>
          <w:color w:val="0D6C9E"/>
          <w:sz w:val="18"/>
          <w:szCs w:val="18"/>
          <w:lang w:val="en-US"/>
        </w:rPr>
        <w:t>Liver Int 2014;34:1198–1206</w:t>
      </w:r>
      <w:r w:rsidR="00A74698" w:rsidRPr="003B61EF">
        <w:rPr>
          <w:rFonts w:ascii="Times" w:hAnsi="Times" w:cs="Times"/>
          <w:color w:val="000000"/>
          <w:sz w:val="18"/>
          <w:szCs w:val="18"/>
          <w:lang w:val="en-US"/>
        </w:rPr>
        <w:t xml:space="preserve">. </w:t>
      </w:r>
    </w:p>
    <w:p w14:paraId="764B1BB3" w14:textId="471934B0"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226</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Midgard H, Bramness JG, Skurtveit S, Haukeland JW, Dalgard O. Hepatitis C treatment uptake among patients who have received opioid substitution treatment: a population-based study. </w:t>
      </w:r>
      <w:r w:rsidR="00A74698" w:rsidRPr="0043429F">
        <w:rPr>
          <w:rFonts w:ascii="Times" w:hAnsi="Times" w:cs="Times"/>
          <w:color w:val="0D6C9E"/>
          <w:sz w:val="18"/>
          <w:szCs w:val="18"/>
          <w:lang w:val="en-US"/>
        </w:rPr>
        <w:t>PLoS One 2016;11: e0166451</w:t>
      </w:r>
      <w:r w:rsidR="00A74698" w:rsidRPr="0043429F">
        <w:rPr>
          <w:rFonts w:ascii="Times" w:hAnsi="Times" w:cs="Times"/>
          <w:color w:val="000000"/>
          <w:sz w:val="18"/>
          <w:szCs w:val="18"/>
          <w:lang w:val="en-US"/>
        </w:rPr>
        <w:t xml:space="preserve">. </w:t>
      </w:r>
    </w:p>
    <w:p w14:paraId="3A72909F" w14:textId="02734AF9"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227</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Grebely J, Dalgard O, Conway B, Cunningham EB, Bruggmann P, Hajarizadeh B, et al. Sofosbuvir and velpatasvir for </w:t>
      </w:r>
      <w:r w:rsidR="00A74698" w:rsidRPr="00BA5C0A">
        <w:rPr>
          <w:rFonts w:ascii="Times" w:hAnsi="Times" w:cs="Times"/>
          <w:color w:val="0D6C9E"/>
          <w:sz w:val="18"/>
          <w:szCs w:val="18"/>
          <w:lang w:val="en-US"/>
        </w:rPr>
        <w:lastRenderedPageBreak/>
        <w:t xml:space="preserve">hepatitis C virus infection in people with recent injection drug use (SIMPLIFY): an open- label, single-arm, phase 4, multicentre trial. </w:t>
      </w:r>
      <w:r w:rsidR="00A74698" w:rsidRPr="0043429F">
        <w:rPr>
          <w:rFonts w:ascii="Times" w:hAnsi="Times" w:cs="Times"/>
          <w:color w:val="0D6C9E"/>
          <w:sz w:val="18"/>
          <w:szCs w:val="18"/>
          <w:lang w:val="en-US"/>
        </w:rPr>
        <w:t>Lancet Gastroenterol Hepatol 2018, in press</w:t>
      </w:r>
      <w:r w:rsidR="00A74698" w:rsidRPr="0043429F">
        <w:rPr>
          <w:rFonts w:ascii="Times" w:hAnsi="Times" w:cs="Times"/>
          <w:color w:val="000000"/>
          <w:sz w:val="18"/>
          <w:szCs w:val="18"/>
          <w:lang w:val="en-US"/>
        </w:rPr>
        <w:t xml:space="preserve">. </w:t>
      </w:r>
    </w:p>
    <w:p w14:paraId="5823017F" w14:textId="28709973"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228</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Grebely J, Dore GJ, Zeuzem S, Aspinall RJ, Fox R, Han L, et al. Efficacy and safety of sofosbuvir/velpatasvir in patients with chronic hepatitis C virus infection receiving opioid substitution tTherapy: analysis of Phase 3 ASTRAL trials. </w:t>
      </w:r>
      <w:r w:rsidR="00A74698" w:rsidRPr="003B61EF">
        <w:rPr>
          <w:rFonts w:ascii="Times" w:hAnsi="Times" w:cs="Times"/>
          <w:color w:val="0D6C9E"/>
          <w:sz w:val="18"/>
          <w:szCs w:val="18"/>
          <w:lang w:val="en-US"/>
        </w:rPr>
        <w:t>Clin Infect Dis 2016;63:1479–1481</w:t>
      </w:r>
      <w:r w:rsidR="00A74698" w:rsidRPr="003B61EF">
        <w:rPr>
          <w:rFonts w:ascii="Times" w:hAnsi="Times" w:cs="Times"/>
          <w:color w:val="000000"/>
          <w:sz w:val="18"/>
          <w:szCs w:val="18"/>
          <w:lang w:val="en-US"/>
        </w:rPr>
        <w:t xml:space="preserve">. </w:t>
      </w:r>
    </w:p>
    <w:p w14:paraId="51FD47E4" w14:textId="71D8803C"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229</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Grebely J, Jacobson I, Kayali Z, Verna EC, Shiffmann ML, Hyland RH, et al. SOF/VEL/VOX for 8 or 12 weeks is well tolerated and results in high SVR12 rates in patients receiving opioid substitution therapy. </w:t>
      </w:r>
      <w:r w:rsidR="00A74698" w:rsidRPr="003B61EF">
        <w:rPr>
          <w:rFonts w:ascii="Times" w:hAnsi="Times" w:cs="Times"/>
          <w:color w:val="0D6C9E"/>
          <w:sz w:val="18"/>
          <w:szCs w:val="18"/>
          <w:lang w:val="en-US"/>
        </w:rPr>
        <w:t>J Hepatol 2017;66:S513</w:t>
      </w:r>
      <w:r w:rsidR="00A74698" w:rsidRPr="003B61EF">
        <w:rPr>
          <w:rFonts w:ascii="Times" w:hAnsi="Times" w:cs="Times"/>
          <w:color w:val="000000"/>
          <w:sz w:val="18"/>
          <w:szCs w:val="18"/>
          <w:lang w:val="en-US"/>
        </w:rPr>
        <w:t xml:space="preserve">. </w:t>
      </w:r>
    </w:p>
    <w:p w14:paraId="7CBBDF19" w14:textId="464A1555"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230</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Grebely J, Mauss S, Brown A, Bronowicki JP, Puoti M, Wyles D, et al. Efficacy and safety of ledipasvir/sofosbuvir with and without ribavirin in patients with chronic HCV genotype 1 infection receiving opioid substitution therapy: analysis of Phase 3 ION trials. </w:t>
      </w:r>
      <w:r w:rsidR="00A74698" w:rsidRPr="003B61EF">
        <w:rPr>
          <w:rFonts w:ascii="Times" w:hAnsi="Times" w:cs="Times"/>
          <w:color w:val="0D6C9E"/>
          <w:sz w:val="18"/>
          <w:szCs w:val="18"/>
          <w:lang w:val="en-US"/>
        </w:rPr>
        <w:t>Clin Infect Dis 2016;63:1405–1411</w:t>
      </w:r>
      <w:r w:rsidR="00A74698" w:rsidRPr="003B61EF">
        <w:rPr>
          <w:rFonts w:ascii="Times" w:hAnsi="Times" w:cs="Times"/>
          <w:color w:val="000000"/>
          <w:sz w:val="18"/>
          <w:szCs w:val="18"/>
          <w:lang w:val="en-US"/>
        </w:rPr>
        <w:t xml:space="preserve">. </w:t>
      </w:r>
    </w:p>
    <w:p w14:paraId="4E6ACA27" w14:textId="4AA5D390"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231</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Grebely J, Puoti M, Wedemeyer H, Cooper C, Sulkowski MS, Foster G, et al. Safety and efficacy of ombitasvir, paritaprevir/ritonavir and dasabuvir with or without ribavirin in chronic hepatitis C patients receiving opioid substitution therapy: a pooled analysis across 12 clinical trials. </w:t>
      </w:r>
      <w:r w:rsidR="00A74698" w:rsidRPr="003B61EF">
        <w:rPr>
          <w:rFonts w:ascii="Times" w:hAnsi="Times" w:cs="Times"/>
          <w:color w:val="0D6C9E"/>
          <w:sz w:val="18"/>
          <w:szCs w:val="18"/>
          <w:lang w:val="en-US"/>
        </w:rPr>
        <w:t>J Hepatol 2017;66:S514</w:t>
      </w:r>
      <w:r w:rsidR="00A74698" w:rsidRPr="003B61EF">
        <w:rPr>
          <w:rFonts w:ascii="Times" w:hAnsi="Times" w:cs="Times"/>
          <w:color w:val="000000"/>
          <w:sz w:val="18"/>
          <w:szCs w:val="18"/>
          <w:lang w:val="en-US"/>
        </w:rPr>
        <w:t xml:space="preserve">. </w:t>
      </w:r>
    </w:p>
    <w:p w14:paraId="71DA0E9C" w14:textId="06CE82C5"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232</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Lalezari J, Sullivan JG, Varunok P, Galen E, Kowdley KV, Rustgi V, et al. Ombitasvir/paritaprevir/r and dasabuvir plus ribavirin in HCV genotype 1-infected patients on methadone or buprenorphine. </w:t>
      </w:r>
      <w:r w:rsidR="00A74698" w:rsidRPr="003B61EF">
        <w:rPr>
          <w:rFonts w:ascii="Times" w:hAnsi="Times" w:cs="Times"/>
          <w:color w:val="0D6C9E"/>
          <w:sz w:val="18"/>
          <w:szCs w:val="18"/>
          <w:lang w:val="en-US"/>
        </w:rPr>
        <w:t>J Hepatol 2015;63:364–369</w:t>
      </w:r>
      <w:r w:rsidR="00A74698" w:rsidRPr="003B61EF">
        <w:rPr>
          <w:rFonts w:ascii="Times" w:hAnsi="Times" w:cs="Times"/>
          <w:color w:val="000000"/>
          <w:sz w:val="18"/>
          <w:szCs w:val="18"/>
          <w:lang w:val="en-US"/>
        </w:rPr>
        <w:t xml:space="preserve">. </w:t>
      </w:r>
    </w:p>
    <w:p w14:paraId="556F6BB5" w14:textId="092D27DB" w:rsidR="00A74698" w:rsidRPr="00A74698" w:rsidRDefault="0043429F" w:rsidP="00A74698">
      <w:pPr>
        <w:widowControl w:val="0"/>
        <w:autoSpaceDE w:val="0"/>
        <w:autoSpaceDN w:val="0"/>
        <w:adjustRightInd w:val="0"/>
        <w:spacing w:after="240"/>
        <w:ind w:left="426"/>
        <w:contextualSpacing/>
        <w:rPr>
          <w:rFonts w:ascii="Times" w:hAnsi="Times" w:cs="Times"/>
          <w:color w:val="2E74B5" w:themeColor="accent1" w:themeShade="BF"/>
          <w:lang w:val="en-US"/>
        </w:rPr>
      </w:pPr>
      <w:r w:rsidRPr="00A74698">
        <w:rPr>
          <w:rFonts w:ascii="Times" w:hAnsi="Times" w:cs="Times"/>
          <w:color w:val="000000"/>
          <w:sz w:val="18"/>
          <w:szCs w:val="18"/>
          <w:lang w:val="en-US"/>
        </w:rPr>
        <w:t>[</w:t>
      </w:r>
      <w:r>
        <w:rPr>
          <w:rFonts w:ascii="Times" w:hAnsi="Times" w:cs="Times"/>
          <w:color w:val="000000"/>
          <w:sz w:val="18"/>
          <w:szCs w:val="18"/>
          <w:lang w:val="en-US"/>
        </w:rPr>
        <w:t>233</w:t>
      </w:r>
      <w:r w:rsidRPr="00A74698">
        <w:rPr>
          <w:rFonts w:ascii="Times" w:hAnsi="Times" w:cs="Times"/>
          <w:color w:val="000000"/>
          <w:sz w:val="18"/>
          <w:szCs w:val="18"/>
          <w:lang w:val="en-US"/>
        </w:rPr>
        <w:t>]</w:t>
      </w:r>
      <w:r w:rsidR="00A74698" w:rsidRPr="00A74698">
        <w:rPr>
          <w:rFonts w:ascii="Times" w:hAnsi="Times" w:cs="Times"/>
          <w:color w:val="2E74B5" w:themeColor="accent1" w:themeShade="BF"/>
          <w:sz w:val="18"/>
          <w:szCs w:val="18"/>
          <w:lang w:val="en-US"/>
        </w:rPr>
        <w:t xml:space="preserve">Conway B, Grebely J, Fraser C, Moriggia A, Cunningham EB, Gane E, et al. Paritaprevir/ritonavir/ombitasvir, dasabuvir + ribavirin in people with HCV genotype 1 and recent injecting drug use or receiving OST: D3FEAT study. INHSU 2017 – The International Network on Hepatitis in Substance Users, Jersey City, September 6–8, 2017. </w:t>
      </w:r>
    </w:p>
    <w:p w14:paraId="2E83F478" w14:textId="5D5DD46B"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234</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Boglione L, Pinna SM, De Nicolo A, Cusato J, Cariti G, Di Perri G, et al. Treatment with direct-acting antiviral agents of hepatitis C virus infection in injecting drug users: a prospective study. </w:t>
      </w:r>
      <w:r w:rsidR="00A74698" w:rsidRPr="003B61EF">
        <w:rPr>
          <w:rFonts w:ascii="Times" w:hAnsi="Times" w:cs="Times"/>
          <w:color w:val="0D6C9E"/>
          <w:sz w:val="18"/>
          <w:szCs w:val="18"/>
          <w:lang w:val="en-US"/>
        </w:rPr>
        <w:t>J Viral Hepat 2017;24:850–857</w:t>
      </w:r>
      <w:r w:rsidR="00A74698" w:rsidRPr="003B61EF">
        <w:rPr>
          <w:rFonts w:ascii="Times" w:hAnsi="Times" w:cs="Times"/>
          <w:color w:val="000000"/>
          <w:sz w:val="18"/>
          <w:szCs w:val="18"/>
          <w:lang w:val="en-US"/>
        </w:rPr>
        <w:t xml:space="preserve">. </w:t>
      </w:r>
    </w:p>
    <w:p w14:paraId="174660C9" w14:textId="7F3EFBD4"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235</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Grebely J, Dalgard O, Conway B, Cunningham EB, Bruggman P, Hajarizadeh B, et al. Efficacy and safety of sofosbuvir/velpatasvir in people with chronic hepatitis C virus infection and recent injecting drug use: the SIMPLIFY study. </w:t>
      </w:r>
      <w:r w:rsidR="00A74698" w:rsidRPr="003B61EF">
        <w:rPr>
          <w:rFonts w:ascii="Times" w:hAnsi="Times" w:cs="Times"/>
          <w:color w:val="0D6C9E"/>
          <w:sz w:val="18"/>
          <w:szCs w:val="18"/>
          <w:lang w:val="en-US"/>
        </w:rPr>
        <w:t>J Hepatol 2017;66:S513</w:t>
      </w:r>
      <w:r w:rsidR="00A74698" w:rsidRPr="003B61EF">
        <w:rPr>
          <w:rFonts w:ascii="Times" w:hAnsi="Times" w:cs="Times"/>
          <w:color w:val="000000"/>
          <w:sz w:val="18"/>
          <w:szCs w:val="18"/>
          <w:lang w:val="en-US"/>
        </w:rPr>
        <w:t xml:space="preserve">. </w:t>
      </w:r>
    </w:p>
    <w:p w14:paraId="01FBB38C" w14:textId="4ABAECB7"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236</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Mason K, Dodd Z, Guyton M, Tookey P, Lettner B, Matelski J, et al. Understanding real-world adherence in the directly acting antiviral era: a prospective evaluation of adherence among people with a history of drug use at a community-based program in Toronto. </w:t>
      </w:r>
      <w:r w:rsidR="00A74698" w:rsidRPr="003B61EF">
        <w:rPr>
          <w:rFonts w:ascii="Times" w:hAnsi="Times" w:cs="Times"/>
          <w:color w:val="0D6C9E"/>
          <w:sz w:val="18"/>
          <w:szCs w:val="18"/>
          <w:lang w:val="en-US"/>
        </w:rPr>
        <w:t>Canada. Int J Drug Policy 2017;47:202–208</w:t>
      </w:r>
      <w:r w:rsidR="00A74698" w:rsidRPr="003B61EF">
        <w:rPr>
          <w:rFonts w:ascii="Times" w:hAnsi="Times" w:cs="Times"/>
          <w:color w:val="000000"/>
          <w:sz w:val="18"/>
          <w:szCs w:val="18"/>
          <w:lang w:val="en-US"/>
        </w:rPr>
        <w:t>.</w:t>
      </w:r>
      <w:r w:rsidR="00A74698" w:rsidRPr="003B61EF">
        <w:rPr>
          <w:rFonts w:ascii="MS Mincho" w:eastAsia="MS Mincho" w:hAnsi="MS Mincho" w:cs="MS Mincho"/>
          <w:color w:val="000000"/>
          <w:sz w:val="18"/>
          <w:szCs w:val="18"/>
          <w:lang w:val="en-US"/>
        </w:rPr>
        <w:t> </w:t>
      </w:r>
    </w:p>
    <w:p w14:paraId="3023C200" w14:textId="320A0D63"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237</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Morris L, Smirnov A, Kvassay A, Leslie E, Kavanagh R, Alexander N, et al. Initial outcomes of integrated community-based hepatitis C treatment for people who inject drugs: findings from the Queensland Injectors’ Health Network. </w:t>
      </w:r>
      <w:r w:rsidR="00A74698" w:rsidRPr="003B61EF">
        <w:rPr>
          <w:rFonts w:ascii="Times" w:hAnsi="Times" w:cs="Times"/>
          <w:color w:val="0D6C9E"/>
          <w:sz w:val="18"/>
          <w:szCs w:val="18"/>
          <w:lang w:val="en-US"/>
        </w:rPr>
        <w:t>Int J Drug Policy 2017;47:216–220</w:t>
      </w:r>
      <w:r w:rsidR="00A74698" w:rsidRPr="003B61EF">
        <w:rPr>
          <w:rFonts w:ascii="Times" w:hAnsi="Times" w:cs="Times"/>
          <w:color w:val="000000"/>
          <w:sz w:val="18"/>
          <w:szCs w:val="18"/>
          <w:lang w:val="en-US"/>
        </w:rPr>
        <w:t xml:space="preserve">. </w:t>
      </w:r>
    </w:p>
    <w:p w14:paraId="66D6400F" w14:textId="77E56F53"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238</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Norton BL, Fleming J, Bachhuber MA, Steinman M, DeLuca J, Cunning- ham CO, et al. High HCV cure rates for people who use drugs treated with direct acting antiviral therapy at an urban primary care clinic. </w:t>
      </w:r>
      <w:r w:rsidR="00A74698" w:rsidRPr="003B61EF">
        <w:rPr>
          <w:rFonts w:ascii="Times" w:hAnsi="Times" w:cs="Times"/>
          <w:color w:val="0D6C9E"/>
          <w:sz w:val="18"/>
          <w:szCs w:val="18"/>
          <w:lang w:val="en-US"/>
        </w:rPr>
        <w:t>Int J Drug Policy 2017;47:196–201</w:t>
      </w:r>
      <w:r w:rsidR="00A74698" w:rsidRPr="003B61EF">
        <w:rPr>
          <w:rFonts w:ascii="Times" w:hAnsi="Times" w:cs="Times"/>
          <w:color w:val="000000"/>
          <w:sz w:val="18"/>
          <w:szCs w:val="18"/>
          <w:lang w:val="en-US"/>
        </w:rPr>
        <w:t xml:space="preserve">. </w:t>
      </w:r>
    </w:p>
    <w:p w14:paraId="446469EC" w14:textId="0F2F4155"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239</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Read P, Lothian R, Chronister K, Gilliver R, Kearley J, Dore GJ, et al. Delivering direct acting antiviral therapy for hepatitis C to highly marginalised and current drug injecting populations in a targeted primary health care setting. </w:t>
      </w:r>
      <w:r w:rsidR="00A74698" w:rsidRPr="003B61EF">
        <w:rPr>
          <w:rFonts w:ascii="Times" w:hAnsi="Times" w:cs="Times"/>
          <w:color w:val="0D6C9E"/>
          <w:sz w:val="18"/>
          <w:szCs w:val="18"/>
          <w:lang w:val="en-US"/>
        </w:rPr>
        <w:t>Int J Drug Policy 2017;47:209–215</w:t>
      </w:r>
      <w:r w:rsidR="00A74698" w:rsidRPr="003B61EF">
        <w:rPr>
          <w:rFonts w:ascii="Times" w:hAnsi="Times" w:cs="Times"/>
          <w:color w:val="000000"/>
          <w:sz w:val="18"/>
          <w:szCs w:val="18"/>
          <w:lang w:val="en-US"/>
        </w:rPr>
        <w:t xml:space="preserve">. </w:t>
      </w:r>
    </w:p>
    <w:p w14:paraId="5B4060D8" w14:textId="49EB7AB6"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240</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Litwin AH, Agyemang L, Akiyama MJ, Norton BL, Heo M, Ning Y, et al. The PREVAIL study: intensive models of HCV care for people who inject drugs. </w:t>
      </w:r>
      <w:r w:rsidR="00A74698" w:rsidRPr="0043429F">
        <w:rPr>
          <w:rFonts w:ascii="Times" w:hAnsi="Times" w:cs="Times"/>
          <w:color w:val="0D6C9E"/>
          <w:sz w:val="18"/>
          <w:szCs w:val="18"/>
          <w:lang w:val="en-US"/>
        </w:rPr>
        <w:t>J Hepatol 2017;66:S72</w:t>
      </w:r>
      <w:r w:rsidR="00A74698" w:rsidRPr="0043429F">
        <w:rPr>
          <w:rFonts w:ascii="Times" w:hAnsi="Times" w:cs="Times"/>
          <w:color w:val="000000"/>
          <w:sz w:val="18"/>
          <w:szCs w:val="18"/>
          <w:lang w:val="en-US"/>
        </w:rPr>
        <w:t xml:space="preserve">. </w:t>
      </w:r>
    </w:p>
    <w:p w14:paraId="4FD01DB4" w14:textId="587E5CB7"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241</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Bouscaillou J, Kikvidze T, Butsashvili M, Labartkava K, Inaridze I, Etienne A, et al. Effectiveness of DAA-based treatment of HCV in active people who inject drugs living in middle-income countries (MIC): the results of a prospective cohort study in Tbilisi, Georgia. </w:t>
      </w:r>
      <w:r w:rsidR="00A74698" w:rsidRPr="003B61EF">
        <w:rPr>
          <w:rFonts w:ascii="Times" w:hAnsi="Times" w:cs="Times"/>
          <w:color w:val="0D6C9E"/>
          <w:sz w:val="18"/>
          <w:szCs w:val="18"/>
          <w:lang w:val="en-US"/>
        </w:rPr>
        <w:t>J Hepatol 2017;66:S409</w:t>
      </w:r>
      <w:r w:rsidR="00A74698" w:rsidRPr="003B61EF">
        <w:rPr>
          <w:rFonts w:ascii="Times" w:hAnsi="Times" w:cs="Times"/>
          <w:color w:val="000000"/>
          <w:sz w:val="18"/>
          <w:szCs w:val="18"/>
          <w:lang w:val="en-US"/>
        </w:rPr>
        <w:t xml:space="preserve">. </w:t>
      </w:r>
    </w:p>
    <w:p w14:paraId="7E10570E" w14:textId="5DB95485"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242</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Conway B, Raycraft T, Alimohammadi A, Bhutani Y, Kiani G, Hakobyan S. Efficacy of all-oral HCV therapy in people who inject drugs (PWID). </w:t>
      </w:r>
      <w:r w:rsidR="00A74698" w:rsidRPr="0043429F">
        <w:rPr>
          <w:rFonts w:ascii="Times" w:hAnsi="Times" w:cs="Times"/>
          <w:color w:val="0D6C9E"/>
          <w:sz w:val="18"/>
          <w:szCs w:val="18"/>
          <w:lang w:val="en-US"/>
        </w:rPr>
        <w:t>Hepatology 2016;64:990A</w:t>
      </w:r>
      <w:r w:rsidR="00A74698" w:rsidRPr="0043429F">
        <w:rPr>
          <w:rFonts w:ascii="Times" w:hAnsi="Times" w:cs="Times"/>
          <w:color w:val="000000"/>
          <w:sz w:val="18"/>
          <w:szCs w:val="18"/>
          <w:lang w:val="en-US"/>
        </w:rPr>
        <w:t>.</w:t>
      </w:r>
      <w:r w:rsidR="00A74698" w:rsidRPr="0043429F">
        <w:rPr>
          <w:rFonts w:ascii="MS Mincho" w:eastAsia="MS Mincho" w:hAnsi="MS Mincho" w:cs="MS Mincho"/>
          <w:color w:val="000000"/>
          <w:sz w:val="18"/>
          <w:szCs w:val="18"/>
          <w:lang w:val="en-US"/>
        </w:rPr>
        <w:t> </w:t>
      </w:r>
    </w:p>
    <w:p w14:paraId="53E8BE07" w14:textId="68B6E8C4"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243</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Sulkowski M, Ward K, Falade-Nwulia O, Moon J, Sutcliffe C, Brinkley S, et al. Randomized controlled trial of cash incentives or peer mentors to improve HCV linkage and treatment among HIV/HCV coinfected persons who inject drugs: the CHAMPS Study. </w:t>
      </w:r>
      <w:r w:rsidR="00A74698" w:rsidRPr="003B61EF">
        <w:rPr>
          <w:rFonts w:ascii="Times" w:hAnsi="Times" w:cs="Times"/>
          <w:color w:val="0D6C9E"/>
          <w:sz w:val="18"/>
          <w:szCs w:val="18"/>
          <w:lang w:val="en-US"/>
        </w:rPr>
        <w:t>J Hepatol 2017;66:S719</w:t>
      </w:r>
      <w:r w:rsidR="00A74698" w:rsidRPr="003B61EF">
        <w:rPr>
          <w:rFonts w:ascii="Times" w:hAnsi="Times" w:cs="Times"/>
          <w:color w:val="000000"/>
          <w:sz w:val="18"/>
          <w:szCs w:val="18"/>
          <w:lang w:val="en-US"/>
        </w:rPr>
        <w:t xml:space="preserve">. </w:t>
      </w:r>
    </w:p>
    <w:p w14:paraId="22CEFBD2" w14:textId="18E17C19" w:rsidR="00A74698" w:rsidRPr="00BA5C0A" w:rsidRDefault="0043429F" w:rsidP="00A74698">
      <w:pPr>
        <w:widowControl w:val="0"/>
        <w:autoSpaceDE w:val="0"/>
        <w:autoSpaceDN w:val="0"/>
        <w:adjustRightInd w:val="0"/>
        <w:spacing w:after="240"/>
        <w:ind w:left="426"/>
        <w:contextualSpacing/>
        <w:rPr>
          <w:rFonts w:ascii="Times" w:hAnsi="Times" w:cs="Times"/>
          <w:color w:val="000000"/>
        </w:rPr>
      </w:pPr>
      <w:r w:rsidRPr="00A74698">
        <w:rPr>
          <w:rFonts w:ascii="Times" w:hAnsi="Times" w:cs="Times"/>
          <w:color w:val="000000"/>
          <w:sz w:val="18"/>
          <w:szCs w:val="18"/>
          <w:lang w:val="en-US"/>
        </w:rPr>
        <w:t>[</w:t>
      </w:r>
      <w:r>
        <w:rPr>
          <w:rFonts w:ascii="Times" w:hAnsi="Times" w:cs="Times"/>
          <w:color w:val="000000"/>
          <w:sz w:val="18"/>
          <w:szCs w:val="18"/>
          <w:lang w:val="en-US"/>
        </w:rPr>
        <w:t>244</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Christensen S, Buggisch P, Mauss S, Boker KHW, Schott E, Klinker H, et al. Direct-acting antiviral treatment of chronic HCV-infected patients on opioid substitution therapy: Still a concern in clinical practice? </w:t>
      </w:r>
      <w:r w:rsidR="00A74698" w:rsidRPr="00BA5C0A">
        <w:rPr>
          <w:rFonts w:ascii="Times" w:hAnsi="Times" w:cs="Times"/>
          <w:color w:val="0D6C9E"/>
          <w:sz w:val="18"/>
          <w:szCs w:val="18"/>
        </w:rPr>
        <w:t>Addiction 2018, in press</w:t>
      </w:r>
      <w:r w:rsidR="00A74698" w:rsidRPr="00BA5C0A">
        <w:rPr>
          <w:rFonts w:ascii="Times" w:hAnsi="Times" w:cs="Times"/>
          <w:color w:val="000000"/>
          <w:sz w:val="18"/>
          <w:szCs w:val="18"/>
        </w:rPr>
        <w:t xml:space="preserve">. </w:t>
      </w:r>
    </w:p>
    <w:p w14:paraId="799F62A1" w14:textId="69F0DF57"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245</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Bruggmann P, Litwin AH. Models of care for the management of hepatitis C virus among people who inject drugs: one size does not fit all. </w:t>
      </w:r>
      <w:r w:rsidR="00A74698" w:rsidRPr="0043429F">
        <w:rPr>
          <w:rFonts w:ascii="Times" w:hAnsi="Times" w:cs="Times"/>
          <w:color w:val="0D6C9E"/>
          <w:sz w:val="18"/>
          <w:szCs w:val="18"/>
          <w:lang w:val="en-US"/>
        </w:rPr>
        <w:t>Clin Infect Dis 2013;57:S56–S61</w:t>
      </w:r>
      <w:r w:rsidR="00A74698" w:rsidRPr="0043429F">
        <w:rPr>
          <w:rFonts w:ascii="Times" w:hAnsi="Times" w:cs="Times"/>
          <w:color w:val="000000"/>
          <w:sz w:val="18"/>
          <w:szCs w:val="18"/>
          <w:lang w:val="en-US"/>
        </w:rPr>
        <w:t>.</w:t>
      </w:r>
      <w:r w:rsidR="00A74698" w:rsidRPr="0043429F">
        <w:rPr>
          <w:rFonts w:ascii="MS Mincho" w:eastAsia="MS Mincho" w:hAnsi="MS Mincho" w:cs="MS Mincho"/>
          <w:color w:val="000000"/>
          <w:sz w:val="18"/>
          <w:szCs w:val="18"/>
          <w:lang w:val="en-US"/>
        </w:rPr>
        <w:t> </w:t>
      </w:r>
    </w:p>
    <w:p w14:paraId="7297B54B" w14:textId="3013286A"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246</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Aspinall EJ, Corson S, Doyle JS, Grebely J, Hutchinson SJ, Dore GJ, et al. Treatment of hepatitis C virus infection among people who are actively injecting drugs: a systematic review and meta-analysis. </w:t>
      </w:r>
      <w:r w:rsidR="00A74698" w:rsidRPr="003B61EF">
        <w:rPr>
          <w:rFonts w:ascii="Times" w:hAnsi="Times" w:cs="Times"/>
          <w:color w:val="0D6C9E"/>
          <w:sz w:val="18"/>
          <w:szCs w:val="18"/>
          <w:lang w:val="en-US"/>
        </w:rPr>
        <w:t>Clin Infect Dis 2013;57:S80–S89</w:t>
      </w:r>
      <w:r w:rsidR="00A74698" w:rsidRPr="003B61EF">
        <w:rPr>
          <w:rFonts w:ascii="Times" w:hAnsi="Times" w:cs="Times"/>
          <w:color w:val="000000"/>
          <w:sz w:val="18"/>
          <w:szCs w:val="18"/>
          <w:lang w:val="en-US"/>
        </w:rPr>
        <w:t xml:space="preserve">. </w:t>
      </w:r>
    </w:p>
    <w:p w14:paraId="4112F35C" w14:textId="70EB7FB2"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247</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Cunningham EB, Applegate TL, Lloyd AR, Dore GJ, Grebely J. Mixed HCV infection and reinfection in people who inject drugs: impact on therapy. </w:t>
      </w:r>
      <w:r w:rsidR="00A74698" w:rsidRPr="0043429F">
        <w:rPr>
          <w:rFonts w:ascii="Times" w:hAnsi="Times" w:cs="Times"/>
          <w:color w:val="0D6C9E"/>
          <w:sz w:val="18"/>
          <w:szCs w:val="18"/>
          <w:lang w:val="en-US"/>
        </w:rPr>
        <w:t>Nat Rev Gastroenterol Hepatol 2015;12:218–230</w:t>
      </w:r>
      <w:r w:rsidR="00A74698" w:rsidRPr="0043429F">
        <w:rPr>
          <w:rFonts w:ascii="Times" w:hAnsi="Times" w:cs="Times"/>
          <w:color w:val="000000"/>
          <w:sz w:val="18"/>
          <w:szCs w:val="18"/>
          <w:lang w:val="en-US"/>
        </w:rPr>
        <w:t>.</w:t>
      </w:r>
      <w:r w:rsidR="00A74698" w:rsidRPr="0043429F">
        <w:rPr>
          <w:rFonts w:ascii="MS Mincho" w:eastAsia="MS Mincho" w:hAnsi="MS Mincho" w:cs="MS Mincho"/>
          <w:color w:val="000000"/>
          <w:sz w:val="18"/>
          <w:szCs w:val="18"/>
          <w:lang w:val="en-US"/>
        </w:rPr>
        <w:t> </w:t>
      </w:r>
    </w:p>
    <w:p w14:paraId="0F0EE6AB" w14:textId="20B2A174"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248</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Grady BP, Schinkel J, Thomas XV, Dalgard O. Hepatitis C virus reinfection following treatment among people who use drugs. </w:t>
      </w:r>
      <w:r w:rsidR="00A74698" w:rsidRPr="0043429F">
        <w:rPr>
          <w:rFonts w:ascii="Times" w:hAnsi="Times" w:cs="Times"/>
          <w:color w:val="0D6C9E"/>
          <w:sz w:val="18"/>
          <w:szCs w:val="18"/>
          <w:lang w:val="en-US"/>
        </w:rPr>
        <w:t>Clin Infect Dis 2013;57:S105–S110</w:t>
      </w:r>
      <w:r w:rsidR="00A74698" w:rsidRPr="0043429F">
        <w:rPr>
          <w:rFonts w:ascii="Times" w:hAnsi="Times" w:cs="Times"/>
          <w:color w:val="000000"/>
          <w:sz w:val="18"/>
          <w:szCs w:val="18"/>
          <w:lang w:val="en-US"/>
        </w:rPr>
        <w:t xml:space="preserve">. </w:t>
      </w:r>
    </w:p>
    <w:p w14:paraId="49B3E438" w14:textId="192ADF1D"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249</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Midgard H, Bjoro B, Maeland A, Konopski Z, Kileng H, Damas JK, et al. </w:t>
      </w:r>
      <w:r w:rsidR="00A74698" w:rsidRPr="0043429F">
        <w:rPr>
          <w:rFonts w:ascii="Times" w:hAnsi="Times" w:cs="Times"/>
          <w:color w:val="0D6C9E"/>
          <w:sz w:val="18"/>
          <w:szCs w:val="18"/>
          <w:lang w:val="en-US"/>
        </w:rPr>
        <w:t>Hepatitis C reinfection after sustained virological response. J Hepatol 2016;64:1020–1026</w:t>
      </w:r>
      <w:r w:rsidR="00A74698" w:rsidRPr="0043429F">
        <w:rPr>
          <w:rFonts w:ascii="Times" w:hAnsi="Times" w:cs="Times"/>
          <w:color w:val="000000"/>
          <w:sz w:val="18"/>
          <w:szCs w:val="18"/>
          <w:lang w:val="en-US"/>
        </w:rPr>
        <w:t>.</w:t>
      </w:r>
      <w:r w:rsidR="00A74698" w:rsidRPr="0043429F">
        <w:rPr>
          <w:rFonts w:ascii="MS Mincho" w:eastAsia="MS Mincho" w:hAnsi="MS Mincho" w:cs="MS Mincho"/>
          <w:color w:val="000000"/>
          <w:sz w:val="18"/>
          <w:szCs w:val="18"/>
          <w:lang w:val="en-US"/>
        </w:rPr>
        <w:t> </w:t>
      </w:r>
    </w:p>
    <w:p w14:paraId="154717BB" w14:textId="16603C5B"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250</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Midgard H, Weir A, Palmateer N, Lo Re 3rd V, Pineda JA, Macias J, et al. HCV epidemiology in high-risk groups and the risk of reinfection. </w:t>
      </w:r>
      <w:r w:rsidR="00A74698" w:rsidRPr="003B61EF">
        <w:rPr>
          <w:rFonts w:ascii="Times" w:hAnsi="Times" w:cs="Times"/>
          <w:color w:val="0D6C9E"/>
          <w:sz w:val="18"/>
          <w:szCs w:val="18"/>
          <w:lang w:val="en-US"/>
        </w:rPr>
        <w:t>J Hepatol 2016;65:S33–S45</w:t>
      </w:r>
      <w:r w:rsidR="00A74698" w:rsidRPr="003B61EF">
        <w:rPr>
          <w:rFonts w:ascii="Times" w:hAnsi="Times" w:cs="Times"/>
          <w:color w:val="000000"/>
          <w:sz w:val="18"/>
          <w:szCs w:val="18"/>
          <w:lang w:val="en-US"/>
        </w:rPr>
        <w:t xml:space="preserve">. </w:t>
      </w:r>
    </w:p>
    <w:p w14:paraId="63661D2D" w14:textId="3F31E95B"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251</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Simmons B, Saleem J, Hill A, Riley RD, Cooke GS. Risk of late relapse or reinfection with hepatitis C virus after achieving a sustained virological response: a systematic review and meta-analysis. </w:t>
      </w:r>
      <w:r w:rsidR="00A74698" w:rsidRPr="0043429F">
        <w:rPr>
          <w:rFonts w:ascii="Times" w:hAnsi="Times" w:cs="Times"/>
          <w:color w:val="0D6C9E"/>
          <w:sz w:val="18"/>
          <w:szCs w:val="18"/>
          <w:lang w:val="en-US"/>
        </w:rPr>
        <w:t>Clin Infect Dis 2016;62:683–694</w:t>
      </w:r>
      <w:r w:rsidR="00A74698" w:rsidRPr="0043429F">
        <w:rPr>
          <w:rFonts w:ascii="Times" w:hAnsi="Times" w:cs="Times"/>
          <w:color w:val="000000"/>
          <w:sz w:val="18"/>
          <w:szCs w:val="18"/>
          <w:lang w:val="en-US"/>
        </w:rPr>
        <w:t xml:space="preserve">. </w:t>
      </w:r>
    </w:p>
    <w:p w14:paraId="5F7A22AF" w14:textId="2E2C6018" w:rsidR="00A74698" w:rsidRPr="00BA5C0A"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252</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Dore GJ, Grebely J, Altice F, Litwin AH, Dalgard O, Gane EJ, et al. Hepatitis C virus (HCV) reinfection and injecting risk behavior follow- ing elbasvir (EBR)/grazoprevir (GZR) treatment in participants on opiate agonist therapy (OAT): CO-STAR Part B. Hepatology 2017;66:112A</w:t>
      </w:r>
      <w:r w:rsidR="00A74698" w:rsidRPr="00BA5C0A">
        <w:rPr>
          <w:rFonts w:ascii="Times" w:hAnsi="Times" w:cs="Times"/>
          <w:color w:val="000000"/>
          <w:sz w:val="18"/>
          <w:szCs w:val="18"/>
          <w:lang w:val="en-US"/>
        </w:rPr>
        <w:t xml:space="preserve">. </w:t>
      </w:r>
    </w:p>
    <w:p w14:paraId="6B917D85" w14:textId="01BCAC49"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253</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Fraser H, Zibbell J, Hoerger T, Hariri S, Vellozzi C, Martin NK, et al. Scaling-up HCV prevention and treatment interventions in rural United States-model projections for tackling an increasing epidemic. </w:t>
      </w:r>
      <w:r w:rsidR="00A74698" w:rsidRPr="003B61EF">
        <w:rPr>
          <w:rFonts w:ascii="Times" w:hAnsi="Times" w:cs="Times"/>
          <w:color w:val="0D6C9E"/>
          <w:sz w:val="18"/>
          <w:szCs w:val="18"/>
          <w:lang w:val="en-US"/>
        </w:rPr>
        <w:t>Addiction 2018;113:173–182</w:t>
      </w:r>
      <w:r w:rsidR="00A74698" w:rsidRPr="003B61EF">
        <w:rPr>
          <w:rFonts w:ascii="Times" w:hAnsi="Times" w:cs="Times"/>
          <w:color w:val="000000"/>
          <w:sz w:val="18"/>
          <w:szCs w:val="18"/>
          <w:lang w:val="en-US"/>
        </w:rPr>
        <w:t xml:space="preserve">. </w:t>
      </w:r>
    </w:p>
    <w:p w14:paraId="47895160" w14:textId="6FD859CB"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254</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Martin NK, Hickman M, Hutchinson SJ, Goldberg DJ, Vickerman P. Combination interventions to prevent HCV transmission among people who inject drugs: modeling the impact of antiviral treatment, needle and syringe programs, and opiate substitution therapy. </w:t>
      </w:r>
      <w:r w:rsidR="00A74698" w:rsidRPr="0043429F">
        <w:rPr>
          <w:rFonts w:ascii="Times" w:hAnsi="Times" w:cs="Times"/>
          <w:color w:val="0D6C9E"/>
          <w:sz w:val="18"/>
          <w:szCs w:val="18"/>
          <w:lang w:val="en-US"/>
        </w:rPr>
        <w:t>Clin Infect Dis 2013;57:S39–S45</w:t>
      </w:r>
      <w:r w:rsidR="00A74698" w:rsidRPr="0043429F">
        <w:rPr>
          <w:rFonts w:ascii="Times" w:hAnsi="Times" w:cs="Times"/>
          <w:color w:val="000000"/>
          <w:sz w:val="18"/>
          <w:szCs w:val="18"/>
          <w:lang w:val="en-US"/>
        </w:rPr>
        <w:t xml:space="preserve">. </w:t>
      </w:r>
    </w:p>
    <w:p w14:paraId="7A03A5AA" w14:textId="5B3B752B"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lastRenderedPageBreak/>
        <w:t>[</w:t>
      </w:r>
      <w:r>
        <w:rPr>
          <w:rFonts w:ascii="Times" w:hAnsi="Times" w:cs="Times"/>
          <w:color w:val="000000"/>
          <w:sz w:val="18"/>
          <w:szCs w:val="18"/>
          <w:lang w:val="en-US"/>
        </w:rPr>
        <w:t>255</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Lai ME, Origa R, Danjou F, Leoni GB, Vacquer S, Anni F, et al. Natural history of hepatitis C in thalassemia major: a long-term prospective study. </w:t>
      </w:r>
      <w:r w:rsidR="00A74698" w:rsidRPr="003B61EF">
        <w:rPr>
          <w:rFonts w:ascii="Times" w:hAnsi="Times" w:cs="Times"/>
          <w:color w:val="0D6C9E"/>
          <w:sz w:val="18"/>
          <w:szCs w:val="18"/>
          <w:lang w:val="en-US"/>
        </w:rPr>
        <w:t>Eur J Haematol 2013;90:501–507</w:t>
      </w:r>
      <w:r w:rsidR="00A74698" w:rsidRPr="003B61EF">
        <w:rPr>
          <w:rFonts w:ascii="Times" w:hAnsi="Times" w:cs="Times"/>
          <w:color w:val="000000"/>
          <w:sz w:val="18"/>
          <w:szCs w:val="18"/>
          <w:lang w:val="en-US"/>
        </w:rPr>
        <w:t>.</w:t>
      </w:r>
      <w:r w:rsidR="00A74698" w:rsidRPr="003B61EF">
        <w:rPr>
          <w:rFonts w:ascii="MS Mincho" w:eastAsia="MS Mincho" w:hAnsi="MS Mincho" w:cs="MS Mincho"/>
          <w:color w:val="000000"/>
          <w:sz w:val="18"/>
          <w:szCs w:val="18"/>
          <w:lang w:val="en-US"/>
        </w:rPr>
        <w:t> </w:t>
      </w:r>
    </w:p>
    <w:p w14:paraId="78F76A22" w14:textId="1FF3C0CF" w:rsidR="00A74698" w:rsidRPr="00BA5C0A"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256</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Hezode C, Colombo M, Bourliere M, Spengler U, Ben-Ari Z, Strasser SI, et al. Elbasvir/grazoprevir for patients with hepatitis C virus infection and inherited blood disorders: a Phase III study. Hepatology 2017;66:736–745</w:t>
      </w:r>
      <w:r w:rsidR="00A74698" w:rsidRPr="00BA5C0A">
        <w:rPr>
          <w:rFonts w:ascii="Times" w:hAnsi="Times" w:cs="Times"/>
          <w:color w:val="000000"/>
          <w:sz w:val="18"/>
          <w:szCs w:val="18"/>
          <w:lang w:val="en-US"/>
        </w:rPr>
        <w:t>.</w:t>
      </w:r>
      <w:r w:rsidR="00A74698" w:rsidRPr="00BA5C0A">
        <w:rPr>
          <w:rFonts w:ascii="MS Mincho" w:eastAsia="MS Mincho" w:hAnsi="MS Mincho" w:cs="MS Mincho"/>
          <w:color w:val="000000"/>
          <w:sz w:val="18"/>
          <w:szCs w:val="18"/>
          <w:lang w:val="en-US"/>
        </w:rPr>
        <w:t> </w:t>
      </w:r>
      <w:r w:rsidR="00A74698" w:rsidRPr="00BA5C0A">
        <w:rPr>
          <w:rFonts w:ascii="Times" w:hAnsi="Times" w:cs="Times"/>
          <w:color w:val="0D6C9E"/>
          <w:sz w:val="18"/>
          <w:szCs w:val="18"/>
          <w:lang w:val="en-US"/>
        </w:rPr>
        <w:t>and inherited blood disorders: a Phase III study. Hepatology 2017;66:736–745</w:t>
      </w:r>
      <w:r w:rsidR="00A74698" w:rsidRPr="00BA5C0A">
        <w:rPr>
          <w:rFonts w:ascii="Times" w:hAnsi="Times" w:cs="Times"/>
          <w:color w:val="000000"/>
          <w:sz w:val="18"/>
          <w:szCs w:val="18"/>
          <w:lang w:val="en-US"/>
        </w:rPr>
        <w:t>.</w:t>
      </w:r>
      <w:r w:rsidR="00A74698" w:rsidRPr="00BA5C0A">
        <w:rPr>
          <w:rFonts w:ascii="MS Mincho" w:eastAsia="MS Mincho" w:hAnsi="MS Mincho" w:cs="MS Mincho"/>
          <w:color w:val="000000"/>
          <w:sz w:val="18"/>
          <w:szCs w:val="18"/>
          <w:lang w:val="en-US"/>
        </w:rPr>
        <w:t> </w:t>
      </w:r>
    </w:p>
    <w:p w14:paraId="46AF9276" w14:textId="458B1337"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257</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Origa R, Ponti ML, Filosa A, Galeota Lanza A, Piga A, Saracco GM, et al. Treatment of hepatitis C virus infection with direct-acting antiviral drugs is safe and effective in patients with hemoglobinopathies. </w:t>
      </w:r>
      <w:r w:rsidR="00A74698" w:rsidRPr="003B61EF">
        <w:rPr>
          <w:rFonts w:ascii="Times" w:hAnsi="Times" w:cs="Times"/>
          <w:color w:val="0D6C9E"/>
          <w:sz w:val="18"/>
          <w:szCs w:val="18"/>
          <w:lang w:val="en-US"/>
        </w:rPr>
        <w:t>Am J Hematol 2017;92:1349–1355</w:t>
      </w:r>
      <w:r w:rsidR="00A74698" w:rsidRPr="003B61EF">
        <w:rPr>
          <w:rFonts w:ascii="Times" w:hAnsi="Times" w:cs="Times"/>
          <w:color w:val="000000"/>
          <w:sz w:val="18"/>
          <w:szCs w:val="18"/>
          <w:lang w:val="en-US"/>
        </w:rPr>
        <w:t xml:space="preserve">. </w:t>
      </w:r>
    </w:p>
    <w:p w14:paraId="5892994C" w14:textId="05874657" w:rsidR="00A74698" w:rsidRPr="00BA5C0A"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258</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Gonzalez-Peralta RP, Langham Jr MR, Andres JM, Mohan P, Colombani PM, Alford MK, et al. Hepatocellular carcinoma in 2 young adolescents with chronic hepatitis C. J Pediatr Gastroenterol Nutr 2009;48:630–635</w:t>
      </w:r>
      <w:r w:rsidR="00A74698" w:rsidRPr="00BA5C0A">
        <w:rPr>
          <w:rFonts w:ascii="Times" w:hAnsi="Times" w:cs="Times"/>
          <w:color w:val="000000"/>
          <w:sz w:val="18"/>
          <w:szCs w:val="18"/>
          <w:lang w:val="en-US"/>
        </w:rPr>
        <w:t xml:space="preserve">. </w:t>
      </w:r>
    </w:p>
    <w:p w14:paraId="0B0FF00C" w14:textId="32E612A0"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259</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Mohan P, Barton BA, Narkewicz MR, Molleston JP, Gonzalez-Peralta RP, Rosenthal P, et al. Evaluating progression of liver disease from repeat liver biopsies in children with chronic hepatitis C: a retrospective study. </w:t>
      </w:r>
      <w:r w:rsidR="00A74698" w:rsidRPr="003B61EF">
        <w:rPr>
          <w:rFonts w:ascii="Times" w:hAnsi="Times" w:cs="Times"/>
          <w:color w:val="0D6C9E"/>
          <w:sz w:val="18"/>
          <w:szCs w:val="18"/>
          <w:lang w:val="en-US"/>
        </w:rPr>
        <w:t>Hepatology 2013;58:1580–1586</w:t>
      </w:r>
      <w:r w:rsidR="00A74698" w:rsidRPr="003B61EF">
        <w:rPr>
          <w:rFonts w:ascii="Times" w:hAnsi="Times" w:cs="Times"/>
          <w:color w:val="000000"/>
          <w:sz w:val="18"/>
          <w:szCs w:val="18"/>
          <w:lang w:val="en-US"/>
        </w:rPr>
        <w:t xml:space="preserve">. </w:t>
      </w:r>
    </w:p>
    <w:p w14:paraId="7D78C45D" w14:textId="28A042F8"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260</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Castellino S, Lensing S, Riely C, Rai SN, Davila R, Hayden RT, et al. The epidemiology of chronic hepatitis C infection in survivors of childhood cancer: an update of the St Jude Children’s Research Hospital hepatitis C seropositive cohort. </w:t>
      </w:r>
      <w:r w:rsidR="00A74698" w:rsidRPr="0043429F">
        <w:rPr>
          <w:rFonts w:ascii="Times" w:hAnsi="Times" w:cs="Times"/>
          <w:color w:val="0D6C9E"/>
          <w:sz w:val="18"/>
          <w:szCs w:val="18"/>
          <w:lang w:val="en-US"/>
        </w:rPr>
        <w:t>Blood 2004;103:2460–2466</w:t>
      </w:r>
      <w:r w:rsidR="00A74698" w:rsidRPr="0043429F">
        <w:rPr>
          <w:rFonts w:ascii="Times" w:hAnsi="Times" w:cs="Times"/>
          <w:color w:val="000000"/>
          <w:sz w:val="18"/>
          <w:szCs w:val="18"/>
          <w:lang w:val="en-US"/>
        </w:rPr>
        <w:t xml:space="preserve">. </w:t>
      </w:r>
    </w:p>
    <w:p w14:paraId="1D1212FB" w14:textId="5D80E9D0"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261</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Balistreri WF, Murray KF, Rosenthal P, Bansal S, Lin CH, Kersey K, et al. The safety and effectiveness of ledipasvir-sofosbuvir in adolescents 12– 17 years old with hepatitis C virus genotype 1 infection. </w:t>
      </w:r>
      <w:r w:rsidR="00A74698" w:rsidRPr="0043429F">
        <w:rPr>
          <w:rFonts w:ascii="Times" w:hAnsi="Times" w:cs="Times"/>
          <w:color w:val="0D6C9E"/>
          <w:sz w:val="18"/>
          <w:szCs w:val="18"/>
          <w:lang w:val="en-US"/>
        </w:rPr>
        <w:t>Hepatology 2017;66:371–378</w:t>
      </w:r>
      <w:r w:rsidR="00A74698" w:rsidRPr="0043429F">
        <w:rPr>
          <w:rFonts w:ascii="Times" w:hAnsi="Times" w:cs="Times"/>
          <w:color w:val="000000"/>
          <w:sz w:val="18"/>
          <w:szCs w:val="18"/>
          <w:lang w:val="en-US"/>
        </w:rPr>
        <w:t xml:space="preserve">. </w:t>
      </w:r>
    </w:p>
    <w:p w14:paraId="596EEFF0" w14:textId="737AFBE7"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262</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Wirth S, Rosenthal P, Gonzalez-Peralta RP, Jonas MM, Balistreri WF, Lin CH, et al. Sofosbuvir and ribavirin in adolescents 12–17 years old with hepatitis C virus genotype 2 or 3 infection. </w:t>
      </w:r>
      <w:r w:rsidR="00A74698" w:rsidRPr="003B61EF">
        <w:rPr>
          <w:rFonts w:ascii="Times" w:hAnsi="Times" w:cs="Times"/>
          <w:color w:val="0D6C9E"/>
          <w:sz w:val="18"/>
          <w:szCs w:val="18"/>
          <w:lang w:val="en-US"/>
        </w:rPr>
        <w:t>Hepatology 2017;66:1102–1110</w:t>
      </w:r>
      <w:r w:rsidR="00A74698" w:rsidRPr="003B61EF">
        <w:rPr>
          <w:rFonts w:ascii="Times" w:hAnsi="Times" w:cs="Times"/>
          <w:color w:val="000000"/>
          <w:sz w:val="18"/>
          <w:szCs w:val="18"/>
          <w:lang w:val="en-US"/>
        </w:rPr>
        <w:t xml:space="preserve">. </w:t>
      </w:r>
    </w:p>
    <w:p w14:paraId="0FF7B257" w14:textId="4576F50D"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263</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Vermehren J, Susser S, Dietz J, von Hahn T, Petersen J, Hinrichsen H, et al. Retreatment of patients who failed DAA-combination therapies: real-world experience from a large hepatitis C resistance database. </w:t>
      </w:r>
      <w:r w:rsidR="00A74698" w:rsidRPr="003B61EF">
        <w:rPr>
          <w:rFonts w:ascii="Times" w:hAnsi="Times" w:cs="Times"/>
          <w:color w:val="0D6C9E"/>
          <w:sz w:val="18"/>
          <w:szCs w:val="18"/>
          <w:lang w:val="en-US"/>
        </w:rPr>
        <w:t>J Hepatol 2016;64:S188</w:t>
      </w:r>
      <w:r w:rsidR="00A74698" w:rsidRPr="003B61EF">
        <w:rPr>
          <w:rFonts w:ascii="Times" w:hAnsi="Times" w:cs="Times"/>
          <w:color w:val="000000"/>
          <w:sz w:val="18"/>
          <w:szCs w:val="18"/>
          <w:lang w:val="en-US"/>
        </w:rPr>
        <w:t xml:space="preserve">. </w:t>
      </w:r>
    </w:p>
    <w:p w14:paraId="2C817984" w14:textId="49068B03"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264</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Dietz J, Susser S, Vermehren J, Peiffer KH, Grammatikos G, Berger A, et al. Patterns of resistance-associated substitutions in patients with chronic HCV infection following treatment with direct-acting antivirals. </w:t>
      </w:r>
      <w:r w:rsidR="00A74698" w:rsidRPr="003B61EF">
        <w:rPr>
          <w:rFonts w:ascii="Times" w:hAnsi="Times" w:cs="Times"/>
          <w:color w:val="0D6C9E"/>
          <w:sz w:val="18"/>
          <w:szCs w:val="18"/>
          <w:lang w:val="en-US"/>
        </w:rPr>
        <w:t>Gastroenterology 2018;154:976–988</w:t>
      </w:r>
      <w:r w:rsidR="00A74698" w:rsidRPr="003B61EF">
        <w:rPr>
          <w:rFonts w:ascii="Times" w:hAnsi="Times" w:cs="Times"/>
          <w:color w:val="000000"/>
          <w:sz w:val="18"/>
          <w:szCs w:val="18"/>
          <w:lang w:val="en-US"/>
        </w:rPr>
        <w:t xml:space="preserve">. </w:t>
      </w:r>
    </w:p>
    <w:p w14:paraId="7E1F827C" w14:textId="47F27C6D" w:rsidR="00A74698" w:rsidRPr="00BA5C0A"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265</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Bourliere M, Gordon SC, Flamm SL, Cooper CL, Ramji A, Tong M, et al. Sofosbuvir, velpatasvir, and voxilaprevir for previously treated HCV infection. N Engl J Med 2017;376:2134–2146</w:t>
      </w:r>
      <w:r w:rsidR="00A74698" w:rsidRPr="00BA5C0A">
        <w:rPr>
          <w:rFonts w:ascii="Times" w:hAnsi="Times" w:cs="Times"/>
          <w:color w:val="000000"/>
          <w:sz w:val="18"/>
          <w:szCs w:val="18"/>
          <w:lang w:val="en-US"/>
        </w:rPr>
        <w:t>.</w:t>
      </w:r>
      <w:r w:rsidR="00A74698" w:rsidRPr="00BA5C0A">
        <w:rPr>
          <w:rFonts w:ascii="MS Mincho" w:eastAsia="MS Mincho" w:hAnsi="MS Mincho" w:cs="MS Mincho"/>
          <w:color w:val="000000"/>
          <w:sz w:val="18"/>
          <w:szCs w:val="18"/>
          <w:lang w:val="en-US"/>
        </w:rPr>
        <w:t> </w:t>
      </w:r>
    </w:p>
    <w:p w14:paraId="19DDBE78" w14:textId="50FD0538"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266</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Poordad F, Pol S, Asatryan A, Buti M, Shaw D, Hezode C, et al. Glecaprevir/pibrentasvir in patients with HCV genotype 1 or 4 and prior direct-acting antiviral treatment failure. </w:t>
      </w:r>
      <w:r w:rsidR="00A74698" w:rsidRPr="003B61EF">
        <w:rPr>
          <w:rFonts w:ascii="Times" w:hAnsi="Times" w:cs="Times"/>
          <w:color w:val="0D6C9E"/>
          <w:sz w:val="18"/>
          <w:szCs w:val="18"/>
          <w:lang w:val="en-US"/>
        </w:rPr>
        <w:t>Hepatology 2018;67:1253–1260</w:t>
      </w:r>
      <w:r w:rsidR="00A74698" w:rsidRPr="003B61EF">
        <w:rPr>
          <w:rFonts w:ascii="Times" w:hAnsi="Times" w:cs="Times"/>
          <w:color w:val="000000"/>
          <w:sz w:val="18"/>
          <w:szCs w:val="18"/>
          <w:lang w:val="en-US"/>
        </w:rPr>
        <w:t xml:space="preserve">. </w:t>
      </w:r>
    </w:p>
    <w:p w14:paraId="6AE0B8F7" w14:textId="3A83EB47"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267</w:t>
      </w:r>
      <w:r w:rsidRPr="00A74698">
        <w:rPr>
          <w:rFonts w:ascii="Times" w:hAnsi="Times" w:cs="Times"/>
          <w:color w:val="000000"/>
          <w:sz w:val="18"/>
          <w:szCs w:val="18"/>
          <w:lang w:val="en-US"/>
        </w:rPr>
        <w:t>]</w:t>
      </w:r>
      <w:r w:rsidR="00A74698" w:rsidRPr="003B61EF">
        <w:rPr>
          <w:rFonts w:ascii="Times" w:hAnsi="Times" w:cs="Times"/>
          <w:color w:val="0D6C9E"/>
          <w:sz w:val="18"/>
          <w:szCs w:val="18"/>
          <w:lang w:val="en-US"/>
        </w:rPr>
        <w:t>http://www.natap.org/2018/CROI/croi_57.htm</w:t>
      </w:r>
      <w:r w:rsidR="00A74698" w:rsidRPr="003B61EF">
        <w:rPr>
          <w:rFonts w:ascii="Times" w:hAnsi="Times" w:cs="Times"/>
          <w:color w:val="000000"/>
          <w:sz w:val="18"/>
          <w:szCs w:val="18"/>
          <w:lang w:val="en-US"/>
        </w:rPr>
        <w:t>.</w:t>
      </w:r>
      <w:r w:rsidR="00A74698" w:rsidRPr="003B61EF">
        <w:rPr>
          <w:rFonts w:ascii="MS Mincho" w:eastAsia="MS Mincho" w:hAnsi="MS Mincho" w:cs="MS Mincho"/>
          <w:color w:val="000000"/>
          <w:sz w:val="18"/>
          <w:szCs w:val="18"/>
          <w:lang w:val="en-US"/>
        </w:rPr>
        <w:t> </w:t>
      </w:r>
    </w:p>
    <w:p w14:paraId="4A24BE7C" w14:textId="188D98B3"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268</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Bethea ED, Chen Q, Hur C, Chung RT, Chhatwal J. Should we treat acute hepatitis C? </w:t>
      </w:r>
      <w:r w:rsidR="00A74698" w:rsidRPr="0043429F">
        <w:rPr>
          <w:rFonts w:ascii="Times" w:hAnsi="Times" w:cs="Times"/>
          <w:color w:val="0D6C9E"/>
          <w:sz w:val="18"/>
          <w:szCs w:val="18"/>
          <w:lang w:val="en-US"/>
        </w:rPr>
        <w:t>A decision and cost-effectiveness analysis. Hepatology 2018;67:837–848</w:t>
      </w:r>
      <w:r w:rsidR="00A74698" w:rsidRPr="0043429F">
        <w:rPr>
          <w:rFonts w:ascii="Times" w:hAnsi="Times" w:cs="Times"/>
          <w:color w:val="000000"/>
          <w:sz w:val="18"/>
          <w:szCs w:val="18"/>
          <w:lang w:val="en-US"/>
        </w:rPr>
        <w:t>.</w:t>
      </w:r>
      <w:r w:rsidR="00A74698" w:rsidRPr="0043429F">
        <w:rPr>
          <w:rFonts w:ascii="MS Mincho" w:eastAsia="MS Mincho" w:hAnsi="MS Mincho" w:cs="MS Mincho"/>
          <w:color w:val="000000"/>
          <w:sz w:val="18"/>
          <w:szCs w:val="18"/>
          <w:lang w:val="en-US"/>
        </w:rPr>
        <w:t> </w:t>
      </w:r>
    </w:p>
    <w:p w14:paraId="7EAC8478" w14:textId="1313FAE1"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269</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Martinello M, Gane E, Hellard M, Sasadeusz J, Shaw D, Petoumenos K, et al. Sofosbuvir and ribavirin for 6 weeks is not effective among people with recent hepatitis C virus infection: The DARE-C II study. </w:t>
      </w:r>
      <w:r w:rsidR="00A74698" w:rsidRPr="003B61EF">
        <w:rPr>
          <w:rFonts w:ascii="Times" w:hAnsi="Times" w:cs="Times"/>
          <w:color w:val="0D6C9E"/>
          <w:sz w:val="18"/>
          <w:szCs w:val="18"/>
          <w:lang w:val="en-US"/>
        </w:rPr>
        <w:t>Hepatology 2016;64:1911–1921</w:t>
      </w:r>
      <w:r w:rsidR="00A74698" w:rsidRPr="003B61EF">
        <w:rPr>
          <w:rFonts w:ascii="Times" w:hAnsi="Times" w:cs="Times"/>
          <w:color w:val="000000"/>
          <w:sz w:val="18"/>
          <w:szCs w:val="18"/>
          <w:lang w:val="en-US"/>
        </w:rPr>
        <w:t>.</w:t>
      </w:r>
      <w:r w:rsidR="00A74698" w:rsidRPr="003B61EF">
        <w:rPr>
          <w:rFonts w:ascii="MS Mincho" w:eastAsia="MS Mincho" w:hAnsi="MS Mincho" w:cs="MS Mincho"/>
          <w:color w:val="000000"/>
          <w:sz w:val="18"/>
          <w:szCs w:val="18"/>
          <w:lang w:val="en-US"/>
        </w:rPr>
        <w:t> </w:t>
      </w:r>
    </w:p>
    <w:p w14:paraId="3B62DF3D" w14:textId="28370DBE"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270</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Naggie S, Marks KM, Hughes M, Fierer DS, Macbrayne C, Kim A, et al. Sofosbuvir plus ribavirin without interferon for treatment of acute hepatitis C virus infection in HIV-1-infected individuals: SWIFT-C. </w:t>
      </w:r>
      <w:r w:rsidR="00A74698" w:rsidRPr="0043429F">
        <w:rPr>
          <w:rFonts w:ascii="Times" w:hAnsi="Times" w:cs="Times"/>
          <w:color w:val="0D6C9E"/>
          <w:sz w:val="18"/>
          <w:szCs w:val="18"/>
          <w:lang w:val="en-US"/>
        </w:rPr>
        <w:t>Clin Infect Dis 2017;64:1035–1042</w:t>
      </w:r>
      <w:r w:rsidR="00A74698" w:rsidRPr="0043429F">
        <w:rPr>
          <w:rFonts w:ascii="Times" w:hAnsi="Times" w:cs="Times"/>
          <w:color w:val="000000"/>
          <w:sz w:val="18"/>
          <w:szCs w:val="18"/>
          <w:lang w:val="en-US"/>
        </w:rPr>
        <w:t>.</w:t>
      </w:r>
      <w:r w:rsidR="00A74698" w:rsidRPr="0043429F">
        <w:rPr>
          <w:rFonts w:ascii="MS Mincho" w:eastAsia="MS Mincho" w:hAnsi="MS Mincho" w:cs="MS Mincho"/>
          <w:color w:val="000000"/>
          <w:sz w:val="18"/>
          <w:szCs w:val="18"/>
          <w:lang w:val="en-US"/>
        </w:rPr>
        <w:t> </w:t>
      </w:r>
    </w:p>
    <w:p w14:paraId="5B1AF383" w14:textId="046E8323"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271</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Basu PP, Shah NJ, Aloysius MM, Brown Jr R. Sofosbuvir and ledipasvir versus sofosbuvir and simeprevir for acute hepatitis C: a RCT: SLAM C study. </w:t>
      </w:r>
      <w:r w:rsidR="00A74698" w:rsidRPr="0043429F">
        <w:rPr>
          <w:rFonts w:ascii="Times" w:hAnsi="Times" w:cs="Times"/>
          <w:color w:val="0D6C9E"/>
          <w:sz w:val="18"/>
          <w:szCs w:val="18"/>
          <w:lang w:val="en-US"/>
        </w:rPr>
        <w:t>Hepatol Int 2016;10:S14–S15</w:t>
      </w:r>
      <w:r w:rsidR="00A74698" w:rsidRPr="0043429F">
        <w:rPr>
          <w:rFonts w:ascii="Times" w:hAnsi="Times" w:cs="Times"/>
          <w:color w:val="000000"/>
          <w:sz w:val="18"/>
          <w:szCs w:val="18"/>
          <w:lang w:val="en-US"/>
        </w:rPr>
        <w:t>.</w:t>
      </w:r>
      <w:r w:rsidR="00A74698" w:rsidRPr="0043429F">
        <w:rPr>
          <w:rFonts w:ascii="MS Mincho" w:eastAsia="MS Mincho" w:hAnsi="MS Mincho" w:cs="MS Mincho"/>
          <w:color w:val="000000"/>
          <w:sz w:val="18"/>
          <w:szCs w:val="18"/>
          <w:lang w:val="en-US"/>
        </w:rPr>
        <w:t> </w:t>
      </w:r>
    </w:p>
    <w:p w14:paraId="33FCC5F4" w14:textId="678B3F48"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272</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Rockstroh JK, Bhagani S, Hyland RH, Yun C, Dvory-Sobol H, Zheng W, et al. Ledipasvir-sofosbuvir for 6 weeks to treat acute hepatitis C virus genotype 1 or 4 infection in patients with HIV coinfection: an open- label, single-arm trial. </w:t>
      </w:r>
      <w:r w:rsidR="00A74698" w:rsidRPr="003B61EF">
        <w:rPr>
          <w:rFonts w:ascii="Times" w:hAnsi="Times" w:cs="Times"/>
          <w:color w:val="0D6C9E"/>
          <w:sz w:val="18"/>
          <w:szCs w:val="18"/>
          <w:lang w:val="en-US"/>
        </w:rPr>
        <w:t>Lancet Gastroenterol Hepatol 2017;2:347–353</w:t>
      </w:r>
      <w:r w:rsidR="00A74698" w:rsidRPr="003B61EF">
        <w:rPr>
          <w:rFonts w:ascii="Times" w:hAnsi="Times" w:cs="Times"/>
          <w:color w:val="000000"/>
          <w:sz w:val="18"/>
          <w:szCs w:val="18"/>
          <w:lang w:val="en-US"/>
        </w:rPr>
        <w:t xml:space="preserve">. </w:t>
      </w:r>
    </w:p>
    <w:p w14:paraId="0342E18F" w14:textId="154D7733"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273</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Deterding K, Spinner CD, Schott E, Welzel TM, Gerken G, Klinker H, et al. Ledipasvir plus sofosbuvir fixed-dose combination for 6 weeks in patients with acute hepatitis C virus genotype 1 monoinfection (HepNet Acute HCV IV): an open-label, single-arm, Phase 2 study. </w:t>
      </w:r>
      <w:r w:rsidR="00A74698" w:rsidRPr="003B61EF">
        <w:rPr>
          <w:rFonts w:ascii="Times" w:hAnsi="Times" w:cs="Times"/>
          <w:color w:val="0D6C9E"/>
          <w:sz w:val="18"/>
          <w:szCs w:val="18"/>
          <w:lang w:val="en-US"/>
        </w:rPr>
        <w:t>Lancet Infect Dis 2017;17:215–222</w:t>
      </w:r>
      <w:r w:rsidR="00A74698" w:rsidRPr="003B61EF">
        <w:rPr>
          <w:rFonts w:ascii="Times" w:hAnsi="Times" w:cs="Times"/>
          <w:color w:val="000000"/>
          <w:sz w:val="18"/>
          <w:szCs w:val="18"/>
          <w:lang w:val="en-US"/>
        </w:rPr>
        <w:t>.</w:t>
      </w:r>
      <w:r w:rsidR="00A74698" w:rsidRPr="003B61EF">
        <w:rPr>
          <w:rFonts w:ascii="MS Mincho" w:eastAsia="MS Mincho" w:hAnsi="MS Mincho" w:cs="MS Mincho"/>
          <w:color w:val="000000"/>
          <w:sz w:val="18"/>
          <w:szCs w:val="18"/>
          <w:lang w:val="en-US"/>
        </w:rPr>
        <w:t> </w:t>
      </w:r>
    </w:p>
    <w:p w14:paraId="37D3DC1A" w14:textId="2D6FF988"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274</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Martinello M, Bhagani S, Gane EJ, Orkin C, Cooke GS, Kulasegaram R, et al. Shortened therapy of 8 weeks duration with paritaprevir/ ritonavir/ombitasvir and dasabuvir is highly effective in people with acute and recent genotype 1 HCV infection: the TARGET3D Study. </w:t>
      </w:r>
      <w:r w:rsidR="00A74698" w:rsidRPr="003B61EF">
        <w:rPr>
          <w:rFonts w:ascii="Times" w:hAnsi="Times" w:cs="Times"/>
          <w:color w:val="0D6C9E"/>
          <w:sz w:val="18"/>
          <w:szCs w:val="18"/>
          <w:lang w:val="en-US"/>
        </w:rPr>
        <w:t>Hepatology 2017;66:574A</w:t>
      </w:r>
      <w:r w:rsidR="00A74698" w:rsidRPr="003B61EF">
        <w:rPr>
          <w:rFonts w:ascii="Times" w:hAnsi="Times" w:cs="Times"/>
          <w:color w:val="000000"/>
          <w:sz w:val="18"/>
          <w:szCs w:val="18"/>
          <w:lang w:val="en-US"/>
        </w:rPr>
        <w:t>.</w:t>
      </w:r>
      <w:r w:rsidR="00A74698" w:rsidRPr="003B61EF">
        <w:rPr>
          <w:rFonts w:ascii="MS Mincho" w:eastAsia="MS Mincho" w:hAnsi="MS Mincho" w:cs="MS Mincho"/>
          <w:color w:val="000000"/>
          <w:sz w:val="18"/>
          <w:szCs w:val="18"/>
          <w:lang w:val="en-US"/>
        </w:rPr>
        <w:t> </w:t>
      </w:r>
    </w:p>
    <w:p w14:paraId="55AFB148" w14:textId="02B8BD6D"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275</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Chevaliez S, Bouvier-Alias M, Brillet R, Pawlotsky JM. Overestimation and underestimation of hepatitis C virus RNA levels in a widely used real-time polymerase chain reaction-based method. </w:t>
      </w:r>
      <w:r w:rsidR="00A74698" w:rsidRPr="003B61EF">
        <w:rPr>
          <w:rFonts w:ascii="Times" w:hAnsi="Times" w:cs="Times"/>
          <w:color w:val="0D6C9E"/>
          <w:sz w:val="18"/>
          <w:szCs w:val="18"/>
          <w:lang w:val="en-US"/>
        </w:rPr>
        <w:t>Hepatology 2007;46:22–31</w:t>
      </w:r>
      <w:r w:rsidR="00A74698" w:rsidRPr="003B61EF">
        <w:rPr>
          <w:rFonts w:ascii="Times" w:hAnsi="Times" w:cs="Times"/>
          <w:color w:val="000000"/>
          <w:sz w:val="18"/>
          <w:szCs w:val="18"/>
          <w:lang w:val="en-US"/>
        </w:rPr>
        <w:t>.</w:t>
      </w:r>
      <w:r w:rsidR="00A74698" w:rsidRPr="003B61EF">
        <w:rPr>
          <w:rFonts w:ascii="MS Mincho" w:eastAsia="MS Mincho" w:hAnsi="MS Mincho" w:cs="MS Mincho"/>
          <w:color w:val="000000"/>
          <w:sz w:val="18"/>
          <w:szCs w:val="18"/>
          <w:lang w:val="en-US"/>
        </w:rPr>
        <w:t> </w:t>
      </w:r>
    </w:p>
    <w:p w14:paraId="5030EDD9" w14:textId="4D9893CD"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276</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Sarrazin C, Shiffman ML, Hadziyannis SJ, Lin A, Colucci G, Ishida H, et al. Definition of rapid virologic response with a highly sensitive real-time PCR-based HCV RNA assay in peginterferon alfa-2a plus ribavirin response-guided therapy. </w:t>
      </w:r>
      <w:r w:rsidR="00A74698" w:rsidRPr="003B61EF">
        <w:rPr>
          <w:rFonts w:ascii="Times" w:hAnsi="Times" w:cs="Times"/>
          <w:color w:val="0D6C9E"/>
          <w:sz w:val="18"/>
          <w:szCs w:val="18"/>
          <w:lang w:val="en-US"/>
        </w:rPr>
        <w:t>J Hepatol 2010;52:832–838</w:t>
      </w:r>
      <w:r w:rsidR="00A74698" w:rsidRPr="003B61EF">
        <w:rPr>
          <w:rFonts w:ascii="Times" w:hAnsi="Times" w:cs="Times"/>
          <w:color w:val="000000"/>
          <w:sz w:val="18"/>
          <w:szCs w:val="18"/>
          <w:lang w:val="en-US"/>
        </w:rPr>
        <w:t>.</w:t>
      </w:r>
      <w:r w:rsidR="00A74698" w:rsidRPr="003B61EF">
        <w:rPr>
          <w:rFonts w:ascii="MS Mincho" w:eastAsia="MS Mincho" w:hAnsi="MS Mincho" w:cs="MS Mincho"/>
          <w:color w:val="000000"/>
          <w:sz w:val="18"/>
          <w:szCs w:val="18"/>
          <w:lang w:val="en-US"/>
        </w:rPr>
        <w:t> </w:t>
      </w:r>
    </w:p>
    <w:p w14:paraId="00217DBF" w14:textId="2F978B79"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277</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Vermehren J, Kau A, Gartner BC, Gobel R, Zeuzem S, Sarrazin C. Differences between two real-time PCR-based hepatitis C virus (HCV) assays (RealTime HCV and Cobas AmpliPrep/Cobas TaqMan) and one signal amplification assay (Versant HCV RNA 3.0) for RNA detection and quantification. </w:t>
      </w:r>
      <w:r w:rsidR="00A74698" w:rsidRPr="0043429F">
        <w:rPr>
          <w:rFonts w:ascii="Times" w:hAnsi="Times" w:cs="Times"/>
          <w:color w:val="0D6C9E"/>
          <w:sz w:val="18"/>
          <w:szCs w:val="18"/>
          <w:lang w:val="en-US"/>
        </w:rPr>
        <w:t>J Clin Microbiol 2008;46:3880–3891</w:t>
      </w:r>
      <w:r w:rsidR="00A74698" w:rsidRPr="0043429F">
        <w:rPr>
          <w:rFonts w:ascii="Times" w:hAnsi="Times" w:cs="Times"/>
          <w:color w:val="000000"/>
          <w:sz w:val="18"/>
          <w:szCs w:val="18"/>
          <w:lang w:val="en-US"/>
        </w:rPr>
        <w:t xml:space="preserve">. </w:t>
      </w:r>
    </w:p>
    <w:p w14:paraId="1FE1A8AF" w14:textId="0394726C"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278</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Dufour JF, Zuckerman E, Zadeikis N, Hezode C, Paik SW, Andreone P, et al. Safety of glecaprevir/pibrentasvir in adults with chronic genotype 1–6 hepatitis C virus infection: an integrated analysis. </w:t>
      </w:r>
      <w:r w:rsidR="00A74698" w:rsidRPr="003B61EF">
        <w:rPr>
          <w:rFonts w:ascii="Times" w:hAnsi="Times" w:cs="Times"/>
          <w:color w:val="0D6C9E"/>
          <w:sz w:val="18"/>
          <w:szCs w:val="18"/>
          <w:lang w:val="en-US"/>
        </w:rPr>
        <w:t>J Hepatol 2017;66:S515</w:t>
      </w:r>
      <w:r w:rsidR="00A74698" w:rsidRPr="003B61EF">
        <w:rPr>
          <w:rFonts w:ascii="Times" w:hAnsi="Times" w:cs="Times"/>
          <w:color w:val="000000"/>
          <w:sz w:val="18"/>
          <w:szCs w:val="18"/>
          <w:lang w:val="en-US"/>
        </w:rPr>
        <w:t xml:space="preserve">. </w:t>
      </w:r>
    </w:p>
    <w:p w14:paraId="2F110011" w14:textId="350926DC"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279</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Renard S, Borentain P, Salaun E, Benhaourech S, Maille B, Darque A, et al. Severe pulmonary arterial hypertension in patients treated for hepatitis C with sofosbuvir. </w:t>
      </w:r>
      <w:r w:rsidR="00A74698" w:rsidRPr="003B61EF">
        <w:rPr>
          <w:rFonts w:ascii="Times" w:hAnsi="Times" w:cs="Times"/>
          <w:color w:val="0D6C9E"/>
          <w:sz w:val="18"/>
          <w:szCs w:val="18"/>
          <w:lang w:val="en-US"/>
        </w:rPr>
        <w:t>Chest 2016;149:e69–e73</w:t>
      </w:r>
      <w:r w:rsidR="00A74698" w:rsidRPr="003B61EF">
        <w:rPr>
          <w:rFonts w:ascii="Times" w:hAnsi="Times" w:cs="Times"/>
          <w:color w:val="000000"/>
          <w:sz w:val="18"/>
          <w:szCs w:val="18"/>
          <w:lang w:val="en-US"/>
        </w:rPr>
        <w:t>.</w:t>
      </w:r>
      <w:r w:rsidR="00A74698" w:rsidRPr="003B61EF">
        <w:rPr>
          <w:rFonts w:ascii="MS Mincho" w:eastAsia="MS Mincho" w:hAnsi="MS Mincho" w:cs="MS Mincho"/>
          <w:color w:val="000000"/>
          <w:sz w:val="18"/>
          <w:szCs w:val="18"/>
          <w:lang w:val="en-US"/>
        </w:rPr>
        <w:t> </w:t>
      </w:r>
    </w:p>
    <w:p w14:paraId="3A3C60C5" w14:textId="072F2CE9"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280</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Fried MW, Shiffman ML, Reddy KR, Smith C, Marinos G, Goncales Jr FL, et al. Peginterferon alfa-2a plus ribavirin for chronic hepatitis C virus infection. </w:t>
      </w:r>
      <w:r w:rsidR="00A74698" w:rsidRPr="003B61EF">
        <w:rPr>
          <w:rFonts w:ascii="Times" w:hAnsi="Times" w:cs="Times"/>
          <w:color w:val="0D6C9E"/>
          <w:sz w:val="18"/>
          <w:szCs w:val="18"/>
          <w:lang w:val="en-US"/>
        </w:rPr>
        <w:t>N Engl J Med 2002;347:975–982</w:t>
      </w:r>
      <w:r w:rsidR="00A74698" w:rsidRPr="003B61EF">
        <w:rPr>
          <w:rFonts w:ascii="Times" w:hAnsi="Times" w:cs="Times"/>
          <w:color w:val="000000"/>
          <w:sz w:val="18"/>
          <w:szCs w:val="18"/>
          <w:lang w:val="en-US"/>
        </w:rPr>
        <w:t xml:space="preserve">. </w:t>
      </w:r>
    </w:p>
    <w:p w14:paraId="3959422E" w14:textId="574C14F6"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281</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Hadziyannis SJ, Sette Jr H, Morgan TR, Balan V, Diago M, Marcellin P, et al. Peginterferon-alpha 2a and ribavirin combination therapy in chronic hepatitis C: a randomized study of treatment duration and ribavirin dose. </w:t>
      </w:r>
      <w:r w:rsidR="00A74698" w:rsidRPr="003B61EF">
        <w:rPr>
          <w:rFonts w:ascii="Times" w:hAnsi="Times" w:cs="Times"/>
          <w:color w:val="0D6C9E"/>
          <w:sz w:val="18"/>
          <w:szCs w:val="18"/>
          <w:lang w:val="en-US"/>
        </w:rPr>
        <w:t>Ann Intern Med 2004;140:346–355</w:t>
      </w:r>
      <w:r w:rsidR="00A74698" w:rsidRPr="003B61EF">
        <w:rPr>
          <w:rFonts w:ascii="Times" w:hAnsi="Times" w:cs="Times"/>
          <w:color w:val="000000"/>
          <w:sz w:val="18"/>
          <w:szCs w:val="18"/>
          <w:lang w:val="en-US"/>
        </w:rPr>
        <w:t xml:space="preserve">. </w:t>
      </w:r>
    </w:p>
    <w:p w14:paraId="304CA5AB" w14:textId="7EAE5358"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282</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Manns MP, McHutchison JG, Gordon SC, Rustgi VK, Shiffman M, Reindollar R, et al. Peginterferon alfa-2b plus ribavirin compared with interferon alfa-2b plus ribavirin for initial treatment of chronic hepatitis C: a randomised trial. </w:t>
      </w:r>
      <w:r w:rsidR="00A74698" w:rsidRPr="003B61EF">
        <w:rPr>
          <w:rFonts w:ascii="Times" w:hAnsi="Times" w:cs="Times"/>
          <w:color w:val="0D6C9E"/>
          <w:sz w:val="18"/>
          <w:szCs w:val="18"/>
          <w:lang w:val="en-US"/>
        </w:rPr>
        <w:t>Lancet 2001;358:958–965</w:t>
      </w:r>
      <w:r w:rsidR="00A74698" w:rsidRPr="003B61EF">
        <w:rPr>
          <w:rFonts w:ascii="Times" w:hAnsi="Times" w:cs="Times"/>
          <w:color w:val="000000"/>
          <w:sz w:val="18"/>
          <w:szCs w:val="18"/>
          <w:lang w:val="en-US"/>
        </w:rPr>
        <w:t xml:space="preserve">. </w:t>
      </w:r>
    </w:p>
    <w:p w14:paraId="077C6B7D" w14:textId="6ED7198D"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283</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Fried MW. Side effects of therapy of hepatitis C and their management. </w:t>
      </w:r>
      <w:r w:rsidR="00A74698" w:rsidRPr="0043429F">
        <w:rPr>
          <w:rFonts w:ascii="Times" w:hAnsi="Times" w:cs="Times"/>
          <w:color w:val="0D6C9E"/>
          <w:sz w:val="18"/>
          <w:szCs w:val="18"/>
          <w:lang w:val="en-US"/>
        </w:rPr>
        <w:t>Hepatology 2002;36:S237–S244</w:t>
      </w:r>
      <w:r w:rsidR="00A74698" w:rsidRPr="0043429F">
        <w:rPr>
          <w:rFonts w:ascii="Times" w:hAnsi="Times" w:cs="Times"/>
          <w:color w:val="000000"/>
          <w:sz w:val="18"/>
          <w:szCs w:val="18"/>
          <w:lang w:val="en-US"/>
        </w:rPr>
        <w:t>.</w:t>
      </w:r>
      <w:r w:rsidR="00A74698" w:rsidRPr="0043429F">
        <w:rPr>
          <w:rFonts w:ascii="MS Mincho" w:eastAsia="MS Mincho" w:hAnsi="MS Mincho" w:cs="MS Mincho"/>
          <w:color w:val="000000"/>
          <w:sz w:val="18"/>
          <w:szCs w:val="18"/>
          <w:lang w:val="en-US"/>
        </w:rPr>
        <w:t> </w:t>
      </w:r>
    </w:p>
    <w:p w14:paraId="4B345022" w14:textId="02C9706D"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284</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Shiffman ML, Salvatore J, Hubbard S, Price A, Sterling RK, Stravitz RT, et al. Treatment of chronic hepatitis C virus genotype 1 with peginter- feron, ribavirin, and epoetin alpha. </w:t>
      </w:r>
      <w:r w:rsidR="00A74698" w:rsidRPr="003B61EF">
        <w:rPr>
          <w:rFonts w:ascii="Times" w:hAnsi="Times" w:cs="Times"/>
          <w:color w:val="0D6C9E"/>
          <w:sz w:val="18"/>
          <w:szCs w:val="18"/>
          <w:lang w:val="en-US"/>
        </w:rPr>
        <w:t>Hepatology 2007;46:371–379</w:t>
      </w:r>
      <w:r w:rsidR="00A74698" w:rsidRPr="003B61EF">
        <w:rPr>
          <w:rFonts w:ascii="Times" w:hAnsi="Times" w:cs="Times"/>
          <w:color w:val="000000"/>
          <w:sz w:val="18"/>
          <w:szCs w:val="18"/>
          <w:lang w:val="en-US"/>
        </w:rPr>
        <w:t xml:space="preserve">. </w:t>
      </w:r>
    </w:p>
    <w:p w14:paraId="30F30B42" w14:textId="39B71781" w:rsidR="00A74698" w:rsidRPr="00BA5C0A"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lastRenderedPageBreak/>
        <w:t>[</w:t>
      </w:r>
      <w:r>
        <w:rPr>
          <w:rFonts w:ascii="Times" w:hAnsi="Times" w:cs="Times"/>
          <w:color w:val="000000"/>
          <w:sz w:val="18"/>
          <w:szCs w:val="18"/>
          <w:lang w:val="en-US"/>
        </w:rPr>
        <w:t>285</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Soza A, Everhart JE, Ghany MG, Doo E, Heller T, Promrat K, et al. Neutropenia during combination therapy of interferon alfa and ribavirin for chronic hepatitis C. Hepatology 2002;36:1273–1279</w:t>
      </w:r>
      <w:r w:rsidR="00A74698" w:rsidRPr="00BA5C0A">
        <w:rPr>
          <w:rFonts w:ascii="Times" w:hAnsi="Times" w:cs="Times"/>
          <w:color w:val="000000"/>
          <w:sz w:val="18"/>
          <w:szCs w:val="18"/>
          <w:lang w:val="en-US"/>
        </w:rPr>
        <w:t xml:space="preserve">. </w:t>
      </w:r>
    </w:p>
    <w:p w14:paraId="7703B3D2" w14:textId="5F4ED7BE"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286</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Afdhal NH, Dieterich DT, Pockros PJ, Schiff ER, Shiffman ML, Sulkowski MS, et al. Epoetin alfa maintains ribavirin dose in HCV-infected patients: a prospective, double-blind, randomized controlled study. </w:t>
      </w:r>
      <w:r w:rsidR="00A74698" w:rsidRPr="003B61EF">
        <w:rPr>
          <w:rFonts w:ascii="Times" w:hAnsi="Times" w:cs="Times"/>
          <w:color w:val="0D6C9E"/>
          <w:sz w:val="18"/>
          <w:szCs w:val="18"/>
          <w:lang w:val="en-US"/>
        </w:rPr>
        <w:t>Gastroenterology 2004;126:1302–1311</w:t>
      </w:r>
      <w:r w:rsidR="00A74698" w:rsidRPr="003B61EF">
        <w:rPr>
          <w:rFonts w:ascii="Times" w:hAnsi="Times" w:cs="Times"/>
          <w:color w:val="000000"/>
          <w:sz w:val="18"/>
          <w:szCs w:val="18"/>
          <w:lang w:val="en-US"/>
        </w:rPr>
        <w:t xml:space="preserve">. </w:t>
      </w:r>
    </w:p>
    <w:p w14:paraId="64167F1D" w14:textId="1157226C"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287</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Pockros PJ, Shiffman ML, Schiff ER, Sulkowski MS, Younossi Z, Dieterich DT, et al. Epoetin alfa improves quality of life in anemic HCV-infected patients receiving combination therapy. </w:t>
      </w:r>
      <w:r w:rsidR="00A74698" w:rsidRPr="003B61EF">
        <w:rPr>
          <w:rFonts w:ascii="Times" w:hAnsi="Times" w:cs="Times"/>
          <w:color w:val="0D6C9E"/>
          <w:sz w:val="18"/>
          <w:szCs w:val="18"/>
          <w:lang w:val="en-US"/>
        </w:rPr>
        <w:t>Hepatology 2004;40:1450–1458</w:t>
      </w:r>
      <w:r w:rsidR="00A74698" w:rsidRPr="003B61EF">
        <w:rPr>
          <w:rFonts w:ascii="Times" w:hAnsi="Times" w:cs="Times"/>
          <w:color w:val="000000"/>
          <w:sz w:val="18"/>
          <w:szCs w:val="18"/>
          <w:lang w:val="en-US"/>
        </w:rPr>
        <w:t xml:space="preserve">. </w:t>
      </w:r>
    </w:p>
    <w:p w14:paraId="4E17773E" w14:textId="0D936558"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288</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Sulkowski MS, Poordad F, Manns MP, Bronowicki JP, Rajender Reddy K, Harrison SA, et al. Anemia during treatment with peginterferon alfa-2b/ ribavirin and boceprevir: analysis from the serine protease inhibitor therapy 2 (SPRINT-2) trial. </w:t>
      </w:r>
      <w:r w:rsidR="00A74698" w:rsidRPr="003B61EF">
        <w:rPr>
          <w:rFonts w:ascii="Times" w:hAnsi="Times" w:cs="Times"/>
          <w:color w:val="0D6C9E"/>
          <w:sz w:val="18"/>
          <w:szCs w:val="18"/>
          <w:lang w:val="en-US"/>
        </w:rPr>
        <w:t>Hepatology 2013;57:974–984</w:t>
      </w:r>
      <w:r w:rsidR="00A74698" w:rsidRPr="003B61EF">
        <w:rPr>
          <w:rFonts w:ascii="Times" w:hAnsi="Times" w:cs="Times"/>
          <w:color w:val="000000"/>
          <w:sz w:val="18"/>
          <w:szCs w:val="18"/>
          <w:lang w:val="en-US"/>
        </w:rPr>
        <w:t xml:space="preserve">. </w:t>
      </w:r>
    </w:p>
    <w:p w14:paraId="75465B17" w14:textId="221AD8B9"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289</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Marra F, Datta S, Priest M, Heydtmann M, Fox R, Barclay ST. Introduc- tion of directly observed community pharmacy dispensing of direct- acting antivirals achieves high sustained viral response rates in a difficult to treat cohort. </w:t>
      </w:r>
      <w:r w:rsidR="00A74698" w:rsidRPr="003B61EF">
        <w:rPr>
          <w:rFonts w:ascii="Times" w:hAnsi="Times" w:cs="Times"/>
          <w:color w:val="0D6C9E"/>
          <w:sz w:val="18"/>
          <w:szCs w:val="18"/>
          <w:lang w:val="en-US"/>
        </w:rPr>
        <w:t>J Hepatol 2016;64:S766</w:t>
      </w:r>
      <w:r w:rsidR="00A74698" w:rsidRPr="003B61EF">
        <w:rPr>
          <w:rFonts w:ascii="Times" w:hAnsi="Times" w:cs="Times"/>
          <w:color w:val="000000"/>
          <w:sz w:val="18"/>
          <w:szCs w:val="18"/>
          <w:lang w:val="en-US"/>
        </w:rPr>
        <w:t xml:space="preserve">. </w:t>
      </w:r>
    </w:p>
    <w:p w14:paraId="27216BD5" w14:textId="3875143F"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290</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Boyle A, Marra F, Fox R, Morris J, Fleming C, Reilly E, et al. Partial directly observed therapy with ombitasvir/paritaprevir-based regimens allows for successful treatment of patients on daily supervised methadone. </w:t>
      </w:r>
      <w:r w:rsidR="00A74698" w:rsidRPr="003B61EF">
        <w:rPr>
          <w:rFonts w:ascii="Times" w:hAnsi="Times" w:cs="Times"/>
          <w:color w:val="0D6C9E"/>
          <w:sz w:val="18"/>
          <w:szCs w:val="18"/>
          <w:lang w:val="en-US"/>
        </w:rPr>
        <w:t>J Hepatol 2017;66:S282</w:t>
      </w:r>
      <w:r w:rsidR="00A74698" w:rsidRPr="003B61EF">
        <w:rPr>
          <w:rFonts w:ascii="Times" w:hAnsi="Times" w:cs="Times"/>
          <w:color w:val="000000"/>
          <w:sz w:val="18"/>
          <w:szCs w:val="18"/>
          <w:lang w:val="en-US"/>
        </w:rPr>
        <w:t xml:space="preserve">. </w:t>
      </w:r>
    </w:p>
    <w:p w14:paraId="48328233" w14:textId="6D3F71A9"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291</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Alavian SM, Aalaei-Andabili SH. Education by a nurse increases the adherence to therapy in chronic hepatitis C patients. </w:t>
      </w:r>
      <w:r w:rsidR="00A74698" w:rsidRPr="003B61EF">
        <w:rPr>
          <w:rFonts w:ascii="Times" w:hAnsi="Times" w:cs="Times"/>
          <w:color w:val="0D6C9E"/>
          <w:sz w:val="18"/>
          <w:szCs w:val="18"/>
          <w:lang w:val="en-US"/>
        </w:rPr>
        <w:t>Clin Gastroenterol Hepatol 2012;10:203</w:t>
      </w:r>
      <w:r w:rsidR="00A74698" w:rsidRPr="003B61EF">
        <w:rPr>
          <w:rFonts w:ascii="Times" w:hAnsi="Times" w:cs="Times"/>
          <w:color w:val="000000"/>
          <w:sz w:val="18"/>
          <w:szCs w:val="18"/>
          <w:lang w:val="en-US"/>
        </w:rPr>
        <w:t>.</w:t>
      </w:r>
      <w:r w:rsidR="00A74698" w:rsidRPr="003B61EF">
        <w:rPr>
          <w:rFonts w:ascii="MS Mincho" w:eastAsia="MS Mincho" w:hAnsi="MS Mincho" w:cs="MS Mincho"/>
          <w:color w:val="000000"/>
          <w:sz w:val="18"/>
          <w:szCs w:val="18"/>
          <w:lang w:val="en-US"/>
        </w:rPr>
        <w:t> </w:t>
      </w:r>
    </w:p>
    <w:p w14:paraId="54B9C4BB" w14:textId="102C528C"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292</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Rodis JL, Kibbe P. Evaluation of medication adherence and quality of life in patients with hepatitis C virus receiving combination therapy. </w:t>
      </w:r>
      <w:r w:rsidR="00A74698" w:rsidRPr="0043429F">
        <w:rPr>
          <w:rFonts w:ascii="Times" w:hAnsi="Times" w:cs="Times"/>
          <w:color w:val="0D6C9E"/>
          <w:sz w:val="18"/>
          <w:szCs w:val="18"/>
          <w:lang w:val="en-US"/>
        </w:rPr>
        <w:t>Gastroenterol Nurs 2010;33:368–373</w:t>
      </w:r>
      <w:r w:rsidR="00A74698" w:rsidRPr="0043429F">
        <w:rPr>
          <w:rFonts w:ascii="Times" w:hAnsi="Times" w:cs="Times"/>
          <w:color w:val="000000"/>
          <w:sz w:val="18"/>
          <w:szCs w:val="18"/>
          <w:lang w:val="en-US"/>
        </w:rPr>
        <w:t xml:space="preserve">. </w:t>
      </w:r>
    </w:p>
    <w:p w14:paraId="75BD0A7B" w14:textId="0DD40030"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293</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Alexander JA, Hearld LR, Mittler JN, Harvey J. Patient-physician role relationships and patient activation among individuals with chronic illness. </w:t>
      </w:r>
      <w:r w:rsidR="00A74698" w:rsidRPr="0043429F">
        <w:rPr>
          <w:rFonts w:ascii="Times" w:hAnsi="Times" w:cs="Times"/>
          <w:color w:val="0D6C9E"/>
          <w:sz w:val="18"/>
          <w:szCs w:val="18"/>
          <w:lang w:val="en-US"/>
        </w:rPr>
        <w:t>Health Serv Res 2012;47:1201–1223</w:t>
      </w:r>
      <w:r w:rsidR="00A74698" w:rsidRPr="0043429F">
        <w:rPr>
          <w:rFonts w:ascii="Times" w:hAnsi="Times" w:cs="Times"/>
          <w:color w:val="000000"/>
          <w:sz w:val="18"/>
          <w:szCs w:val="18"/>
          <w:lang w:val="en-US"/>
        </w:rPr>
        <w:t>.</w:t>
      </w:r>
      <w:r w:rsidR="00A74698" w:rsidRPr="0043429F">
        <w:rPr>
          <w:rFonts w:ascii="MS Mincho" w:eastAsia="MS Mincho" w:hAnsi="MS Mincho" w:cs="MS Mincho"/>
          <w:color w:val="000000"/>
          <w:sz w:val="18"/>
          <w:szCs w:val="18"/>
          <w:lang w:val="en-US"/>
        </w:rPr>
        <w:t> </w:t>
      </w:r>
    </w:p>
    <w:p w14:paraId="7047F4A3" w14:textId="44AD1711"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294</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Tsui JI, Williams EC, Green PK, Berry K, Su F, Ioannou GN. Alcohol use and hepatitis C virus treatment outcomes among patients receiving direct antiviral agents. </w:t>
      </w:r>
      <w:r w:rsidR="00A74698" w:rsidRPr="003B61EF">
        <w:rPr>
          <w:rFonts w:ascii="Times" w:hAnsi="Times" w:cs="Times"/>
          <w:color w:val="0D6C9E"/>
          <w:sz w:val="18"/>
          <w:szCs w:val="18"/>
          <w:lang w:val="en-US"/>
        </w:rPr>
        <w:t>Drug Alcohol Depend 2016;169:101–109</w:t>
      </w:r>
      <w:r w:rsidR="00A74698" w:rsidRPr="003B61EF">
        <w:rPr>
          <w:rFonts w:ascii="Times" w:hAnsi="Times" w:cs="Times"/>
          <w:color w:val="000000"/>
          <w:sz w:val="18"/>
          <w:szCs w:val="18"/>
          <w:lang w:val="en-US"/>
        </w:rPr>
        <w:t xml:space="preserve">. </w:t>
      </w:r>
    </w:p>
    <w:p w14:paraId="1380F70C" w14:textId="19749391" w:rsidR="00A74698" w:rsidRPr="003B61E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295</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Anand BS, Currie S, Dieperink E, Bini EJ, Shen H, Ho SB, et al. Alcohol use and treatment of hepatitis C virus: results of a national multicenter study. </w:t>
      </w:r>
      <w:r w:rsidR="00A74698" w:rsidRPr="003B61EF">
        <w:rPr>
          <w:rFonts w:ascii="Times" w:hAnsi="Times" w:cs="Times"/>
          <w:color w:val="0D6C9E"/>
          <w:sz w:val="18"/>
          <w:szCs w:val="18"/>
          <w:lang w:val="en-US"/>
        </w:rPr>
        <w:t>Gastroenterology 2006;130:1607–1616</w:t>
      </w:r>
      <w:r w:rsidR="00A74698" w:rsidRPr="003B61EF">
        <w:rPr>
          <w:rFonts w:ascii="Times" w:hAnsi="Times" w:cs="Times"/>
          <w:color w:val="000000"/>
          <w:sz w:val="18"/>
          <w:szCs w:val="18"/>
          <w:lang w:val="en-US"/>
        </w:rPr>
        <w:t xml:space="preserve">. </w:t>
      </w:r>
    </w:p>
    <w:p w14:paraId="55923524" w14:textId="4C6FF0EB" w:rsidR="00A74698" w:rsidRPr="0043429F" w:rsidRDefault="0043429F" w:rsidP="00A74698">
      <w:pPr>
        <w:widowControl w:val="0"/>
        <w:autoSpaceDE w:val="0"/>
        <w:autoSpaceDN w:val="0"/>
        <w:adjustRightInd w:val="0"/>
        <w:spacing w:after="240"/>
        <w:ind w:left="426"/>
        <w:contextualSpacing/>
        <w:rPr>
          <w:rFonts w:ascii="Times" w:hAnsi="Times" w:cs="Times"/>
          <w:color w:val="000000"/>
          <w:lang w:val="en-US"/>
        </w:rPr>
      </w:pPr>
      <w:r w:rsidRPr="00A74698">
        <w:rPr>
          <w:rFonts w:ascii="Times" w:hAnsi="Times" w:cs="Times"/>
          <w:color w:val="000000"/>
          <w:sz w:val="18"/>
          <w:szCs w:val="18"/>
          <w:lang w:val="en-US"/>
        </w:rPr>
        <w:t>[</w:t>
      </w:r>
      <w:r>
        <w:rPr>
          <w:rFonts w:ascii="Times" w:hAnsi="Times" w:cs="Times"/>
          <w:color w:val="000000"/>
          <w:sz w:val="18"/>
          <w:szCs w:val="18"/>
          <w:lang w:val="en-US"/>
        </w:rPr>
        <w:t>296</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Bruggmann P, Dampz M, Gerlach T, Kravecz L, Falcato L. Treatment outcome in relation to alcohol consumption during hepatitis C therapy: an analysis of the Swiss Hepatitis C Cohort Study. </w:t>
      </w:r>
      <w:r w:rsidR="00A74698" w:rsidRPr="0043429F">
        <w:rPr>
          <w:rFonts w:ascii="Times" w:hAnsi="Times" w:cs="Times"/>
          <w:color w:val="0D6C9E"/>
          <w:sz w:val="18"/>
          <w:szCs w:val="18"/>
          <w:lang w:val="en-US"/>
        </w:rPr>
        <w:t>Drug Alcohol Depend 2010;110:167–171</w:t>
      </w:r>
      <w:r w:rsidR="00A74698" w:rsidRPr="0043429F">
        <w:rPr>
          <w:rFonts w:ascii="Times" w:hAnsi="Times" w:cs="Times"/>
          <w:color w:val="000000"/>
          <w:sz w:val="18"/>
          <w:szCs w:val="18"/>
          <w:lang w:val="en-US"/>
        </w:rPr>
        <w:t xml:space="preserve">. </w:t>
      </w:r>
    </w:p>
    <w:p w14:paraId="650D7F3E" w14:textId="565B23D5" w:rsidR="00A74698" w:rsidRPr="00BA5C0A" w:rsidRDefault="0043429F" w:rsidP="00A74698">
      <w:pPr>
        <w:widowControl w:val="0"/>
        <w:autoSpaceDE w:val="0"/>
        <w:autoSpaceDN w:val="0"/>
        <w:adjustRightInd w:val="0"/>
        <w:spacing w:after="240"/>
        <w:ind w:left="426"/>
        <w:contextualSpacing/>
        <w:rPr>
          <w:rFonts w:ascii="Times" w:hAnsi="Times" w:cs="Times"/>
          <w:color w:val="000000"/>
        </w:rPr>
      </w:pPr>
      <w:r w:rsidRPr="00A74698">
        <w:rPr>
          <w:rFonts w:ascii="Times" w:hAnsi="Times" w:cs="Times"/>
          <w:color w:val="000000"/>
          <w:sz w:val="18"/>
          <w:szCs w:val="18"/>
          <w:lang w:val="en-US"/>
        </w:rPr>
        <w:t>[</w:t>
      </w:r>
      <w:r>
        <w:rPr>
          <w:rFonts w:ascii="Times" w:hAnsi="Times" w:cs="Times"/>
          <w:color w:val="000000"/>
          <w:sz w:val="18"/>
          <w:szCs w:val="18"/>
          <w:lang w:val="en-US"/>
        </w:rPr>
        <w:t>297</w:t>
      </w:r>
      <w:r w:rsidRPr="00A74698">
        <w:rPr>
          <w:rFonts w:ascii="Times" w:hAnsi="Times" w:cs="Times"/>
          <w:color w:val="000000"/>
          <w:sz w:val="18"/>
          <w:szCs w:val="18"/>
          <w:lang w:val="en-US"/>
        </w:rPr>
        <w:t>]</w:t>
      </w:r>
      <w:r w:rsidR="00A74698" w:rsidRPr="00BA5C0A">
        <w:rPr>
          <w:rFonts w:ascii="Times" w:hAnsi="Times" w:cs="Times"/>
          <w:color w:val="0D6C9E"/>
          <w:sz w:val="18"/>
          <w:szCs w:val="18"/>
          <w:lang w:val="en-US"/>
        </w:rPr>
        <w:t xml:space="preserve">Le Lan C, Guillygomarc’h A, Danielou H, Le Dreau G, Laine F, Vedeilhie C, et al. A multi-disciplinary approach to treating hepatitis C with interferon and ribavirin in alcohol-dependent patients with ongoing abuse. </w:t>
      </w:r>
      <w:r w:rsidR="00A74698" w:rsidRPr="00BA5C0A">
        <w:rPr>
          <w:rFonts w:ascii="Times" w:hAnsi="Times" w:cs="Times"/>
          <w:color w:val="0D6C9E"/>
          <w:sz w:val="18"/>
          <w:szCs w:val="18"/>
        </w:rPr>
        <w:t>J Hepatol 2012;56:334–340</w:t>
      </w:r>
      <w:r w:rsidR="00A74698" w:rsidRPr="00BA5C0A">
        <w:rPr>
          <w:rFonts w:ascii="Times" w:hAnsi="Times" w:cs="Times"/>
          <w:color w:val="000000"/>
          <w:sz w:val="18"/>
          <w:szCs w:val="18"/>
        </w:rPr>
        <w:t xml:space="preserve">. </w:t>
      </w:r>
    </w:p>
    <w:p w14:paraId="51D74D35"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[298]  </w:t>
      </w:r>
      <w:r w:rsidRPr="00BA5C0A">
        <w:rPr>
          <w:rFonts w:ascii="Times" w:hAnsi="Times" w:cs="Times"/>
          <w:color w:val="0D6C9E"/>
          <w:sz w:val="18"/>
          <w:szCs w:val="18"/>
          <w:lang w:val="en-US"/>
        </w:rPr>
        <w:t xml:space="preserve">Siu L, Foont J, Wands JR. Hepatitis C virus and alcohol. </w:t>
      </w:r>
      <w:r w:rsidRPr="003B61EF">
        <w:rPr>
          <w:rFonts w:ascii="Times" w:hAnsi="Times" w:cs="Times"/>
          <w:color w:val="0D6C9E"/>
          <w:sz w:val="18"/>
          <w:szCs w:val="18"/>
          <w:lang w:val="en-US"/>
        </w:rPr>
        <w:t>Semin Liver Dis 2009;29:188–199</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4BB9C25F" w14:textId="77777777" w:rsidR="00A74698" w:rsidRPr="00BA5C0A"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rPr>
      </w:pPr>
      <w:r w:rsidRPr="00BA5C0A">
        <w:rPr>
          <w:rFonts w:ascii="Times" w:hAnsi="Times" w:cs="Times"/>
          <w:color w:val="000000"/>
          <w:sz w:val="18"/>
          <w:szCs w:val="18"/>
          <w:lang w:val="en-US"/>
        </w:rPr>
        <w:t>[299]  </w:t>
      </w:r>
      <w:r w:rsidRPr="00BA5C0A">
        <w:rPr>
          <w:rFonts w:ascii="Times" w:hAnsi="Times" w:cs="Times"/>
          <w:color w:val="0D6C9E"/>
          <w:sz w:val="18"/>
          <w:szCs w:val="18"/>
          <w:lang w:val="en-US"/>
        </w:rPr>
        <w:t xml:space="preserve">Bang CS, Song IH. Impact of antiviral therapy on hepatocellular carcinoma and mortality in patients with chronic hepatitis C: systematic review and meta-analysis. </w:t>
      </w:r>
      <w:r w:rsidRPr="00BA5C0A">
        <w:rPr>
          <w:rFonts w:ascii="Times" w:hAnsi="Times" w:cs="Times"/>
          <w:color w:val="0D6C9E"/>
          <w:sz w:val="18"/>
          <w:szCs w:val="18"/>
        </w:rPr>
        <w:t>BMC Gastroenterol 2017;17:46</w:t>
      </w:r>
      <w:r w:rsidRPr="00BA5C0A">
        <w:rPr>
          <w:rFonts w:ascii="Times" w:hAnsi="Times" w:cs="Times"/>
          <w:color w:val="000000"/>
          <w:sz w:val="18"/>
          <w:szCs w:val="18"/>
        </w:rPr>
        <w:t xml:space="preserve">. </w:t>
      </w:r>
      <w:r w:rsidRPr="00BA5C0A">
        <w:rPr>
          <w:rFonts w:ascii="MS Mincho" w:eastAsia="MS Mincho" w:hAnsi="MS Mincho" w:cs="MS Mincho"/>
          <w:color w:val="000000"/>
        </w:rPr>
        <w:t> </w:t>
      </w:r>
    </w:p>
    <w:p w14:paraId="3062815E"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[300]  </w:t>
      </w:r>
      <w:r w:rsidRPr="00BA5C0A">
        <w:rPr>
          <w:rFonts w:ascii="Times" w:hAnsi="Times" w:cs="Times"/>
          <w:color w:val="0D6C9E"/>
          <w:sz w:val="18"/>
          <w:szCs w:val="18"/>
          <w:lang w:val="en-US"/>
        </w:rPr>
        <w:t xml:space="preserve">Backmund M, Meyer K, Edlin BR. Infrequent reinfection after successful treatment for hepatitis C virus infection in injection drug users. </w:t>
      </w:r>
      <w:r w:rsidRPr="003B61EF">
        <w:rPr>
          <w:rFonts w:ascii="Times" w:hAnsi="Times" w:cs="Times"/>
          <w:color w:val="0D6C9E"/>
          <w:sz w:val="18"/>
          <w:szCs w:val="18"/>
          <w:lang w:val="en-US"/>
        </w:rPr>
        <w:t>Clin Infect Dis 2004;39:1540–1543</w:t>
      </w:r>
      <w:r w:rsidRPr="003B61EF">
        <w:rPr>
          <w:rFonts w:ascii="Times" w:hAnsi="Times" w:cs="Times"/>
          <w:color w:val="000000"/>
          <w:sz w:val="18"/>
          <w:szCs w:val="18"/>
          <w:lang w:val="en-US"/>
        </w:rPr>
        <w:t xml:space="preserve">. </w:t>
      </w:r>
      <w:r w:rsidRPr="003B61EF">
        <w:rPr>
          <w:rFonts w:ascii="MS Mincho" w:eastAsia="MS Mincho" w:hAnsi="MS Mincho" w:cs="MS Mincho"/>
          <w:color w:val="000000"/>
          <w:lang w:val="en-US"/>
        </w:rPr>
        <w:t> </w:t>
      </w:r>
    </w:p>
    <w:p w14:paraId="4E09B83B" w14:textId="77777777" w:rsidR="00A74698" w:rsidRPr="00BA5C0A"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rPr>
      </w:pPr>
      <w:r w:rsidRPr="00BA5C0A">
        <w:rPr>
          <w:rFonts w:ascii="Times" w:hAnsi="Times" w:cs="Times"/>
          <w:color w:val="000000"/>
          <w:sz w:val="18"/>
          <w:szCs w:val="18"/>
          <w:lang w:val="en-US"/>
        </w:rPr>
        <w:t>[301]  </w:t>
      </w:r>
      <w:r w:rsidRPr="00BA5C0A">
        <w:rPr>
          <w:rFonts w:ascii="Times" w:hAnsi="Times" w:cs="Times"/>
          <w:color w:val="0D6C9E"/>
          <w:sz w:val="18"/>
          <w:szCs w:val="18"/>
          <w:lang w:val="en-US"/>
        </w:rPr>
        <w:t xml:space="preserve">Currie SL, Ryan JC, Tracy D, Wright TL, George S, McQuaid R, et al. A prospective study to examine persistent HCV reinfection in injection drug users who have previously cleared the virus. </w:t>
      </w:r>
      <w:r w:rsidRPr="00BA5C0A">
        <w:rPr>
          <w:rFonts w:ascii="Times" w:hAnsi="Times" w:cs="Times"/>
          <w:color w:val="0D6C9E"/>
          <w:sz w:val="18"/>
          <w:szCs w:val="18"/>
        </w:rPr>
        <w:t>Drug Alcohol Depend 2008;93:148–154</w:t>
      </w:r>
      <w:r w:rsidRPr="00BA5C0A">
        <w:rPr>
          <w:rFonts w:ascii="Times" w:hAnsi="Times" w:cs="Times"/>
          <w:color w:val="000000"/>
          <w:sz w:val="18"/>
          <w:szCs w:val="18"/>
        </w:rPr>
        <w:t xml:space="preserve">. </w:t>
      </w:r>
      <w:r w:rsidRPr="00BA5C0A">
        <w:rPr>
          <w:rFonts w:ascii="MS Mincho" w:eastAsia="MS Mincho" w:hAnsi="MS Mincho" w:cs="MS Mincho"/>
          <w:color w:val="000000"/>
        </w:rPr>
        <w:t> </w:t>
      </w:r>
    </w:p>
    <w:p w14:paraId="65ED9B67" w14:textId="77777777" w:rsidR="00A74698" w:rsidRPr="00BA5C0A"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rPr>
      </w:pPr>
      <w:r w:rsidRPr="00BA5C0A">
        <w:rPr>
          <w:rFonts w:ascii="Times" w:hAnsi="Times" w:cs="Times"/>
          <w:color w:val="000000"/>
          <w:sz w:val="18"/>
          <w:szCs w:val="18"/>
          <w:lang w:val="en-US"/>
        </w:rPr>
        <w:t xml:space="preserve">[302] </w:t>
      </w:r>
      <w:r w:rsidRPr="00BA5C0A">
        <w:rPr>
          <w:rFonts w:ascii="Times" w:hAnsi="Times" w:cs="Times"/>
          <w:color w:val="0D6C9E"/>
          <w:sz w:val="18"/>
          <w:szCs w:val="18"/>
          <w:lang w:val="en-US"/>
        </w:rPr>
        <w:t xml:space="preserve">Dalgard O. Follow-up studies of treatment for hepatitis C virus infection among injection drug users. </w:t>
      </w:r>
      <w:r w:rsidRPr="00BA5C0A">
        <w:rPr>
          <w:rFonts w:ascii="Times" w:hAnsi="Times" w:cs="Times"/>
          <w:color w:val="0D6C9E"/>
          <w:sz w:val="18"/>
          <w:szCs w:val="18"/>
        </w:rPr>
        <w:t>Clin Infect Dis 2005;40:S336–S338</w:t>
      </w:r>
      <w:r w:rsidRPr="00BA5C0A">
        <w:rPr>
          <w:rFonts w:ascii="Times" w:hAnsi="Times" w:cs="Times"/>
          <w:color w:val="000000"/>
          <w:sz w:val="18"/>
          <w:szCs w:val="18"/>
        </w:rPr>
        <w:t>.</w:t>
      </w:r>
      <w:r w:rsidRPr="00BA5C0A">
        <w:rPr>
          <w:rFonts w:ascii="MS Mincho" w:eastAsia="MS Mincho" w:hAnsi="MS Mincho" w:cs="MS Mincho"/>
          <w:color w:val="000000"/>
          <w:sz w:val="18"/>
          <w:szCs w:val="18"/>
        </w:rPr>
        <w:t> </w:t>
      </w:r>
    </w:p>
    <w:p w14:paraId="676FB4CD"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[303] </w:t>
      </w:r>
      <w:r w:rsidRPr="00BA5C0A">
        <w:rPr>
          <w:rFonts w:ascii="Times" w:hAnsi="Times" w:cs="Times"/>
          <w:color w:val="0D6C9E"/>
          <w:sz w:val="18"/>
          <w:szCs w:val="18"/>
          <w:lang w:val="en-US"/>
        </w:rPr>
        <w:t xml:space="preserve">Grebely J, Knight E, Ngai T, Genoway KA, Raffa JD, Storms M, et al. Reinfection with hepatitis C virus following sustained virological response in injection drug users. </w:t>
      </w:r>
      <w:r w:rsidRPr="003B61EF">
        <w:rPr>
          <w:rFonts w:ascii="Times" w:hAnsi="Times" w:cs="Times"/>
          <w:color w:val="0D6C9E"/>
          <w:sz w:val="18"/>
          <w:szCs w:val="18"/>
          <w:lang w:val="en-US"/>
        </w:rPr>
        <w:t>J Gastroenterol Hepatol 2010;25:1281–1284</w:t>
      </w:r>
      <w:r w:rsidRPr="003B61EF">
        <w:rPr>
          <w:rFonts w:ascii="Times" w:hAnsi="Times" w:cs="Times"/>
          <w:color w:val="000000"/>
          <w:sz w:val="18"/>
          <w:szCs w:val="18"/>
          <w:lang w:val="en-US"/>
        </w:rPr>
        <w:t>.</w:t>
      </w:r>
    </w:p>
    <w:p w14:paraId="43781C60"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[304] </w:t>
      </w:r>
      <w:r w:rsidRPr="00BA5C0A">
        <w:rPr>
          <w:rFonts w:ascii="Times" w:hAnsi="Times" w:cs="Times"/>
          <w:color w:val="0D6C9E"/>
          <w:sz w:val="18"/>
          <w:szCs w:val="18"/>
          <w:lang w:val="en-US"/>
        </w:rPr>
        <w:t xml:space="preserve">Grebely J, Pham ST, Matthews GV, Petoumenos K, Bull RA, Yeung B, et al. Hepatitis C virus reinfection and superinfection among treated and untreated participants with recent infection. </w:t>
      </w:r>
      <w:r w:rsidRPr="003B61EF">
        <w:rPr>
          <w:rFonts w:ascii="Times" w:hAnsi="Times" w:cs="Times"/>
          <w:color w:val="0D6C9E"/>
          <w:sz w:val="18"/>
          <w:szCs w:val="18"/>
          <w:lang w:val="en-US"/>
        </w:rPr>
        <w:t>Hepatology 2012;55:1058–1069</w:t>
      </w:r>
      <w:r w:rsidRPr="003B61EF">
        <w:rPr>
          <w:rFonts w:ascii="Times" w:hAnsi="Times" w:cs="Times"/>
          <w:color w:val="000000"/>
          <w:sz w:val="18"/>
          <w:szCs w:val="18"/>
          <w:lang w:val="en-US"/>
        </w:rPr>
        <w:t xml:space="preserve">. </w:t>
      </w:r>
    </w:p>
    <w:p w14:paraId="71E56B09" w14:textId="77777777" w:rsidR="00A74698" w:rsidRPr="003B61EF" w:rsidRDefault="00A74698" w:rsidP="00A74698">
      <w:pPr>
        <w:widowControl w:val="0"/>
        <w:tabs>
          <w:tab w:val="left" w:pos="220"/>
          <w:tab w:val="left" w:pos="720"/>
        </w:tabs>
        <w:autoSpaceDE w:val="0"/>
        <w:autoSpaceDN w:val="0"/>
        <w:adjustRightInd w:val="0"/>
        <w:spacing w:after="240"/>
        <w:ind w:left="426"/>
        <w:contextualSpacing/>
        <w:rPr>
          <w:rFonts w:ascii="Times" w:hAnsi="Times" w:cs="Times"/>
          <w:color w:val="000000"/>
          <w:lang w:val="en-US"/>
        </w:rPr>
      </w:pPr>
      <w:r w:rsidRPr="00BA5C0A">
        <w:rPr>
          <w:rFonts w:ascii="Times" w:hAnsi="Times" w:cs="Times"/>
          <w:color w:val="000000"/>
          <w:sz w:val="18"/>
          <w:szCs w:val="18"/>
          <w:lang w:val="en-US"/>
        </w:rPr>
        <w:t xml:space="preserve">[305] </w:t>
      </w:r>
      <w:r w:rsidRPr="00BA5C0A">
        <w:rPr>
          <w:rFonts w:ascii="Times" w:hAnsi="Times" w:cs="Times"/>
          <w:color w:val="0D6C9E"/>
          <w:sz w:val="18"/>
          <w:szCs w:val="18"/>
          <w:lang w:val="en-US"/>
        </w:rPr>
        <w:t xml:space="preserve">Martin TC, Ingiliz P, Rodger A, Stellbrink HJ, Mauss S, Boesecke C, et al. HCV reinfection incidence and outcomes among HIV-infected MSM in Western Europe. </w:t>
      </w:r>
      <w:r w:rsidRPr="003B61EF">
        <w:rPr>
          <w:rFonts w:ascii="Times" w:hAnsi="Times" w:cs="Times"/>
          <w:color w:val="0D6C9E"/>
          <w:sz w:val="18"/>
          <w:szCs w:val="18"/>
          <w:lang w:val="en-US"/>
        </w:rPr>
        <w:t>J Hepatol 2016;64:S138</w:t>
      </w:r>
      <w:r w:rsidRPr="003B61EF">
        <w:rPr>
          <w:rFonts w:ascii="Times" w:hAnsi="Times" w:cs="Times"/>
          <w:color w:val="000000"/>
          <w:sz w:val="18"/>
          <w:szCs w:val="18"/>
          <w:lang w:val="en-US"/>
        </w:rPr>
        <w:t xml:space="preserve">. </w:t>
      </w:r>
    </w:p>
    <w:p w14:paraId="09482226" w14:textId="77777777" w:rsidR="00A74698" w:rsidRPr="003B61EF" w:rsidRDefault="00A74698" w:rsidP="00A74698">
      <w:pPr>
        <w:widowControl w:val="0"/>
        <w:autoSpaceDE w:val="0"/>
        <w:autoSpaceDN w:val="0"/>
        <w:adjustRightInd w:val="0"/>
        <w:spacing w:after="240"/>
        <w:contextualSpacing/>
        <w:rPr>
          <w:rFonts w:ascii="Times" w:hAnsi="Times" w:cs="Times"/>
          <w:color w:val="000000"/>
          <w:lang w:val="en-US"/>
        </w:rPr>
      </w:pPr>
    </w:p>
    <w:p w14:paraId="2F52B23F" w14:textId="77777777" w:rsidR="00A74698" w:rsidRPr="003B61EF" w:rsidRDefault="00A74698" w:rsidP="00A74698">
      <w:pPr>
        <w:widowControl w:val="0"/>
        <w:autoSpaceDE w:val="0"/>
        <w:autoSpaceDN w:val="0"/>
        <w:adjustRightInd w:val="0"/>
        <w:spacing w:after="240"/>
        <w:ind w:left="720"/>
        <w:contextualSpacing/>
        <w:rPr>
          <w:rFonts w:ascii="Times" w:hAnsi="Times" w:cs="Times"/>
          <w:color w:val="000000"/>
          <w:lang w:val="en-US"/>
        </w:rPr>
      </w:pPr>
    </w:p>
    <w:p w14:paraId="128CD555" w14:textId="77777777" w:rsidR="00A74698" w:rsidRPr="003B61EF" w:rsidRDefault="00A74698" w:rsidP="00A74698">
      <w:pPr>
        <w:widowControl w:val="0"/>
        <w:tabs>
          <w:tab w:val="left" w:pos="220"/>
          <w:tab w:val="left" w:pos="720"/>
        </w:tabs>
        <w:autoSpaceDE w:val="0"/>
        <w:autoSpaceDN w:val="0"/>
        <w:adjustRightInd w:val="0"/>
        <w:spacing w:after="240"/>
        <w:ind w:left="708"/>
        <w:contextualSpacing/>
        <w:rPr>
          <w:rFonts w:ascii="Times" w:hAnsi="Times" w:cs="Times"/>
          <w:color w:val="000000"/>
          <w:lang w:val="en-US"/>
        </w:rPr>
      </w:pPr>
    </w:p>
    <w:p w14:paraId="3FE0EB6E" w14:textId="77777777" w:rsidR="00A74698" w:rsidRPr="00CE45A3" w:rsidRDefault="00A74698" w:rsidP="00A74698">
      <w:pPr>
        <w:tabs>
          <w:tab w:val="left" w:pos="1089"/>
        </w:tabs>
        <w:contextualSpacing/>
        <w:jc w:val="both"/>
        <w:rPr>
          <w:rFonts w:ascii="Times New Roman" w:hAnsi="Times New Roman" w:cs="Times New Roman"/>
          <w:color w:val="000000" w:themeColor="text1"/>
          <w:lang w:val="uk-UA"/>
        </w:rPr>
      </w:pPr>
    </w:p>
    <w:p w14:paraId="6D714E8B" w14:textId="2EDF1160" w:rsidR="00770318" w:rsidRDefault="00770318" w:rsidP="00A74698">
      <w:pPr>
        <w:contextualSpacing/>
        <w:jc w:val="both"/>
        <w:rPr>
          <w:rFonts w:ascii="Times New Roman" w:hAnsi="Times New Roman" w:cs="Times New Roman"/>
          <w:color w:val="000000" w:themeColor="text1"/>
          <w:lang w:val="uk-UA"/>
        </w:rPr>
      </w:pPr>
    </w:p>
    <w:sectPr w:rsidR="00770318" w:rsidSect="00C94D0A">
      <w:headerReference w:type="default" r:id="rId9"/>
      <w:footerReference w:type="even" r:id="rId10"/>
      <w:footerReference w:type="default" r:id="rId11"/>
      <w:pgSz w:w="11900" w:h="16840"/>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927D4" w14:textId="77777777" w:rsidR="00484FE5" w:rsidRDefault="00484FE5" w:rsidP="00E45B86">
      <w:r>
        <w:separator/>
      </w:r>
    </w:p>
  </w:endnote>
  <w:endnote w:type="continuationSeparator" w:id="0">
    <w:p w14:paraId="325A0787" w14:textId="77777777" w:rsidR="00484FE5" w:rsidRDefault="00484FE5" w:rsidP="00E4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FBCAC" w14:textId="77777777" w:rsidR="00EC2ED6" w:rsidRDefault="00EC2ED6" w:rsidP="0039680E">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E751412" w14:textId="77777777" w:rsidR="00EC2ED6" w:rsidRDefault="00EC2ED6" w:rsidP="00E45B8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50" w:type="pct"/>
      <w:jc w:val="right"/>
      <w:tblCellMar>
        <w:top w:w="115" w:type="dxa"/>
        <w:left w:w="115" w:type="dxa"/>
        <w:bottom w:w="115" w:type="dxa"/>
        <w:right w:w="115" w:type="dxa"/>
      </w:tblCellMar>
      <w:tblLook w:val="04A0" w:firstRow="1" w:lastRow="0" w:firstColumn="1" w:lastColumn="0" w:noHBand="0" w:noVBand="1"/>
    </w:tblPr>
    <w:tblGrid>
      <w:gridCol w:w="9420"/>
    </w:tblGrid>
    <w:tr w:rsidR="00EC2ED6" w14:paraId="244F005F" w14:textId="77777777" w:rsidTr="00F9216A">
      <w:trPr>
        <w:jc w:val="right"/>
      </w:trPr>
      <w:tc>
        <w:tcPr>
          <w:tcW w:w="9420" w:type="dxa"/>
          <w:vAlign w:val="center"/>
        </w:tcPr>
        <w:sdt>
          <w:sdtPr>
            <w:rPr>
              <w:caps/>
              <w:color w:val="4472C4" w:themeColor="accent5"/>
              <w:sz w:val="16"/>
              <w:szCs w:val="16"/>
            </w:rPr>
            <w:alias w:val="Автор"/>
            <w:tag w:val=""/>
            <w:id w:val="1381826868"/>
            <w:placeholder>
              <w:docPart w:val="4FEBEA285AC0904F879250E81F7DEF62"/>
            </w:placeholder>
            <w:dataBinding w:prefixMappings="xmlns:ns0='http://purl.org/dc/elements/1.1/' xmlns:ns1='http://schemas.openxmlformats.org/package/2006/metadata/core-properties' " w:xpath="/ns1:coreProperties[1]/ns0:creator[1]" w:storeItemID="{6C3C8BC8-F283-45AE-878A-BAB7291924A1}"/>
            <w:text/>
          </w:sdtPr>
          <w:sdtEndPr/>
          <w:sdtContent>
            <w:p w14:paraId="7578229C" w14:textId="4AA33C8E" w:rsidR="00EC2ED6" w:rsidRDefault="00EC2ED6">
              <w:pPr>
                <w:pStyle w:val="a7"/>
                <w:jc w:val="right"/>
                <w:rPr>
                  <w:caps/>
                  <w:color w:val="000000" w:themeColor="text1"/>
                </w:rPr>
              </w:pPr>
              <w:r w:rsidRPr="00F9216A">
                <w:rPr>
                  <w:rFonts w:ascii="Times New Roman" w:hAnsi="Times New Roman" w:cs="Times New Roman"/>
                  <w:b/>
                  <w:color w:val="4472C4" w:themeColor="accent5"/>
                  <w:sz w:val="16"/>
                  <w:szCs w:val="16"/>
                  <w:lang w:val="en-US"/>
                </w:rPr>
                <w:t>Рекомендації Європейської асоціації з дослідження печінки (EASL) щодо лікування гепатиту С, 2018</w:t>
              </w:r>
            </w:p>
          </w:sdtContent>
        </w:sdt>
      </w:tc>
    </w:tr>
  </w:tbl>
  <w:p w14:paraId="229EFCCB" w14:textId="77777777" w:rsidR="00EC2ED6" w:rsidRDefault="00EC2ED6" w:rsidP="00E45B8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721C7" w14:textId="77777777" w:rsidR="00484FE5" w:rsidRDefault="00484FE5" w:rsidP="00E45B86">
      <w:r>
        <w:separator/>
      </w:r>
    </w:p>
  </w:footnote>
  <w:footnote w:type="continuationSeparator" w:id="0">
    <w:p w14:paraId="45E91A25" w14:textId="77777777" w:rsidR="00484FE5" w:rsidRDefault="00484FE5" w:rsidP="00E45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72E15" w14:textId="17EBAB0C" w:rsidR="00EC2ED6" w:rsidRDefault="00EC2ED6">
    <w:pPr>
      <w:pStyle w:val="a7"/>
    </w:pPr>
    <w:r>
      <w:rPr>
        <w:caps/>
        <w:noProof/>
        <w:color w:val="808080" w:themeColor="background1" w:themeShade="80"/>
        <w:sz w:val="20"/>
        <w:szCs w:val="20"/>
        <w:lang w:val="en-GB" w:eastAsia="en-GB"/>
      </w:rPr>
      <mc:AlternateContent>
        <mc:Choice Requires="wpg">
          <w:drawing>
            <wp:anchor distT="0" distB="0" distL="114300" distR="114300" simplePos="0" relativeHeight="251659264" behindDoc="0" locked="0" layoutInCell="1" allowOverlap="1" wp14:anchorId="470DBB62" wp14:editId="74DA7823">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Группа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Группа 168"/>
                      <wpg:cNvGrpSpPr/>
                      <wpg:grpSpPr>
                        <a:xfrm>
                          <a:off x="0" y="0"/>
                          <a:ext cx="1700784" cy="1024128"/>
                          <a:chOff x="0" y="0"/>
                          <a:chExt cx="1700784" cy="1024128"/>
                        </a:xfrm>
                      </wpg:grpSpPr>
                      <wps:wsp>
                        <wps:cNvPr id="169" name="Прямоугольник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Прямоугольник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Прямоугольник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Текстовое поле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3442F" w14:textId="13998905" w:rsidR="00EC2ED6" w:rsidRDefault="00EC2ED6">
                            <w:pPr>
                              <w:pStyle w:val="a7"/>
                              <w:tabs>
                                <w:tab w:val="clear" w:pos="4677"/>
                                <w:tab w:val="clear" w:pos="9355"/>
                              </w:tabs>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78</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0DBB62" id="Группа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">
              <v:group id="Группа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Прямоугольник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Прямоугольник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Прямоугольник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Текстовое поле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4D3442F" w14:textId="13998905" w:rsidR="00EC2ED6" w:rsidRDefault="00EC2ED6">
                      <w:pPr>
                        <w:pStyle w:val="a7"/>
                        <w:tabs>
                          <w:tab w:val="clear" w:pos="4677"/>
                          <w:tab w:val="clear" w:pos="9355"/>
                        </w:tabs>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78</w:t>
                      </w:r>
                      <w:r>
                        <w:rPr>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200F"/>
    <w:multiLevelType w:val="hybridMultilevel"/>
    <w:tmpl w:val="11F65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361EC"/>
    <w:multiLevelType w:val="hybridMultilevel"/>
    <w:tmpl w:val="CE64525E"/>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abstractNum w:abstractNumId="2" w15:restartNumberingAfterBreak="0">
    <w:nsid w:val="06970C8A"/>
    <w:multiLevelType w:val="hybridMultilevel"/>
    <w:tmpl w:val="5A829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23DC1"/>
    <w:multiLevelType w:val="hybridMultilevel"/>
    <w:tmpl w:val="D0D41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F07D9F"/>
    <w:multiLevelType w:val="hybridMultilevel"/>
    <w:tmpl w:val="39169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022A1F"/>
    <w:multiLevelType w:val="hybridMultilevel"/>
    <w:tmpl w:val="275A1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D56561"/>
    <w:multiLevelType w:val="hybridMultilevel"/>
    <w:tmpl w:val="250A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92495"/>
    <w:multiLevelType w:val="hybridMultilevel"/>
    <w:tmpl w:val="3C14381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EB16F7"/>
    <w:multiLevelType w:val="hybridMultilevel"/>
    <w:tmpl w:val="834A3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947C12"/>
    <w:multiLevelType w:val="hybridMultilevel"/>
    <w:tmpl w:val="1A825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6E0496"/>
    <w:multiLevelType w:val="hybridMultilevel"/>
    <w:tmpl w:val="297E3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F37482"/>
    <w:multiLevelType w:val="hybridMultilevel"/>
    <w:tmpl w:val="FC420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7458D3"/>
    <w:multiLevelType w:val="hybridMultilevel"/>
    <w:tmpl w:val="B622D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4C25F4"/>
    <w:multiLevelType w:val="hybridMultilevel"/>
    <w:tmpl w:val="7C203F9E"/>
    <w:lvl w:ilvl="0" w:tplc="0419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197838C9"/>
    <w:multiLevelType w:val="hybridMultilevel"/>
    <w:tmpl w:val="5C64D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8053FC"/>
    <w:multiLevelType w:val="hybridMultilevel"/>
    <w:tmpl w:val="66CE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F71CC5"/>
    <w:multiLevelType w:val="hybridMultilevel"/>
    <w:tmpl w:val="EC40F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7127BE"/>
    <w:multiLevelType w:val="hybridMultilevel"/>
    <w:tmpl w:val="9634B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666581"/>
    <w:multiLevelType w:val="hybridMultilevel"/>
    <w:tmpl w:val="9350E8B0"/>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abstractNum w:abstractNumId="19" w15:restartNumberingAfterBreak="0">
    <w:nsid w:val="215B461A"/>
    <w:multiLevelType w:val="hybridMultilevel"/>
    <w:tmpl w:val="3F1C6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153E81"/>
    <w:multiLevelType w:val="hybridMultilevel"/>
    <w:tmpl w:val="1E646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8B7C2E"/>
    <w:multiLevelType w:val="hybridMultilevel"/>
    <w:tmpl w:val="2604B3D4"/>
    <w:lvl w:ilvl="0" w:tplc="041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6AB3841"/>
    <w:multiLevelType w:val="hybridMultilevel"/>
    <w:tmpl w:val="833E853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 w15:restartNumberingAfterBreak="0">
    <w:nsid w:val="2E1E7D22"/>
    <w:multiLevelType w:val="hybridMultilevel"/>
    <w:tmpl w:val="BEE01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564271"/>
    <w:multiLevelType w:val="hybridMultilevel"/>
    <w:tmpl w:val="9B36F5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0F86459"/>
    <w:multiLevelType w:val="hybridMultilevel"/>
    <w:tmpl w:val="CBD09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E2558B"/>
    <w:multiLevelType w:val="hybridMultilevel"/>
    <w:tmpl w:val="F02ED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2261E92"/>
    <w:multiLevelType w:val="hybridMultilevel"/>
    <w:tmpl w:val="F7AE9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2E66621"/>
    <w:multiLevelType w:val="hybridMultilevel"/>
    <w:tmpl w:val="B3381206"/>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abstractNum w:abstractNumId="29" w15:restartNumberingAfterBreak="0">
    <w:nsid w:val="349500A4"/>
    <w:multiLevelType w:val="hybridMultilevel"/>
    <w:tmpl w:val="79D09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84604A5"/>
    <w:multiLevelType w:val="hybridMultilevel"/>
    <w:tmpl w:val="D9A07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8DA4101"/>
    <w:multiLevelType w:val="hybridMultilevel"/>
    <w:tmpl w:val="0E789404"/>
    <w:lvl w:ilvl="0" w:tplc="041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3A7565E1"/>
    <w:multiLevelType w:val="hybridMultilevel"/>
    <w:tmpl w:val="5442D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B6F493C"/>
    <w:multiLevelType w:val="hybridMultilevel"/>
    <w:tmpl w:val="ADBA6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CA842FD"/>
    <w:multiLevelType w:val="hybridMultilevel"/>
    <w:tmpl w:val="5178F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3C5C7D"/>
    <w:multiLevelType w:val="hybridMultilevel"/>
    <w:tmpl w:val="C1BCC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605832"/>
    <w:multiLevelType w:val="hybridMultilevel"/>
    <w:tmpl w:val="9BA21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06295E"/>
    <w:multiLevelType w:val="hybridMultilevel"/>
    <w:tmpl w:val="847E3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37E6E89"/>
    <w:multiLevelType w:val="hybridMultilevel"/>
    <w:tmpl w:val="9C3AC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D42985"/>
    <w:multiLevelType w:val="hybridMultilevel"/>
    <w:tmpl w:val="38986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A3810D7"/>
    <w:multiLevelType w:val="hybridMultilevel"/>
    <w:tmpl w:val="61685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24267B"/>
    <w:multiLevelType w:val="hybridMultilevel"/>
    <w:tmpl w:val="006A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E3623E0"/>
    <w:multiLevelType w:val="hybridMultilevel"/>
    <w:tmpl w:val="1FF68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FB35798"/>
    <w:multiLevelType w:val="hybridMultilevel"/>
    <w:tmpl w:val="599AB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FD30859"/>
    <w:multiLevelType w:val="hybridMultilevel"/>
    <w:tmpl w:val="C0AE6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FDF6FFE"/>
    <w:multiLevelType w:val="hybridMultilevel"/>
    <w:tmpl w:val="7DB27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2C2A1F"/>
    <w:multiLevelType w:val="hybridMultilevel"/>
    <w:tmpl w:val="598A7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28750CB"/>
    <w:multiLevelType w:val="hybridMultilevel"/>
    <w:tmpl w:val="63485AB6"/>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abstractNum w:abstractNumId="48" w15:restartNumberingAfterBreak="0">
    <w:nsid w:val="5369178B"/>
    <w:multiLevelType w:val="hybridMultilevel"/>
    <w:tmpl w:val="E7FEA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36A4205"/>
    <w:multiLevelType w:val="hybridMultilevel"/>
    <w:tmpl w:val="0FC08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43A7F4C"/>
    <w:multiLevelType w:val="hybridMultilevel"/>
    <w:tmpl w:val="CBA28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E0673E"/>
    <w:multiLevelType w:val="hybridMultilevel"/>
    <w:tmpl w:val="E8DC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88776A1"/>
    <w:multiLevelType w:val="hybridMultilevel"/>
    <w:tmpl w:val="9698E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D0A138B"/>
    <w:multiLevelType w:val="hybridMultilevel"/>
    <w:tmpl w:val="0E927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44C7B87"/>
    <w:multiLevelType w:val="hybridMultilevel"/>
    <w:tmpl w:val="832CC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5D7E05"/>
    <w:multiLevelType w:val="hybridMultilevel"/>
    <w:tmpl w:val="A22E3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407ED5"/>
    <w:multiLevelType w:val="hybridMultilevel"/>
    <w:tmpl w:val="EB62C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663305D"/>
    <w:multiLevelType w:val="hybridMultilevel"/>
    <w:tmpl w:val="14546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364853"/>
    <w:multiLevelType w:val="hybridMultilevel"/>
    <w:tmpl w:val="B510A7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6D214E5B"/>
    <w:multiLevelType w:val="hybridMultilevel"/>
    <w:tmpl w:val="74A45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DF4564"/>
    <w:multiLevelType w:val="hybridMultilevel"/>
    <w:tmpl w:val="778E2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E226F9E"/>
    <w:multiLevelType w:val="hybridMultilevel"/>
    <w:tmpl w:val="BE7E8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E9F16E5"/>
    <w:multiLevelType w:val="hybridMultilevel"/>
    <w:tmpl w:val="2CCCD89A"/>
    <w:lvl w:ilvl="0" w:tplc="041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73711485"/>
    <w:multiLevelType w:val="hybridMultilevel"/>
    <w:tmpl w:val="CE563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78C10B5"/>
    <w:multiLevelType w:val="hybridMultilevel"/>
    <w:tmpl w:val="43B4B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B443812"/>
    <w:multiLevelType w:val="hybridMultilevel"/>
    <w:tmpl w:val="A184EC0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7ED215BC"/>
    <w:multiLevelType w:val="hybridMultilevel"/>
    <w:tmpl w:val="EAFA0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2"/>
  </w:num>
  <w:num w:numId="3">
    <w:abstractNumId w:val="51"/>
  </w:num>
  <w:num w:numId="4">
    <w:abstractNumId w:val="19"/>
  </w:num>
  <w:num w:numId="5">
    <w:abstractNumId w:val="43"/>
  </w:num>
  <w:num w:numId="6">
    <w:abstractNumId w:val="33"/>
  </w:num>
  <w:num w:numId="7">
    <w:abstractNumId w:val="57"/>
  </w:num>
  <w:num w:numId="8">
    <w:abstractNumId w:val="23"/>
  </w:num>
  <w:num w:numId="9">
    <w:abstractNumId w:val="1"/>
  </w:num>
  <w:num w:numId="10">
    <w:abstractNumId w:val="15"/>
  </w:num>
  <w:num w:numId="11">
    <w:abstractNumId w:val="59"/>
  </w:num>
  <w:num w:numId="12">
    <w:abstractNumId w:val="16"/>
  </w:num>
  <w:num w:numId="13">
    <w:abstractNumId w:val="38"/>
  </w:num>
  <w:num w:numId="14">
    <w:abstractNumId w:val="26"/>
  </w:num>
  <w:num w:numId="15">
    <w:abstractNumId w:val="46"/>
  </w:num>
  <w:num w:numId="16">
    <w:abstractNumId w:val="65"/>
  </w:num>
  <w:num w:numId="17">
    <w:abstractNumId w:val="47"/>
  </w:num>
  <w:num w:numId="18">
    <w:abstractNumId w:val="14"/>
  </w:num>
  <w:num w:numId="19">
    <w:abstractNumId w:val="36"/>
  </w:num>
  <w:num w:numId="20">
    <w:abstractNumId w:val="40"/>
  </w:num>
  <w:num w:numId="21">
    <w:abstractNumId w:val="18"/>
  </w:num>
  <w:num w:numId="22">
    <w:abstractNumId w:val="2"/>
  </w:num>
  <w:num w:numId="23">
    <w:abstractNumId w:val="5"/>
  </w:num>
  <w:num w:numId="24">
    <w:abstractNumId w:val="27"/>
  </w:num>
  <w:num w:numId="25">
    <w:abstractNumId w:val="22"/>
  </w:num>
  <w:num w:numId="26">
    <w:abstractNumId w:val="28"/>
  </w:num>
  <w:num w:numId="27">
    <w:abstractNumId w:val="30"/>
  </w:num>
  <w:num w:numId="28">
    <w:abstractNumId w:val="50"/>
  </w:num>
  <w:num w:numId="29">
    <w:abstractNumId w:val="34"/>
  </w:num>
  <w:num w:numId="30">
    <w:abstractNumId w:val="54"/>
  </w:num>
  <w:num w:numId="31">
    <w:abstractNumId w:val="20"/>
  </w:num>
  <w:num w:numId="32">
    <w:abstractNumId w:val="17"/>
  </w:num>
  <w:num w:numId="33">
    <w:abstractNumId w:val="45"/>
  </w:num>
  <w:num w:numId="34">
    <w:abstractNumId w:val="64"/>
  </w:num>
  <w:num w:numId="35">
    <w:abstractNumId w:val="37"/>
  </w:num>
  <w:num w:numId="36">
    <w:abstractNumId w:val="32"/>
  </w:num>
  <w:num w:numId="37">
    <w:abstractNumId w:val="61"/>
  </w:num>
  <w:num w:numId="38">
    <w:abstractNumId w:val="63"/>
  </w:num>
  <w:num w:numId="39">
    <w:abstractNumId w:val="60"/>
  </w:num>
  <w:num w:numId="40">
    <w:abstractNumId w:val="10"/>
  </w:num>
  <w:num w:numId="41">
    <w:abstractNumId w:val="35"/>
  </w:num>
  <w:num w:numId="42">
    <w:abstractNumId w:val="3"/>
  </w:num>
  <w:num w:numId="43">
    <w:abstractNumId w:val="55"/>
  </w:num>
  <w:num w:numId="44">
    <w:abstractNumId w:val="42"/>
  </w:num>
  <w:num w:numId="45">
    <w:abstractNumId w:val="41"/>
  </w:num>
  <w:num w:numId="46">
    <w:abstractNumId w:val="44"/>
  </w:num>
  <w:num w:numId="47">
    <w:abstractNumId w:val="8"/>
  </w:num>
  <w:num w:numId="48">
    <w:abstractNumId w:val="53"/>
  </w:num>
  <w:num w:numId="49">
    <w:abstractNumId w:val="66"/>
  </w:num>
  <w:num w:numId="50">
    <w:abstractNumId w:val="29"/>
  </w:num>
  <w:num w:numId="51">
    <w:abstractNumId w:val="12"/>
  </w:num>
  <w:num w:numId="52">
    <w:abstractNumId w:val="39"/>
  </w:num>
  <w:num w:numId="53">
    <w:abstractNumId w:val="4"/>
  </w:num>
  <w:num w:numId="54">
    <w:abstractNumId w:val="0"/>
  </w:num>
  <w:num w:numId="55">
    <w:abstractNumId w:val="11"/>
  </w:num>
  <w:num w:numId="56">
    <w:abstractNumId w:val="56"/>
  </w:num>
  <w:num w:numId="57">
    <w:abstractNumId w:val="48"/>
  </w:num>
  <w:num w:numId="58">
    <w:abstractNumId w:val="25"/>
  </w:num>
  <w:num w:numId="59">
    <w:abstractNumId w:val="49"/>
  </w:num>
  <w:num w:numId="60">
    <w:abstractNumId w:val="7"/>
  </w:num>
  <w:num w:numId="61">
    <w:abstractNumId w:val="58"/>
  </w:num>
  <w:num w:numId="62">
    <w:abstractNumId w:val="13"/>
  </w:num>
  <w:num w:numId="63">
    <w:abstractNumId w:val="62"/>
  </w:num>
  <w:num w:numId="64">
    <w:abstractNumId w:val="31"/>
  </w:num>
  <w:num w:numId="65">
    <w:abstractNumId w:val="21"/>
  </w:num>
  <w:num w:numId="66">
    <w:abstractNumId w:val="6"/>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42D"/>
    <w:rsid w:val="0000225B"/>
    <w:rsid w:val="00006EE8"/>
    <w:rsid w:val="00012543"/>
    <w:rsid w:val="0001353A"/>
    <w:rsid w:val="00013BF5"/>
    <w:rsid w:val="00015E3B"/>
    <w:rsid w:val="0002042D"/>
    <w:rsid w:val="00024174"/>
    <w:rsid w:val="0002709D"/>
    <w:rsid w:val="00031374"/>
    <w:rsid w:val="00036007"/>
    <w:rsid w:val="00040AD6"/>
    <w:rsid w:val="00046E19"/>
    <w:rsid w:val="00050AEC"/>
    <w:rsid w:val="00051730"/>
    <w:rsid w:val="000645CE"/>
    <w:rsid w:val="00074BEC"/>
    <w:rsid w:val="00075B99"/>
    <w:rsid w:val="00076374"/>
    <w:rsid w:val="00083A6D"/>
    <w:rsid w:val="00086EAC"/>
    <w:rsid w:val="00092A31"/>
    <w:rsid w:val="00093BF0"/>
    <w:rsid w:val="00094F70"/>
    <w:rsid w:val="00096C86"/>
    <w:rsid w:val="000A5F09"/>
    <w:rsid w:val="000B1E45"/>
    <w:rsid w:val="000B795C"/>
    <w:rsid w:val="000C1F52"/>
    <w:rsid w:val="000C381C"/>
    <w:rsid w:val="000C4087"/>
    <w:rsid w:val="000C487E"/>
    <w:rsid w:val="000C62C6"/>
    <w:rsid w:val="000C757C"/>
    <w:rsid w:val="000C7A8A"/>
    <w:rsid w:val="000D3C3C"/>
    <w:rsid w:val="000E0047"/>
    <w:rsid w:val="000E2E57"/>
    <w:rsid w:val="000E5681"/>
    <w:rsid w:val="000F1407"/>
    <w:rsid w:val="00100A03"/>
    <w:rsid w:val="00102EB8"/>
    <w:rsid w:val="001037EC"/>
    <w:rsid w:val="00104F4F"/>
    <w:rsid w:val="0010722B"/>
    <w:rsid w:val="0010783C"/>
    <w:rsid w:val="00107FF5"/>
    <w:rsid w:val="001226B4"/>
    <w:rsid w:val="00123F41"/>
    <w:rsid w:val="0012506A"/>
    <w:rsid w:val="001308E6"/>
    <w:rsid w:val="00135CC0"/>
    <w:rsid w:val="00135F6C"/>
    <w:rsid w:val="0013605C"/>
    <w:rsid w:val="00140E16"/>
    <w:rsid w:val="00145652"/>
    <w:rsid w:val="00155A99"/>
    <w:rsid w:val="00157D6E"/>
    <w:rsid w:val="00162462"/>
    <w:rsid w:val="00163439"/>
    <w:rsid w:val="00163AEE"/>
    <w:rsid w:val="0017049B"/>
    <w:rsid w:val="00171E61"/>
    <w:rsid w:val="001720BF"/>
    <w:rsid w:val="00172EDF"/>
    <w:rsid w:val="00176D51"/>
    <w:rsid w:val="00177769"/>
    <w:rsid w:val="00184380"/>
    <w:rsid w:val="00184AC2"/>
    <w:rsid w:val="00186063"/>
    <w:rsid w:val="001878D0"/>
    <w:rsid w:val="00187CE2"/>
    <w:rsid w:val="00187E20"/>
    <w:rsid w:val="001931EC"/>
    <w:rsid w:val="0019569C"/>
    <w:rsid w:val="00195756"/>
    <w:rsid w:val="00195898"/>
    <w:rsid w:val="00195FFA"/>
    <w:rsid w:val="001A1C5D"/>
    <w:rsid w:val="001A694E"/>
    <w:rsid w:val="001A701C"/>
    <w:rsid w:val="001B5931"/>
    <w:rsid w:val="001C2959"/>
    <w:rsid w:val="001C2B65"/>
    <w:rsid w:val="001C3909"/>
    <w:rsid w:val="001C460A"/>
    <w:rsid w:val="001C6944"/>
    <w:rsid w:val="001C7945"/>
    <w:rsid w:val="001D4B72"/>
    <w:rsid w:val="001D4CA2"/>
    <w:rsid w:val="001D5741"/>
    <w:rsid w:val="001E4E85"/>
    <w:rsid w:val="001F4491"/>
    <w:rsid w:val="001F665B"/>
    <w:rsid w:val="002015CF"/>
    <w:rsid w:val="00202500"/>
    <w:rsid w:val="0020289A"/>
    <w:rsid w:val="00206236"/>
    <w:rsid w:val="00207A25"/>
    <w:rsid w:val="00216285"/>
    <w:rsid w:val="00216A77"/>
    <w:rsid w:val="0022147F"/>
    <w:rsid w:val="00223671"/>
    <w:rsid w:val="00230286"/>
    <w:rsid w:val="002365A3"/>
    <w:rsid w:val="00244414"/>
    <w:rsid w:val="00247EBF"/>
    <w:rsid w:val="0025492E"/>
    <w:rsid w:val="00254EAB"/>
    <w:rsid w:val="00257DD1"/>
    <w:rsid w:val="00257EBC"/>
    <w:rsid w:val="00260756"/>
    <w:rsid w:val="002635EE"/>
    <w:rsid w:val="00265976"/>
    <w:rsid w:val="002726B9"/>
    <w:rsid w:val="00273D89"/>
    <w:rsid w:val="00275EE3"/>
    <w:rsid w:val="00276C84"/>
    <w:rsid w:val="00277304"/>
    <w:rsid w:val="00280D11"/>
    <w:rsid w:val="00281F8C"/>
    <w:rsid w:val="002823F6"/>
    <w:rsid w:val="00285EC0"/>
    <w:rsid w:val="00287951"/>
    <w:rsid w:val="00292CD6"/>
    <w:rsid w:val="002935B8"/>
    <w:rsid w:val="0029510A"/>
    <w:rsid w:val="002A0B08"/>
    <w:rsid w:val="002A356C"/>
    <w:rsid w:val="002A4A0E"/>
    <w:rsid w:val="002B13FA"/>
    <w:rsid w:val="002B18A0"/>
    <w:rsid w:val="002B6733"/>
    <w:rsid w:val="002C331D"/>
    <w:rsid w:val="002C7BAD"/>
    <w:rsid w:val="002D1857"/>
    <w:rsid w:val="002D6239"/>
    <w:rsid w:val="002E0D6B"/>
    <w:rsid w:val="002E367C"/>
    <w:rsid w:val="002E47FC"/>
    <w:rsid w:val="002F7F36"/>
    <w:rsid w:val="003061AA"/>
    <w:rsid w:val="00306466"/>
    <w:rsid w:val="0031563E"/>
    <w:rsid w:val="00316F1C"/>
    <w:rsid w:val="0032023C"/>
    <w:rsid w:val="003226BF"/>
    <w:rsid w:val="00330AD6"/>
    <w:rsid w:val="00330C4A"/>
    <w:rsid w:val="0033297E"/>
    <w:rsid w:val="00333522"/>
    <w:rsid w:val="00334506"/>
    <w:rsid w:val="00335409"/>
    <w:rsid w:val="0034229E"/>
    <w:rsid w:val="00345326"/>
    <w:rsid w:val="00345456"/>
    <w:rsid w:val="00350FCD"/>
    <w:rsid w:val="0035178D"/>
    <w:rsid w:val="00355288"/>
    <w:rsid w:val="00357657"/>
    <w:rsid w:val="00360CF0"/>
    <w:rsid w:val="00362E5C"/>
    <w:rsid w:val="003644FF"/>
    <w:rsid w:val="0036510A"/>
    <w:rsid w:val="00365476"/>
    <w:rsid w:val="00365DE4"/>
    <w:rsid w:val="003736E7"/>
    <w:rsid w:val="003743BE"/>
    <w:rsid w:val="00376443"/>
    <w:rsid w:val="00380CD5"/>
    <w:rsid w:val="0038526E"/>
    <w:rsid w:val="003857C5"/>
    <w:rsid w:val="00386DBB"/>
    <w:rsid w:val="00390C1E"/>
    <w:rsid w:val="00391456"/>
    <w:rsid w:val="00392758"/>
    <w:rsid w:val="00392AA8"/>
    <w:rsid w:val="00392BEA"/>
    <w:rsid w:val="003943B9"/>
    <w:rsid w:val="0039680E"/>
    <w:rsid w:val="003A1B63"/>
    <w:rsid w:val="003A2886"/>
    <w:rsid w:val="003A2EEA"/>
    <w:rsid w:val="003A669B"/>
    <w:rsid w:val="003A7967"/>
    <w:rsid w:val="003B2B06"/>
    <w:rsid w:val="003B4424"/>
    <w:rsid w:val="003B61EF"/>
    <w:rsid w:val="003B705E"/>
    <w:rsid w:val="003C163F"/>
    <w:rsid w:val="003C37B3"/>
    <w:rsid w:val="003C69E2"/>
    <w:rsid w:val="003C7A27"/>
    <w:rsid w:val="003D392D"/>
    <w:rsid w:val="003E1D5A"/>
    <w:rsid w:val="003F121A"/>
    <w:rsid w:val="003F3962"/>
    <w:rsid w:val="003F7050"/>
    <w:rsid w:val="003F7D72"/>
    <w:rsid w:val="004026D0"/>
    <w:rsid w:val="00403A9C"/>
    <w:rsid w:val="00404A28"/>
    <w:rsid w:val="0040613B"/>
    <w:rsid w:val="0041540A"/>
    <w:rsid w:val="00416F36"/>
    <w:rsid w:val="00431693"/>
    <w:rsid w:val="0043429F"/>
    <w:rsid w:val="0044117B"/>
    <w:rsid w:val="00441551"/>
    <w:rsid w:val="0045236C"/>
    <w:rsid w:val="00454AA5"/>
    <w:rsid w:val="004564CD"/>
    <w:rsid w:val="00460FB3"/>
    <w:rsid w:val="0046124D"/>
    <w:rsid w:val="00465AA5"/>
    <w:rsid w:val="00467304"/>
    <w:rsid w:val="00473B1F"/>
    <w:rsid w:val="00474448"/>
    <w:rsid w:val="00476F5D"/>
    <w:rsid w:val="00477EF6"/>
    <w:rsid w:val="00480BDD"/>
    <w:rsid w:val="0048387D"/>
    <w:rsid w:val="00483D6F"/>
    <w:rsid w:val="00484FE5"/>
    <w:rsid w:val="00493A60"/>
    <w:rsid w:val="004971B1"/>
    <w:rsid w:val="004A41B0"/>
    <w:rsid w:val="004A4D37"/>
    <w:rsid w:val="004B557D"/>
    <w:rsid w:val="004B6171"/>
    <w:rsid w:val="004B6405"/>
    <w:rsid w:val="004C4171"/>
    <w:rsid w:val="004C46B6"/>
    <w:rsid w:val="004C5B34"/>
    <w:rsid w:val="004C642F"/>
    <w:rsid w:val="004C6815"/>
    <w:rsid w:val="004D0BF0"/>
    <w:rsid w:val="004D2A4F"/>
    <w:rsid w:val="004D684C"/>
    <w:rsid w:val="004D747F"/>
    <w:rsid w:val="004E055F"/>
    <w:rsid w:val="004E10B5"/>
    <w:rsid w:val="004E3A64"/>
    <w:rsid w:val="004E4E66"/>
    <w:rsid w:val="004E7CA8"/>
    <w:rsid w:val="004F7575"/>
    <w:rsid w:val="00502712"/>
    <w:rsid w:val="005047D7"/>
    <w:rsid w:val="0051281C"/>
    <w:rsid w:val="005128A5"/>
    <w:rsid w:val="00514F4D"/>
    <w:rsid w:val="0051637C"/>
    <w:rsid w:val="00525692"/>
    <w:rsid w:val="00527146"/>
    <w:rsid w:val="005307CE"/>
    <w:rsid w:val="005312A2"/>
    <w:rsid w:val="0053224A"/>
    <w:rsid w:val="005325AC"/>
    <w:rsid w:val="00532B69"/>
    <w:rsid w:val="00534C27"/>
    <w:rsid w:val="00544369"/>
    <w:rsid w:val="00552706"/>
    <w:rsid w:val="00552F4F"/>
    <w:rsid w:val="00555235"/>
    <w:rsid w:val="00556FDA"/>
    <w:rsid w:val="00557239"/>
    <w:rsid w:val="00560F52"/>
    <w:rsid w:val="00565EE9"/>
    <w:rsid w:val="00566BD9"/>
    <w:rsid w:val="00570F99"/>
    <w:rsid w:val="00574332"/>
    <w:rsid w:val="00574721"/>
    <w:rsid w:val="00577412"/>
    <w:rsid w:val="00584D94"/>
    <w:rsid w:val="005852CA"/>
    <w:rsid w:val="00591722"/>
    <w:rsid w:val="00592376"/>
    <w:rsid w:val="00597C6A"/>
    <w:rsid w:val="005A0F56"/>
    <w:rsid w:val="005C3614"/>
    <w:rsid w:val="005C66E8"/>
    <w:rsid w:val="005D4573"/>
    <w:rsid w:val="005D7060"/>
    <w:rsid w:val="005E1B9E"/>
    <w:rsid w:val="005E2DF7"/>
    <w:rsid w:val="005E4B94"/>
    <w:rsid w:val="005E5F50"/>
    <w:rsid w:val="005F0F7F"/>
    <w:rsid w:val="005F2833"/>
    <w:rsid w:val="0060260D"/>
    <w:rsid w:val="00603D04"/>
    <w:rsid w:val="006046BF"/>
    <w:rsid w:val="00616F70"/>
    <w:rsid w:val="006326A5"/>
    <w:rsid w:val="00632C89"/>
    <w:rsid w:val="006333DB"/>
    <w:rsid w:val="00637D2A"/>
    <w:rsid w:val="00641C2D"/>
    <w:rsid w:val="006437B5"/>
    <w:rsid w:val="006449EA"/>
    <w:rsid w:val="00652F9A"/>
    <w:rsid w:val="00660549"/>
    <w:rsid w:val="0066081A"/>
    <w:rsid w:val="00660B5B"/>
    <w:rsid w:val="00666A11"/>
    <w:rsid w:val="00681632"/>
    <w:rsid w:val="00682493"/>
    <w:rsid w:val="00683289"/>
    <w:rsid w:val="00684F93"/>
    <w:rsid w:val="0068663D"/>
    <w:rsid w:val="00687952"/>
    <w:rsid w:val="00690065"/>
    <w:rsid w:val="006901EC"/>
    <w:rsid w:val="00690CF4"/>
    <w:rsid w:val="00692164"/>
    <w:rsid w:val="00695473"/>
    <w:rsid w:val="00695873"/>
    <w:rsid w:val="006A02EB"/>
    <w:rsid w:val="006A11CF"/>
    <w:rsid w:val="006A2BE2"/>
    <w:rsid w:val="006A5A2E"/>
    <w:rsid w:val="006A62D1"/>
    <w:rsid w:val="006B0A46"/>
    <w:rsid w:val="006B569A"/>
    <w:rsid w:val="006B64C9"/>
    <w:rsid w:val="006C070D"/>
    <w:rsid w:val="006C7989"/>
    <w:rsid w:val="006D1EC8"/>
    <w:rsid w:val="006D523C"/>
    <w:rsid w:val="006E07BD"/>
    <w:rsid w:val="006E6AD8"/>
    <w:rsid w:val="006F19EA"/>
    <w:rsid w:val="006F68CE"/>
    <w:rsid w:val="007039DE"/>
    <w:rsid w:val="007074A8"/>
    <w:rsid w:val="00707E43"/>
    <w:rsid w:val="0071381B"/>
    <w:rsid w:val="00716B7D"/>
    <w:rsid w:val="00716E8C"/>
    <w:rsid w:val="00724A73"/>
    <w:rsid w:val="0073225F"/>
    <w:rsid w:val="007342E9"/>
    <w:rsid w:val="007356EB"/>
    <w:rsid w:val="007366CA"/>
    <w:rsid w:val="00741FC6"/>
    <w:rsid w:val="007431D7"/>
    <w:rsid w:val="007534E6"/>
    <w:rsid w:val="00755532"/>
    <w:rsid w:val="00761443"/>
    <w:rsid w:val="0076459D"/>
    <w:rsid w:val="00770318"/>
    <w:rsid w:val="00781F33"/>
    <w:rsid w:val="00784CAA"/>
    <w:rsid w:val="00791C56"/>
    <w:rsid w:val="007A67FE"/>
    <w:rsid w:val="007B16CC"/>
    <w:rsid w:val="007B29F3"/>
    <w:rsid w:val="007B3E95"/>
    <w:rsid w:val="007B50EB"/>
    <w:rsid w:val="007C0390"/>
    <w:rsid w:val="007C231E"/>
    <w:rsid w:val="007C2563"/>
    <w:rsid w:val="007C2A3A"/>
    <w:rsid w:val="007C3608"/>
    <w:rsid w:val="007D3F59"/>
    <w:rsid w:val="007E06B3"/>
    <w:rsid w:val="007E464C"/>
    <w:rsid w:val="007E4C8A"/>
    <w:rsid w:val="007E6B30"/>
    <w:rsid w:val="007F10AD"/>
    <w:rsid w:val="007F3A6E"/>
    <w:rsid w:val="007F7390"/>
    <w:rsid w:val="0080123C"/>
    <w:rsid w:val="00802D31"/>
    <w:rsid w:val="00804565"/>
    <w:rsid w:val="0080595E"/>
    <w:rsid w:val="008064AA"/>
    <w:rsid w:val="00806822"/>
    <w:rsid w:val="00811C12"/>
    <w:rsid w:val="008120D2"/>
    <w:rsid w:val="00813832"/>
    <w:rsid w:val="0082170E"/>
    <w:rsid w:val="00827E72"/>
    <w:rsid w:val="00830AE3"/>
    <w:rsid w:val="008313A9"/>
    <w:rsid w:val="00835D73"/>
    <w:rsid w:val="00837247"/>
    <w:rsid w:val="0084027B"/>
    <w:rsid w:val="00841396"/>
    <w:rsid w:val="00843DC3"/>
    <w:rsid w:val="0084769D"/>
    <w:rsid w:val="00850C55"/>
    <w:rsid w:val="00853FA8"/>
    <w:rsid w:val="008547D5"/>
    <w:rsid w:val="008578BD"/>
    <w:rsid w:val="00861BC1"/>
    <w:rsid w:val="008624D2"/>
    <w:rsid w:val="008630C6"/>
    <w:rsid w:val="00863F2B"/>
    <w:rsid w:val="00866BD9"/>
    <w:rsid w:val="008707AD"/>
    <w:rsid w:val="008708AF"/>
    <w:rsid w:val="00870D13"/>
    <w:rsid w:val="00875C82"/>
    <w:rsid w:val="00877CE5"/>
    <w:rsid w:val="00882EFB"/>
    <w:rsid w:val="00885DAA"/>
    <w:rsid w:val="008927BE"/>
    <w:rsid w:val="008A0E13"/>
    <w:rsid w:val="008A3473"/>
    <w:rsid w:val="008A50B6"/>
    <w:rsid w:val="008A685E"/>
    <w:rsid w:val="008A6A12"/>
    <w:rsid w:val="008A7F6B"/>
    <w:rsid w:val="008B0252"/>
    <w:rsid w:val="008C3BC9"/>
    <w:rsid w:val="008C5715"/>
    <w:rsid w:val="008C74B8"/>
    <w:rsid w:val="008D3242"/>
    <w:rsid w:val="008D4ECC"/>
    <w:rsid w:val="008D650D"/>
    <w:rsid w:val="008D6B1F"/>
    <w:rsid w:val="008D700A"/>
    <w:rsid w:val="008D7F50"/>
    <w:rsid w:val="008F28C6"/>
    <w:rsid w:val="008F35C1"/>
    <w:rsid w:val="008F37FE"/>
    <w:rsid w:val="008F67B7"/>
    <w:rsid w:val="009048C0"/>
    <w:rsid w:val="009079BB"/>
    <w:rsid w:val="009125A8"/>
    <w:rsid w:val="00920018"/>
    <w:rsid w:val="00920A17"/>
    <w:rsid w:val="009258E1"/>
    <w:rsid w:val="00925D51"/>
    <w:rsid w:val="0093210C"/>
    <w:rsid w:val="00935F26"/>
    <w:rsid w:val="0094360A"/>
    <w:rsid w:val="0094435B"/>
    <w:rsid w:val="0094751F"/>
    <w:rsid w:val="00960644"/>
    <w:rsid w:val="00960E83"/>
    <w:rsid w:val="00970304"/>
    <w:rsid w:val="00972FAE"/>
    <w:rsid w:val="00980418"/>
    <w:rsid w:val="009819EE"/>
    <w:rsid w:val="00983CE9"/>
    <w:rsid w:val="009852E4"/>
    <w:rsid w:val="00992632"/>
    <w:rsid w:val="0099508F"/>
    <w:rsid w:val="009A2989"/>
    <w:rsid w:val="009B1524"/>
    <w:rsid w:val="009C0881"/>
    <w:rsid w:val="009C10CF"/>
    <w:rsid w:val="009C24D1"/>
    <w:rsid w:val="009C2855"/>
    <w:rsid w:val="009C2A77"/>
    <w:rsid w:val="009C4097"/>
    <w:rsid w:val="009C5D9A"/>
    <w:rsid w:val="009C6187"/>
    <w:rsid w:val="009C6DD2"/>
    <w:rsid w:val="009D123B"/>
    <w:rsid w:val="009D448A"/>
    <w:rsid w:val="009D47EE"/>
    <w:rsid w:val="009D55C0"/>
    <w:rsid w:val="009D639C"/>
    <w:rsid w:val="009E2836"/>
    <w:rsid w:val="009E5874"/>
    <w:rsid w:val="009F1038"/>
    <w:rsid w:val="009F1581"/>
    <w:rsid w:val="009F192B"/>
    <w:rsid w:val="009F4E51"/>
    <w:rsid w:val="00A0438E"/>
    <w:rsid w:val="00A20DFA"/>
    <w:rsid w:val="00A222FC"/>
    <w:rsid w:val="00A223FF"/>
    <w:rsid w:val="00A251D4"/>
    <w:rsid w:val="00A2572D"/>
    <w:rsid w:val="00A26BFC"/>
    <w:rsid w:val="00A31288"/>
    <w:rsid w:val="00A35F33"/>
    <w:rsid w:val="00A4254F"/>
    <w:rsid w:val="00A47B42"/>
    <w:rsid w:val="00A502D8"/>
    <w:rsid w:val="00A509EB"/>
    <w:rsid w:val="00A57EF1"/>
    <w:rsid w:val="00A62DA7"/>
    <w:rsid w:val="00A65875"/>
    <w:rsid w:val="00A676B7"/>
    <w:rsid w:val="00A73521"/>
    <w:rsid w:val="00A74698"/>
    <w:rsid w:val="00A755EF"/>
    <w:rsid w:val="00A87B6D"/>
    <w:rsid w:val="00A9090A"/>
    <w:rsid w:val="00A9166B"/>
    <w:rsid w:val="00A925C1"/>
    <w:rsid w:val="00AA0D2D"/>
    <w:rsid w:val="00AA28AF"/>
    <w:rsid w:val="00AA614C"/>
    <w:rsid w:val="00AA6848"/>
    <w:rsid w:val="00AA7E62"/>
    <w:rsid w:val="00AB2CED"/>
    <w:rsid w:val="00AC44AB"/>
    <w:rsid w:val="00AC6D39"/>
    <w:rsid w:val="00AD1EC7"/>
    <w:rsid w:val="00AD2793"/>
    <w:rsid w:val="00AD3FDE"/>
    <w:rsid w:val="00AD4D43"/>
    <w:rsid w:val="00AD7F1B"/>
    <w:rsid w:val="00AE0720"/>
    <w:rsid w:val="00AE6F71"/>
    <w:rsid w:val="00AE6FA5"/>
    <w:rsid w:val="00AE7C29"/>
    <w:rsid w:val="00AF350A"/>
    <w:rsid w:val="00AF62BE"/>
    <w:rsid w:val="00B01259"/>
    <w:rsid w:val="00B0247D"/>
    <w:rsid w:val="00B05E55"/>
    <w:rsid w:val="00B06C91"/>
    <w:rsid w:val="00B11191"/>
    <w:rsid w:val="00B15DC3"/>
    <w:rsid w:val="00B222F3"/>
    <w:rsid w:val="00B2632A"/>
    <w:rsid w:val="00B35303"/>
    <w:rsid w:val="00B37D0C"/>
    <w:rsid w:val="00B40817"/>
    <w:rsid w:val="00B423FC"/>
    <w:rsid w:val="00B4522B"/>
    <w:rsid w:val="00B45601"/>
    <w:rsid w:val="00B46CF1"/>
    <w:rsid w:val="00B57620"/>
    <w:rsid w:val="00B637C9"/>
    <w:rsid w:val="00B64DC5"/>
    <w:rsid w:val="00B66392"/>
    <w:rsid w:val="00B66778"/>
    <w:rsid w:val="00B72794"/>
    <w:rsid w:val="00B74E6C"/>
    <w:rsid w:val="00B77C95"/>
    <w:rsid w:val="00B83A4F"/>
    <w:rsid w:val="00B84B39"/>
    <w:rsid w:val="00B86FA1"/>
    <w:rsid w:val="00B909D3"/>
    <w:rsid w:val="00B960ED"/>
    <w:rsid w:val="00B97144"/>
    <w:rsid w:val="00B97E19"/>
    <w:rsid w:val="00BA3365"/>
    <w:rsid w:val="00BA3BD8"/>
    <w:rsid w:val="00BA5C0A"/>
    <w:rsid w:val="00BB0C24"/>
    <w:rsid w:val="00BB2102"/>
    <w:rsid w:val="00BB513D"/>
    <w:rsid w:val="00BB7476"/>
    <w:rsid w:val="00BC029F"/>
    <w:rsid w:val="00BC0D4A"/>
    <w:rsid w:val="00BC2240"/>
    <w:rsid w:val="00BD14AF"/>
    <w:rsid w:val="00BD42F1"/>
    <w:rsid w:val="00BD4381"/>
    <w:rsid w:val="00BD6E1C"/>
    <w:rsid w:val="00BE2467"/>
    <w:rsid w:val="00BE3264"/>
    <w:rsid w:val="00BE3753"/>
    <w:rsid w:val="00BE71C2"/>
    <w:rsid w:val="00BF5774"/>
    <w:rsid w:val="00BF5DF2"/>
    <w:rsid w:val="00BF71F3"/>
    <w:rsid w:val="00C0148D"/>
    <w:rsid w:val="00C02163"/>
    <w:rsid w:val="00C03865"/>
    <w:rsid w:val="00C06C2B"/>
    <w:rsid w:val="00C06D80"/>
    <w:rsid w:val="00C07829"/>
    <w:rsid w:val="00C10F00"/>
    <w:rsid w:val="00C17CC4"/>
    <w:rsid w:val="00C22F34"/>
    <w:rsid w:val="00C235A7"/>
    <w:rsid w:val="00C26A9E"/>
    <w:rsid w:val="00C33FA8"/>
    <w:rsid w:val="00C42C95"/>
    <w:rsid w:val="00C475EE"/>
    <w:rsid w:val="00C556FE"/>
    <w:rsid w:val="00C613B8"/>
    <w:rsid w:val="00C62965"/>
    <w:rsid w:val="00C64350"/>
    <w:rsid w:val="00C8149A"/>
    <w:rsid w:val="00C81DAC"/>
    <w:rsid w:val="00C82151"/>
    <w:rsid w:val="00C8295E"/>
    <w:rsid w:val="00C87A95"/>
    <w:rsid w:val="00C90D71"/>
    <w:rsid w:val="00C92E83"/>
    <w:rsid w:val="00C94D0A"/>
    <w:rsid w:val="00CC0C2B"/>
    <w:rsid w:val="00CC7F23"/>
    <w:rsid w:val="00CD0522"/>
    <w:rsid w:val="00CD1014"/>
    <w:rsid w:val="00CD1B25"/>
    <w:rsid w:val="00CD5F76"/>
    <w:rsid w:val="00CE017A"/>
    <w:rsid w:val="00CE3357"/>
    <w:rsid w:val="00CE45A3"/>
    <w:rsid w:val="00CF0D47"/>
    <w:rsid w:val="00CF1DCD"/>
    <w:rsid w:val="00D005A1"/>
    <w:rsid w:val="00D03CF7"/>
    <w:rsid w:val="00D04FB3"/>
    <w:rsid w:val="00D052AE"/>
    <w:rsid w:val="00D065CC"/>
    <w:rsid w:val="00D121AF"/>
    <w:rsid w:val="00D14230"/>
    <w:rsid w:val="00D17BCA"/>
    <w:rsid w:val="00D31295"/>
    <w:rsid w:val="00D3142D"/>
    <w:rsid w:val="00D31816"/>
    <w:rsid w:val="00D31DA1"/>
    <w:rsid w:val="00D323D5"/>
    <w:rsid w:val="00D34651"/>
    <w:rsid w:val="00D431BD"/>
    <w:rsid w:val="00D43206"/>
    <w:rsid w:val="00D44997"/>
    <w:rsid w:val="00D45EE4"/>
    <w:rsid w:val="00D5051E"/>
    <w:rsid w:val="00D5420D"/>
    <w:rsid w:val="00D579BF"/>
    <w:rsid w:val="00D60797"/>
    <w:rsid w:val="00D60A80"/>
    <w:rsid w:val="00D60C1B"/>
    <w:rsid w:val="00D619D6"/>
    <w:rsid w:val="00D628F0"/>
    <w:rsid w:val="00D6609A"/>
    <w:rsid w:val="00D669CB"/>
    <w:rsid w:val="00D676B3"/>
    <w:rsid w:val="00D71B55"/>
    <w:rsid w:val="00D76BC2"/>
    <w:rsid w:val="00D77795"/>
    <w:rsid w:val="00D84B1A"/>
    <w:rsid w:val="00D901B1"/>
    <w:rsid w:val="00D92753"/>
    <w:rsid w:val="00D93D19"/>
    <w:rsid w:val="00D947D6"/>
    <w:rsid w:val="00D979F3"/>
    <w:rsid w:val="00DA25AC"/>
    <w:rsid w:val="00DA2E4F"/>
    <w:rsid w:val="00DA6F76"/>
    <w:rsid w:val="00DA7065"/>
    <w:rsid w:val="00DB27F9"/>
    <w:rsid w:val="00DB3822"/>
    <w:rsid w:val="00DB67F9"/>
    <w:rsid w:val="00DC2873"/>
    <w:rsid w:val="00DC3BDB"/>
    <w:rsid w:val="00DC6EEF"/>
    <w:rsid w:val="00DC7F48"/>
    <w:rsid w:val="00DD7838"/>
    <w:rsid w:val="00DE0C4F"/>
    <w:rsid w:val="00DE108A"/>
    <w:rsid w:val="00DE40E2"/>
    <w:rsid w:val="00DF0D47"/>
    <w:rsid w:val="00DF1A12"/>
    <w:rsid w:val="00DF26B0"/>
    <w:rsid w:val="00DF6A07"/>
    <w:rsid w:val="00DF722B"/>
    <w:rsid w:val="00DF7E58"/>
    <w:rsid w:val="00E109B8"/>
    <w:rsid w:val="00E10BEF"/>
    <w:rsid w:val="00E1361A"/>
    <w:rsid w:val="00E17DA5"/>
    <w:rsid w:val="00E24429"/>
    <w:rsid w:val="00E26BD7"/>
    <w:rsid w:val="00E327CF"/>
    <w:rsid w:val="00E33BD9"/>
    <w:rsid w:val="00E34AB6"/>
    <w:rsid w:val="00E35EFE"/>
    <w:rsid w:val="00E36CD6"/>
    <w:rsid w:val="00E37449"/>
    <w:rsid w:val="00E45B86"/>
    <w:rsid w:val="00E4611F"/>
    <w:rsid w:val="00E50B11"/>
    <w:rsid w:val="00E5503B"/>
    <w:rsid w:val="00E555BC"/>
    <w:rsid w:val="00E55BF4"/>
    <w:rsid w:val="00E65380"/>
    <w:rsid w:val="00E65ABB"/>
    <w:rsid w:val="00E7063E"/>
    <w:rsid w:val="00E70751"/>
    <w:rsid w:val="00E72EE0"/>
    <w:rsid w:val="00E738D2"/>
    <w:rsid w:val="00E76D74"/>
    <w:rsid w:val="00E841E4"/>
    <w:rsid w:val="00E9283D"/>
    <w:rsid w:val="00E92A90"/>
    <w:rsid w:val="00E950E1"/>
    <w:rsid w:val="00E953C6"/>
    <w:rsid w:val="00E96579"/>
    <w:rsid w:val="00E965B5"/>
    <w:rsid w:val="00EA2E73"/>
    <w:rsid w:val="00EA425B"/>
    <w:rsid w:val="00EB1EED"/>
    <w:rsid w:val="00EB306E"/>
    <w:rsid w:val="00EC2ED6"/>
    <w:rsid w:val="00EC4E32"/>
    <w:rsid w:val="00EC586F"/>
    <w:rsid w:val="00EC741E"/>
    <w:rsid w:val="00ED00CD"/>
    <w:rsid w:val="00ED0AFD"/>
    <w:rsid w:val="00ED60B9"/>
    <w:rsid w:val="00ED6FDE"/>
    <w:rsid w:val="00ED7C6C"/>
    <w:rsid w:val="00EE40FE"/>
    <w:rsid w:val="00EE643D"/>
    <w:rsid w:val="00EF0A7F"/>
    <w:rsid w:val="00EF7757"/>
    <w:rsid w:val="00F07F90"/>
    <w:rsid w:val="00F15C59"/>
    <w:rsid w:val="00F22C42"/>
    <w:rsid w:val="00F31D9F"/>
    <w:rsid w:val="00F321FE"/>
    <w:rsid w:val="00F326C6"/>
    <w:rsid w:val="00F46098"/>
    <w:rsid w:val="00F5160A"/>
    <w:rsid w:val="00F53078"/>
    <w:rsid w:val="00F725F4"/>
    <w:rsid w:val="00F72A65"/>
    <w:rsid w:val="00F7496C"/>
    <w:rsid w:val="00F75915"/>
    <w:rsid w:val="00F776B3"/>
    <w:rsid w:val="00F82B5F"/>
    <w:rsid w:val="00F832EB"/>
    <w:rsid w:val="00F9216A"/>
    <w:rsid w:val="00F9538C"/>
    <w:rsid w:val="00F96A09"/>
    <w:rsid w:val="00FA0336"/>
    <w:rsid w:val="00FA422A"/>
    <w:rsid w:val="00FA47A1"/>
    <w:rsid w:val="00FB5645"/>
    <w:rsid w:val="00FB5913"/>
    <w:rsid w:val="00FB6E66"/>
    <w:rsid w:val="00FC0A82"/>
    <w:rsid w:val="00FC690F"/>
    <w:rsid w:val="00FC6D8A"/>
    <w:rsid w:val="00FD00E6"/>
    <w:rsid w:val="00FD0576"/>
    <w:rsid w:val="00FD0BB6"/>
    <w:rsid w:val="00FD0D1C"/>
    <w:rsid w:val="00FD3BC9"/>
    <w:rsid w:val="00FD45E2"/>
    <w:rsid w:val="00FE0578"/>
    <w:rsid w:val="00FF03A4"/>
    <w:rsid w:val="00FF4D2A"/>
    <w:rsid w:val="00FF54AF"/>
    <w:rsid w:val="00FF5BA0"/>
    <w:rsid w:val="00FF5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C1DF"/>
  <w14:defaultImageDpi w14:val="32767"/>
  <w15:docId w15:val="{1B167ACC-1270-423E-B440-7DC23339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A90"/>
  </w:style>
  <w:style w:type="paragraph" w:styleId="1">
    <w:name w:val="heading 1"/>
    <w:basedOn w:val="a"/>
    <w:next w:val="a"/>
    <w:link w:val="10"/>
    <w:uiPriority w:val="9"/>
    <w:qFormat/>
    <w:rsid w:val="0068328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5B86"/>
    <w:pPr>
      <w:tabs>
        <w:tab w:val="center" w:pos="4677"/>
        <w:tab w:val="right" w:pos="9355"/>
      </w:tabs>
    </w:pPr>
  </w:style>
  <w:style w:type="character" w:customStyle="1" w:styleId="a4">
    <w:name w:val="Нижній колонтитул Знак"/>
    <w:basedOn w:val="a0"/>
    <w:link w:val="a3"/>
    <w:uiPriority w:val="99"/>
    <w:rsid w:val="00E45B86"/>
  </w:style>
  <w:style w:type="character" w:styleId="a5">
    <w:name w:val="page number"/>
    <w:basedOn w:val="a0"/>
    <w:uiPriority w:val="99"/>
    <w:semiHidden/>
    <w:unhideWhenUsed/>
    <w:rsid w:val="00E45B86"/>
  </w:style>
  <w:style w:type="table" w:styleId="a6">
    <w:name w:val="Table Grid"/>
    <w:basedOn w:val="a1"/>
    <w:uiPriority w:val="39"/>
    <w:rsid w:val="0085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93D19"/>
    <w:pPr>
      <w:tabs>
        <w:tab w:val="center" w:pos="4677"/>
        <w:tab w:val="right" w:pos="9355"/>
      </w:tabs>
    </w:pPr>
  </w:style>
  <w:style w:type="character" w:customStyle="1" w:styleId="a8">
    <w:name w:val="Верхній колонтитул Знак"/>
    <w:basedOn w:val="a0"/>
    <w:link w:val="a7"/>
    <w:uiPriority w:val="99"/>
    <w:rsid w:val="00D93D19"/>
  </w:style>
  <w:style w:type="paragraph" w:styleId="a9">
    <w:name w:val="List Paragraph"/>
    <w:basedOn w:val="a"/>
    <w:uiPriority w:val="34"/>
    <w:qFormat/>
    <w:rsid w:val="001D5741"/>
    <w:pPr>
      <w:ind w:left="720"/>
      <w:contextualSpacing/>
    </w:pPr>
  </w:style>
  <w:style w:type="paragraph" w:styleId="aa">
    <w:name w:val="Revision"/>
    <w:hidden/>
    <w:uiPriority w:val="99"/>
    <w:semiHidden/>
    <w:rsid w:val="00C87A95"/>
  </w:style>
  <w:style w:type="paragraph" w:styleId="ab">
    <w:name w:val="Normal (Web)"/>
    <w:basedOn w:val="a"/>
    <w:uiPriority w:val="99"/>
    <w:semiHidden/>
    <w:unhideWhenUsed/>
    <w:rsid w:val="00866BD9"/>
    <w:pPr>
      <w:spacing w:before="100" w:beforeAutospacing="1" w:after="100" w:afterAutospacing="1"/>
    </w:pPr>
    <w:rPr>
      <w:rFonts w:ascii="Times New Roman" w:hAnsi="Times New Roman" w:cs="Times New Roman"/>
      <w:lang w:eastAsia="ru-RU"/>
    </w:rPr>
  </w:style>
  <w:style w:type="character" w:styleId="ac">
    <w:name w:val="Strong"/>
    <w:basedOn w:val="a0"/>
    <w:uiPriority w:val="22"/>
    <w:qFormat/>
    <w:rsid w:val="00866BD9"/>
    <w:rPr>
      <w:b/>
      <w:bCs/>
    </w:rPr>
  </w:style>
  <w:style w:type="paragraph" w:customStyle="1" w:styleId="tabl-shapka">
    <w:name w:val="tabl-shapka"/>
    <w:basedOn w:val="a"/>
    <w:rsid w:val="00866BD9"/>
    <w:pPr>
      <w:spacing w:before="100" w:beforeAutospacing="1" w:after="100" w:afterAutospacing="1"/>
    </w:pPr>
    <w:rPr>
      <w:rFonts w:ascii="Times New Roman" w:hAnsi="Times New Roman" w:cs="Times New Roman"/>
      <w:lang w:eastAsia="ru-RU"/>
    </w:rPr>
  </w:style>
  <w:style w:type="paragraph" w:customStyle="1" w:styleId="tabl">
    <w:name w:val="tabl"/>
    <w:basedOn w:val="a"/>
    <w:rsid w:val="00866BD9"/>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866BD9"/>
  </w:style>
  <w:style w:type="paragraph" w:customStyle="1" w:styleId="primechanie">
    <w:name w:val="primechanie"/>
    <w:basedOn w:val="a"/>
    <w:rsid w:val="00866BD9"/>
    <w:pPr>
      <w:spacing w:before="100" w:beforeAutospacing="1" w:after="100" w:afterAutospacing="1"/>
    </w:pPr>
    <w:rPr>
      <w:rFonts w:ascii="Times New Roman" w:hAnsi="Times New Roman" w:cs="Times New Roman"/>
      <w:lang w:eastAsia="ru-RU"/>
    </w:rPr>
  </w:style>
  <w:style w:type="character" w:styleId="ad">
    <w:name w:val="Emphasis"/>
    <w:basedOn w:val="a0"/>
    <w:uiPriority w:val="20"/>
    <w:qFormat/>
    <w:rsid w:val="00866BD9"/>
    <w:rPr>
      <w:i/>
      <w:iCs/>
    </w:rPr>
  </w:style>
  <w:style w:type="character" w:styleId="ae">
    <w:name w:val="Hyperlink"/>
    <w:basedOn w:val="a0"/>
    <w:uiPriority w:val="99"/>
    <w:unhideWhenUsed/>
    <w:rsid w:val="005D4573"/>
    <w:rPr>
      <w:color w:val="0563C1" w:themeColor="hyperlink"/>
      <w:u w:val="single"/>
    </w:rPr>
  </w:style>
  <w:style w:type="table" w:customStyle="1" w:styleId="11">
    <w:name w:val="Сітка таблиці (світла)1"/>
    <w:basedOn w:val="a1"/>
    <w:uiPriority w:val="40"/>
    <w:rsid w:val="00CE01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Звичайна таблиця 41"/>
    <w:basedOn w:val="a1"/>
    <w:uiPriority w:val="44"/>
    <w:rsid w:val="00CE01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1">
    <w:name w:val="Таблиця-сітка 2 – акцент 11"/>
    <w:basedOn w:val="a1"/>
    <w:uiPriority w:val="47"/>
    <w:rsid w:val="00CE017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
    <w:name w:val="Balloon Text"/>
    <w:basedOn w:val="a"/>
    <w:link w:val="af0"/>
    <w:uiPriority w:val="99"/>
    <w:semiHidden/>
    <w:unhideWhenUsed/>
    <w:rsid w:val="006C7989"/>
    <w:rPr>
      <w:rFonts w:ascii="Tahoma" w:hAnsi="Tahoma" w:cs="Tahoma"/>
      <w:sz w:val="16"/>
      <w:szCs w:val="16"/>
    </w:rPr>
  </w:style>
  <w:style w:type="character" w:customStyle="1" w:styleId="af0">
    <w:name w:val="Текст у виносці Знак"/>
    <w:basedOn w:val="a0"/>
    <w:link w:val="af"/>
    <w:uiPriority w:val="99"/>
    <w:semiHidden/>
    <w:rsid w:val="006C7989"/>
    <w:rPr>
      <w:rFonts w:ascii="Tahoma" w:hAnsi="Tahoma" w:cs="Tahoma"/>
      <w:sz w:val="16"/>
      <w:szCs w:val="16"/>
    </w:rPr>
  </w:style>
  <w:style w:type="character" w:customStyle="1" w:styleId="af1">
    <w:name w:val="Схема документа Знак"/>
    <w:basedOn w:val="a0"/>
    <w:link w:val="af2"/>
    <w:uiPriority w:val="99"/>
    <w:semiHidden/>
    <w:rsid w:val="00BA5C0A"/>
    <w:rPr>
      <w:rFonts w:ascii="Times New Roman" w:hAnsi="Times New Roman" w:cs="Times New Roman"/>
    </w:rPr>
  </w:style>
  <w:style w:type="paragraph" w:styleId="af2">
    <w:name w:val="Document Map"/>
    <w:basedOn w:val="a"/>
    <w:link w:val="af1"/>
    <w:uiPriority w:val="99"/>
    <w:semiHidden/>
    <w:unhideWhenUsed/>
    <w:rsid w:val="00BA5C0A"/>
    <w:rPr>
      <w:rFonts w:ascii="Times New Roman" w:hAnsi="Times New Roman" w:cs="Times New Roman"/>
    </w:rPr>
  </w:style>
  <w:style w:type="character" w:customStyle="1" w:styleId="10">
    <w:name w:val="Заголовок 1 Знак"/>
    <w:basedOn w:val="a0"/>
    <w:link w:val="1"/>
    <w:uiPriority w:val="9"/>
    <w:rsid w:val="00683289"/>
    <w:rPr>
      <w:rFonts w:asciiTheme="majorHAnsi" w:eastAsiaTheme="majorEastAsia" w:hAnsiTheme="majorHAnsi" w:cstheme="majorBidi"/>
      <w:color w:val="2E74B5" w:themeColor="accent1" w:themeShade="BF"/>
      <w:sz w:val="32"/>
      <w:szCs w:val="32"/>
    </w:rPr>
  </w:style>
  <w:style w:type="table" w:styleId="-41">
    <w:name w:val="Grid Table 4 Accent 1"/>
    <w:basedOn w:val="a1"/>
    <w:uiPriority w:val="49"/>
    <w:rsid w:val="00830AE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38380">
      <w:bodyDiv w:val="1"/>
      <w:marLeft w:val="0"/>
      <w:marRight w:val="0"/>
      <w:marTop w:val="0"/>
      <w:marBottom w:val="0"/>
      <w:divBdr>
        <w:top w:val="none" w:sz="0" w:space="0" w:color="auto"/>
        <w:left w:val="none" w:sz="0" w:space="0" w:color="auto"/>
        <w:bottom w:val="none" w:sz="0" w:space="0" w:color="auto"/>
        <w:right w:val="none" w:sz="0" w:space="0" w:color="auto"/>
      </w:divBdr>
    </w:div>
    <w:div w:id="357196623">
      <w:bodyDiv w:val="1"/>
      <w:marLeft w:val="0"/>
      <w:marRight w:val="0"/>
      <w:marTop w:val="0"/>
      <w:marBottom w:val="0"/>
      <w:divBdr>
        <w:top w:val="none" w:sz="0" w:space="0" w:color="auto"/>
        <w:left w:val="none" w:sz="0" w:space="0" w:color="auto"/>
        <w:bottom w:val="none" w:sz="0" w:space="0" w:color="auto"/>
        <w:right w:val="none" w:sz="0" w:space="0" w:color="auto"/>
      </w:divBdr>
    </w:div>
    <w:div w:id="490408737">
      <w:bodyDiv w:val="1"/>
      <w:marLeft w:val="0"/>
      <w:marRight w:val="0"/>
      <w:marTop w:val="0"/>
      <w:marBottom w:val="0"/>
      <w:divBdr>
        <w:top w:val="none" w:sz="0" w:space="0" w:color="auto"/>
        <w:left w:val="none" w:sz="0" w:space="0" w:color="auto"/>
        <w:bottom w:val="none" w:sz="0" w:space="0" w:color="auto"/>
        <w:right w:val="none" w:sz="0" w:space="0" w:color="auto"/>
      </w:divBdr>
    </w:div>
    <w:div w:id="580212341">
      <w:bodyDiv w:val="1"/>
      <w:marLeft w:val="0"/>
      <w:marRight w:val="0"/>
      <w:marTop w:val="0"/>
      <w:marBottom w:val="0"/>
      <w:divBdr>
        <w:top w:val="none" w:sz="0" w:space="0" w:color="auto"/>
        <w:left w:val="none" w:sz="0" w:space="0" w:color="auto"/>
        <w:bottom w:val="none" w:sz="0" w:space="0" w:color="auto"/>
        <w:right w:val="none" w:sz="0" w:space="0" w:color="auto"/>
      </w:divBdr>
    </w:div>
    <w:div w:id="630480501">
      <w:bodyDiv w:val="1"/>
      <w:marLeft w:val="0"/>
      <w:marRight w:val="0"/>
      <w:marTop w:val="0"/>
      <w:marBottom w:val="0"/>
      <w:divBdr>
        <w:top w:val="none" w:sz="0" w:space="0" w:color="auto"/>
        <w:left w:val="none" w:sz="0" w:space="0" w:color="auto"/>
        <w:bottom w:val="none" w:sz="0" w:space="0" w:color="auto"/>
        <w:right w:val="none" w:sz="0" w:space="0" w:color="auto"/>
      </w:divBdr>
    </w:div>
    <w:div w:id="1061290426">
      <w:bodyDiv w:val="1"/>
      <w:marLeft w:val="0"/>
      <w:marRight w:val="0"/>
      <w:marTop w:val="0"/>
      <w:marBottom w:val="0"/>
      <w:divBdr>
        <w:top w:val="none" w:sz="0" w:space="0" w:color="auto"/>
        <w:left w:val="none" w:sz="0" w:space="0" w:color="auto"/>
        <w:bottom w:val="none" w:sz="0" w:space="0" w:color="auto"/>
        <w:right w:val="none" w:sz="0" w:space="0" w:color="auto"/>
      </w:divBdr>
    </w:div>
    <w:div w:id="1167356022">
      <w:bodyDiv w:val="1"/>
      <w:marLeft w:val="0"/>
      <w:marRight w:val="0"/>
      <w:marTop w:val="0"/>
      <w:marBottom w:val="0"/>
      <w:divBdr>
        <w:top w:val="none" w:sz="0" w:space="0" w:color="auto"/>
        <w:left w:val="none" w:sz="0" w:space="0" w:color="auto"/>
        <w:bottom w:val="none" w:sz="0" w:space="0" w:color="auto"/>
        <w:right w:val="none" w:sz="0" w:space="0" w:color="auto"/>
      </w:divBdr>
    </w:div>
    <w:div w:id="1220744206">
      <w:bodyDiv w:val="1"/>
      <w:marLeft w:val="0"/>
      <w:marRight w:val="0"/>
      <w:marTop w:val="0"/>
      <w:marBottom w:val="0"/>
      <w:divBdr>
        <w:top w:val="none" w:sz="0" w:space="0" w:color="auto"/>
        <w:left w:val="none" w:sz="0" w:space="0" w:color="auto"/>
        <w:bottom w:val="none" w:sz="0" w:space="0" w:color="auto"/>
        <w:right w:val="none" w:sz="0" w:space="0" w:color="auto"/>
      </w:divBdr>
    </w:div>
    <w:div w:id="1632521007">
      <w:bodyDiv w:val="1"/>
      <w:marLeft w:val="0"/>
      <w:marRight w:val="0"/>
      <w:marTop w:val="0"/>
      <w:marBottom w:val="0"/>
      <w:divBdr>
        <w:top w:val="none" w:sz="0" w:space="0" w:color="auto"/>
        <w:left w:val="none" w:sz="0" w:space="0" w:color="auto"/>
        <w:bottom w:val="none" w:sz="0" w:space="0" w:color="auto"/>
        <w:right w:val="none" w:sz="0" w:space="0" w:color="auto"/>
      </w:divBdr>
    </w:div>
    <w:div w:id="1839995879">
      <w:bodyDiv w:val="1"/>
      <w:marLeft w:val="0"/>
      <w:marRight w:val="0"/>
      <w:marTop w:val="0"/>
      <w:marBottom w:val="0"/>
      <w:divBdr>
        <w:top w:val="none" w:sz="0" w:space="0" w:color="auto"/>
        <w:left w:val="none" w:sz="0" w:space="0" w:color="auto"/>
        <w:bottom w:val="none" w:sz="0" w:space="0" w:color="auto"/>
        <w:right w:val="none" w:sz="0" w:space="0" w:color="auto"/>
      </w:divBdr>
    </w:div>
    <w:div w:id="1859729857">
      <w:bodyDiv w:val="1"/>
      <w:marLeft w:val="0"/>
      <w:marRight w:val="0"/>
      <w:marTop w:val="0"/>
      <w:marBottom w:val="0"/>
      <w:divBdr>
        <w:top w:val="none" w:sz="0" w:space="0" w:color="auto"/>
        <w:left w:val="none" w:sz="0" w:space="0" w:color="auto"/>
        <w:bottom w:val="none" w:sz="0" w:space="0" w:color="auto"/>
        <w:right w:val="none" w:sz="0" w:space="0" w:color="auto"/>
      </w:divBdr>
    </w:div>
    <w:div w:id="2031451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p-druginteractions.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EBEA285AC0904F879250E81F7DEF62"/>
        <w:category>
          <w:name w:val="Общие"/>
          <w:gallery w:val="placeholder"/>
        </w:category>
        <w:types>
          <w:type w:val="bbPlcHdr"/>
        </w:types>
        <w:behaviors>
          <w:behavior w:val="content"/>
        </w:behaviors>
        <w:guid w:val="{1692EA59-6EED-2348-BF02-57C0568BD234}"/>
      </w:docPartPr>
      <w:docPartBody>
        <w:p w:rsidR="008A43D5" w:rsidRDefault="008A43D5" w:rsidP="008A43D5">
          <w:pPr>
            <w:pStyle w:val="4FEBEA285AC0904F879250E81F7DEF62"/>
          </w:pPr>
          <w:r>
            <w:rPr>
              <w:caps/>
              <w:color w:val="FFFFFF" w:themeColor="background1"/>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3D5"/>
    <w:rsid w:val="0001319C"/>
    <w:rsid w:val="00054E41"/>
    <w:rsid w:val="00061687"/>
    <w:rsid w:val="0012247C"/>
    <w:rsid w:val="00263C0D"/>
    <w:rsid w:val="002E3B00"/>
    <w:rsid w:val="002F03A4"/>
    <w:rsid w:val="00302D9E"/>
    <w:rsid w:val="00350C59"/>
    <w:rsid w:val="0035288F"/>
    <w:rsid w:val="005538EE"/>
    <w:rsid w:val="00563863"/>
    <w:rsid w:val="00776435"/>
    <w:rsid w:val="007C3442"/>
    <w:rsid w:val="0080327A"/>
    <w:rsid w:val="008A43D5"/>
    <w:rsid w:val="00924B86"/>
    <w:rsid w:val="00A6223F"/>
    <w:rsid w:val="00BD7A85"/>
    <w:rsid w:val="00EE31DD"/>
    <w:rsid w:val="00F41596"/>
    <w:rsid w:val="00F81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57BE258421CD40BAFABCE910EE3209">
    <w:name w:val="2157BE258421CD40BAFABCE910EE3209"/>
    <w:rsid w:val="008A43D5"/>
  </w:style>
  <w:style w:type="paragraph" w:customStyle="1" w:styleId="4FEBEA285AC0904F879250E81F7DEF62">
    <w:name w:val="4FEBEA285AC0904F879250E81F7DEF62"/>
    <w:rsid w:val="008A4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FA6EF6-4297-45F4-A8A1-F8E1744B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89</Pages>
  <Words>195724</Words>
  <Characters>111564</Characters>
  <Application>Microsoft Office Word</Application>
  <DocSecurity>0</DocSecurity>
  <Lines>929</Lines>
  <Paragraphs>613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306675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Рекомендації Європейської асоціації з дослідження печінки (EASL) щодо лікування гепатиту С, 2018</dc:creator>
  <cp:lastModifiedBy>Olena Bidovanets</cp:lastModifiedBy>
  <cp:revision>6</cp:revision>
  <cp:lastPrinted>2019-03-29T09:14:00Z</cp:lastPrinted>
  <dcterms:created xsi:type="dcterms:W3CDTF">2019-04-09T05:30:00Z</dcterms:created>
  <dcterms:modified xsi:type="dcterms:W3CDTF">2020-07-03T06:41:00Z</dcterms:modified>
</cp:coreProperties>
</file>