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B9" w:rsidRPr="00994D0B" w:rsidRDefault="00994D0B" w:rsidP="00994D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  <w:bookmarkStart w:id="0" w:name="_GoBack"/>
      <w:bookmarkEnd w:id="0"/>
      <w:r w:rsidRPr="00994D0B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t>Реліз оновлень реєстру хворих на туберкульоз від 19.10.2016</w:t>
      </w:r>
    </w:p>
    <w:p w:rsidR="008C02B9" w:rsidRPr="00994D0B" w:rsidRDefault="008C02B9" w:rsidP="00994D0B">
      <w:pPr>
        <w:pStyle w:val="1"/>
        <w:tabs>
          <w:tab w:val="left" w:pos="1603"/>
        </w:tabs>
        <w:jc w:val="both"/>
        <w:rPr>
          <w:rFonts w:ascii="Times New Roman" w:eastAsia="Times New Roman" w:hAnsi="Times New Roman" w:cs="Times New Roman"/>
          <w:sz w:val="28"/>
        </w:rPr>
      </w:pPr>
      <w:r w:rsidRPr="00994D0B">
        <w:rPr>
          <w:rFonts w:ascii="Times New Roman" w:eastAsia="Times New Roman" w:hAnsi="Times New Roman" w:cs="Times New Roman"/>
          <w:sz w:val="28"/>
        </w:rPr>
        <w:t>Ціль</w:t>
      </w:r>
      <w:r w:rsidR="00994D0B">
        <w:rPr>
          <w:rFonts w:ascii="Times New Roman" w:eastAsia="Times New Roman" w:hAnsi="Times New Roman" w:cs="Times New Roman"/>
          <w:sz w:val="28"/>
        </w:rPr>
        <w:tab/>
      </w:r>
    </w:p>
    <w:p w:rsidR="00E445EC" w:rsidRPr="00994D0B" w:rsidRDefault="00E445EC" w:rsidP="00994D0B">
      <w:pPr>
        <w:pStyle w:val="a3"/>
        <w:numPr>
          <w:ilvl w:val="0"/>
          <w:numId w:val="2"/>
        </w:num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0B">
        <w:rPr>
          <w:rFonts w:ascii="Times New Roman" w:eastAsia="Calibri" w:hAnsi="Times New Roman" w:cs="Times New Roman"/>
          <w:sz w:val="28"/>
          <w:szCs w:val="28"/>
        </w:rPr>
        <w:t>закрити можливість затвердження випадку без наявної дати ЦЛКК;</w:t>
      </w:r>
    </w:p>
    <w:p w:rsidR="008A164E" w:rsidRPr="00994D0B" w:rsidRDefault="008A164E" w:rsidP="00994D0B">
      <w:pPr>
        <w:pStyle w:val="a3"/>
        <w:numPr>
          <w:ilvl w:val="0"/>
          <w:numId w:val="2"/>
        </w:num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0B">
        <w:rPr>
          <w:rFonts w:ascii="Times New Roman" w:eastAsia="Calibri" w:hAnsi="Times New Roman" w:cs="Times New Roman"/>
          <w:sz w:val="28"/>
          <w:szCs w:val="28"/>
        </w:rPr>
        <w:t>закрити можливість редагування та створення випадків по вже закритим національнім звітам;</w:t>
      </w:r>
    </w:p>
    <w:p w:rsidR="008A164E" w:rsidRPr="00994D0B" w:rsidRDefault="008A164E" w:rsidP="00994D0B">
      <w:pPr>
        <w:pStyle w:val="a3"/>
        <w:numPr>
          <w:ilvl w:val="0"/>
          <w:numId w:val="2"/>
        </w:num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0B">
        <w:rPr>
          <w:rFonts w:ascii="Times New Roman" w:eastAsia="Calibri" w:hAnsi="Times New Roman" w:cs="Times New Roman"/>
          <w:sz w:val="28"/>
          <w:szCs w:val="28"/>
        </w:rPr>
        <w:t xml:space="preserve">внести зміни в назвах </w:t>
      </w:r>
      <w:r w:rsidR="00994D0B">
        <w:rPr>
          <w:rFonts w:ascii="Times New Roman" w:eastAsia="Calibri" w:hAnsi="Times New Roman" w:cs="Times New Roman"/>
          <w:sz w:val="28"/>
          <w:szCs w:val="28"/>
        </w:rPr>
        <w:t>фільтрів «Місце проживання» та «Адреса пацієнта»</w:t>
      </w:r>
      <w:r w:rsidRPr="00994D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169A" w:rsidRPr="00994D0B" w:rsidRDefault="00994D0B" w:rsidP="00994D0B">
      <w:pPr>
        <w:pStyle w:val="a3"/>
        <w:numPr>
          <w:ilvl w:val="0"/>
          <w:numId w:val="2"/>
        </w:num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додати в «Аналіз даних» можливість побудування звіту щодо </w:t>
      </w:r>
      <w:r w:rsidR="0081169A" w:rsidRPr="00994D0B">
        <w:rPr>
          <w:rFonts w:ascii="Times New Roman" w:eastAsia="Calibri" w:hAnsi="Times New Roman" w:cs="Times New Roman"/>
          <w:sz w:val="28"/>
          <w:szCs w:val="28"/>
        </w:rPr>
        <w:t>поточного лікування;</w:t>
      </w:r>
    </w:p>
    <w:p w:rsidR="0081169A" w:rsidRPr="00994D0B" w:rsidRDefault="00994D0B" w:rsidP="00994D0B">
      <w:pPr>
        <w:pStyle w:val="a3"/>
        <w:numPr>
          <w:ilvl w:val="0"/>
          <w:numId w:val="2"/>
        </w:num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додати в «Аналіз даних»</w:t>
      </w:r>
      <w:r w:rsidR="0081169A" w:rsidRPr="00994D0B">
        <w:rPr>
          <w:rFonts w:ascii="Times New Roman" w:eastAsia="Calibri" w:hAnsi="Times New Roman" w:cs="Times New Roman"/>
          <w:sz w:val="28"/>
          <w:szCs w:val="28"/>
        </w:rPr>
        <w:t xml:space="preserve"> інструменти для звітів по призначеним препаратам;</w:t>
      </w:r>
    </w:p>
    <w:p w:rsidR="0081169A" w:rsidRPr="00994D0B" w:rsidRDefault="00994D0B" w:rsidP="00994D0B">
      <w:pPr>
        <w:pStyle w:val="a3"/>
        <w:numPr>
          <w:ilvl w:val="0"/>
          <w:numId w:val="2"/>
        </w:num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додати в «Аналіз даних»</w:t>
      </w:r>
      <w:r w:rsidR="0081169A" w:rsidRPr="00994D0B">
        <w:rPr>
          <w:rFonts w:ascii="Times New Roman" w:eastAsia="Calibri" w:hAnsi="Times New Roman" w:cs="Times New Roman"/>
          <w:sz w:val="28"/>
          <w:szCs w:val="28"/>
        </w:rPr>
        <w:t xml:space="preserve"> інструменти для звітів лабораторно і бактеріологічно підтверджених випадків;</w:t>
      </w:r>
    </w:p>
    <w:p w:rsidR="0081169A" w:rsidRPr="00994D0B" w:rsidRDefault="00994D0B" w:rsidP="00994D0B">
      <w:pPr>
        <w:pStyle w:val="a3"/>
        <w:numPr>
          <w:ilvl w:val="0"/>
          <w:numId w:val="2"/>
        </w:num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додати в «Аналіз даних»</w:t>
      </w:r>
      <w:r w:rsidR="0081169A" w:rsidRPr="00994D0B">
        <w:rPr>
          <w:rFonts w:ascii="Times New Roman" w:eastAsia="Calibri" w:hAnsi="Times New Roman" w:cs="Times New Roman"/>
          <w:sz w:val="28"/>
          <w:szCs w:val="28"/>
        </w:rPr>
        <w:t xml:space="preserve"> інструменти для звітів по перерві лікування протягом перших 6 місяців;</w:t>
      </w:r>
    </w:p>
    <w:p w:rsidR="0081169A" w:rsidRPr="00994D0B" w:rsidRDefault="0081169A" w:rsidP="00994D0B">
      <w:pPr>
        <w:pStyle w:val="a3"/>
        <w:numPr>
          <w:ilvl w:val="0"/>
          <w:numId w:val="2"/>
        </w:num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0B">
        <w:rPr>
          <w:rFonts w:ascii="Times New Roman" w:eastAsia="Calibri" w:hAnsi="Times New Roman" w:cs="Times New Roman"/>
          <w:sz w:val="28"/>
          <w:szCs w:val="28"/>
        </w:rPr>
        <w:t>згрупувати філ</w:t>
      </w:r>
      <w:r w:rsidR="00994D0B">
        <w:rPr>
          <w:rFonts w:ascii="Times New Roman" w:eastAsia="Calibri" w:hAnsi="Times New Roman" w:cs="Times New Roman"/>
          <w:sz w:val="28"/>
          <w:szCs w:val="28"/>
        </w:rPr>
        <w:t>ьтри лабораторних досліджень в «Аналізі даних»</w:t>
      </w:r>
      <w:r w:rsidRPr="00994D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169A" w:rsidRPr="00994D0B" w:rsidRDefault="0081169A" w:rsidP="00994D0B">
      <w:pPr>
        <w:pStyle w:val="a3"/>
        <w:numPr>
          <w:ilvl w:val="0"/>
          <w:numId w:val="2"/>
        </w:num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0B">
        <w:rPr>
          <w:rFonts w:ascii="Times New Roman" w:eastAsia="Calibri" w:hAnsi="Times New Roman" w:cs="Times New Roman"/>
          <w:sz w:val="28"/>
          <w:szCs w:val="28"/>
        </w:rPr>
        <w:t>додати можливість позначити існуючі передання, як ГФ для ДБ;</w:t>
      </w:r>
    </w:p>
    <w:p w:rsidR="00DA6AC0" w:rsidRPr="00994D0B" w:rsidRDefault="0081169A" w:rsidP="00994D0B">
      <w:pPr>
        <w:pStyle w:val="a3"/>
        <w:numPr>
          <w:ilvl w:val="0"/>
          <w:numId w:val="2"/>
        </w:num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0B">
        <w:rPr>
          <w:rFonts w:ascii="Times New Roman" w:eastAsia="Calibri" w:hAnsi="Times New Roman" w:cs="Times New Roman"/>
          <w:sz w:val="28"/>
          <w:szCs w:val="28"/>
        </w:rPr>
        <w:t>додати можливість виключити залишки Нац.</w:t>
      </w:r>
      <w:r w:rsidR="00994D0B">
        <w:rPr>
          <w:rFonts w:ascii="Times New Roman" w:eastAsia="Calibri" w:hAnsi="Times New Roman" w:cs="Times New Roman"/>
          <w:sz w:val="28"/>
          <w:szCs w:val="28"/>
        </w:rPr>
        <w:t xml:space="preserve"> складу зі «Звіту по країні»</w:t>
      </w:r>
      <w:r w:rsidR="00DA6AC0" w:rsidRPr="00994D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2738" w:rsidRPr="00994D0B" w:rsidRDefault="00DA6AC0" w:rsidP="00994D0B">
      <w:pPr>
        <w:pStyle w:val="a3"/>
        <w:numPr>
          <w:ilvl w:val="0"/>
          <w:numId w:val="2"/>
        </w:numPr>
        <w:spacing w:after="160" w:line="259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4D0B">
        <w:rPr>
          <w:rFonts w:ascii="Times New Roman" w:eastAsia="Calibri" w:hAnsi="Times New Roman" w:cs="Times New Roman"/>
          <w:sz w:val="28"/>
          <w:szCs w:val="28"/>
        </w:rPr>
        <w:t>виправити відображення імені користувача, що отримав передання</w:t>
      </w:r>
      <w:r w:rsidR="00994D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2B9" w:rsidRPr="00994D0B" w:rsidRDefault="008C02B9" w:rsidP="00994D0B">
      <w:pPr>
        <w:pStyle w:val="1"/>
        <w:jc w:val="both"/>
        <w:rPr>
          <w:rFonts w:ascii="Times New Roman" w:eastAsia="Times New Roman" w:hAnsi="Times New Roman" w:cs="Times New Roman"/>
          <w:sz w:val="28"/>
        </w:rPr>
      </w:pPr>
      <w:r w:rsidRPr="00994D0B">
        <w:rPr>
          <w:rFonts w:ascii="Times New Roman" w:eastAsia="Times New Roman" w:hAnsi="Times New Roman" w:cs="Times New Roman"/>
          <w:sz w:val="28"/>
        </w:rPr>
        <w:t>Зміни у програмному забезпеченні</w:t>
      </w:r>
    </w:p>
    <w:p w:rsidR="008438CD" w:rsidRPr="00994D0B" w:rsidRDefault="00E445EC" w:rsidP="00994D0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Затвердження випадку</w:t>
      </w:r>
    </w:p>
    <w:p w:rsidR="00E445EC" w:rsidRPr="00994D0B" w:rsidRDefault="00C67836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b/>
          <w:sz w:val="28"/>
          <w:szCs w:val="28"/>
        </w:rPr>
        <w:t>1)</w:t>
      </w:r>
      <w:r w:rsidRPr="00994D0B">
        <w:rPr>
          <w:rFonts w:ascii="Times New Roman" w:hAnsi="Times New Roman" w:cs="Times New Roman"/>
          <w:sz w:val="28"/>
          <w:szCs w:val="28"/>
        </w:rPr>
        <w:t xml:space="preserve"> Для </w:t>
      </w:r>
      <w:r w:rsidR="00994D0B">
        <w:rPr>
          <w:rFonts w:ascii="Times New Roman" w:hAnsi="Times New Roman" w:cs="Times New Roman"/>
          <w:sz w:val="28"/>
          <w:szCs w:val="28"/>
        </w:rPr>
        <w:t>випадку</w:t>
      </w:r>
      <w:r w:rsidRPr="00994D0B">
        <w:rPr>
          <w:rFonts w:ascii="Times New Roman" w:hAnsi="Times New Roman" w:cs="Times New Roman"/>
          <w:sz w:val="28"/>
          <w:szCs w:val="28"/>
        </w:rPr>
        <w:t xml:space="preserve"> ТБ з</w:t>
      </w:r>
      <w:r w:rsidR="00E445EC" w:rsidRPr="00994D0B">
        <w:rPr>
          <w:rFonts w:ascii="Times New Roman" w:hAnsi="Times New Roman" w:cs="Times New Roman"/>
          <w:sz w:val="28"/>
          <w:szCs w:val="28"/>
        </w:rPr>
        <w:t xml:space="preserve">алишалась можливість затвердити випадок без жодного висновку ЦЛКК. Через це номер випадку присвоювався </w:t>
      </w:r>
      <w:r w:rsidRPr="00994D0B">
        <w:rPr>
          <w:rFonts w:ascii="Times New Roman" w:hAnsi="Times New Roman" w:cs="Times New Roman"/>
          <w:sz w:val="28"/>
          <w:szCs w:val="28"/>
        </w:rPr>
        <w:t>невірно і виникала ситуація одна</w:t>
      </w:r>
      <w:r w:rsidR="00E445EC" w:rsidRPr="00994D0B">
        <w:rPr>
          <w:rFonts w:ascii="Times New Roman" w:hAnsi="Times New Roman" w:cs="Times New Roman"/>
          <w:sz w:val="28"/>
          <w:szCs w:val="28"/>
        </w:rPr>
        <w:t>кових номерів між декількома випадками.</w:t>
      </w:r>
    </w:p>
    <w:p w:rsidR="00E445EC" w:rsidRPr="00994D0B" w:rsidRDefault="00E445EC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Було:</w:t>
      </w:r>
    </w:p>
    <w:p w:rsidR="00E445EC" w:rsidRPr="00994D0B" w:rsidRDefault="00E445EC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392792" wp14:editId="7CAFCE92">
            <wp:extent cx="6122958" cy="1388852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74" b="11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58" cy="1388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5EC" w:rsidRPr="00994D0B" w:rsidRDefault="00E445EC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Зараз:</w:t>
      </w:r>
    </w:p>
    <w:p w:rsidR="00E445EC" w:rsidRPr="00994D0B" w:rsidRDefault="00E445EC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94C2A0" wp14:editId="08FB839E">
            <wp:extent cx="6122958" cy="1388853"/>
            <wp:effectExtent l="19050" t="0" r="0" b="0"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809" b="6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58" cy="1388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836" w:rsidRPr="00994D0B" w:rsidRDefault="00C67836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b/>
          <w:sz w:val="28"/>
          <w:szCs w:val="28"/>
        </w:rPr>
        <w:t>2)</w:t>
      </w:r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r w:rsidR="0081169A" w:rsidRPr="00994D0B">
        <w:rPr>
          <w:rFonts w:ascii="Times New Roman" w:hAnsi="Times New Roman" w:cs="Times New Roman"/>
          <w:sz w:val="28"/>
          <w:szCs w:val="28"/>
        </w:rPr>
        <w:t xml:space="preserve">Також, з метою уникнення ситуацій існування затверджених випадків без </w:t>
      </w:r>
      <w:r w:rsidRPr="00994D0B">
        <w:rPr>
          <w:rFonts w:ascii="Times New Roman" w:hAnsi="Times New Roman" w:cs="Times New Roman"/>
          <w:sz w:val="28"/>
          <w:szCs w:val="28"/>
        </w:rPr>
        <w:t xml:space="preserve">жодної </w:t>
      </w:r>
      <w:r w:rsidR="0081169A" w:rsidRPr="00994D0B">
        <w:rPr>
          <w:rFonts w:ascii="Times New Roman" w:hAnsi="Times New Roman" w:cs="Times New Roman"/>
          <w:sz w:val="28"/>
          <w:szCs w:val="28"/>
        </w:rPr>
        <w:t>дати ЦЛКК, доданий механізм, при якому при видаленні всіх висновків ЦЛКК випадок знову стає не затвердженим</w:t>
      </w:r>
      <w:r w:rsidRPr="00994D0B">
        <w:rPr>
          <w:rFonts w:ascii="Times New Roman" w:hAnsi="Times New Roman" w:cs="Times New Roman"/>
          <w:sz w:val="28"/>
          <w:szCs w:val="28"/>
        </w:rPr>
        <w:t>, що вимагає від користувача додати висновок ЦЛКК для того щоб випадок потрапляв до звітів (не затверджені випадки до звітів не потрапляють).</w:t>
      </w:r>
    </w:p>
    <w:p w:rsidR="00C67836" w:rsidRPr="00994D0B" w:rsidRDefault="00C67836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b/>
          <w:sz w:val="28"/>
          <w:szCs w:val="28"/>
        </w:rPr>
        <w:t>3)</w:t>
      </w:r>
      <w:r w:rsidRPr="00994D0B">
        <w:rPr>
          <w:rFonts w:ascii="Times New Roman" w:hAnsi="Times New Roman" w:cs="Times New Roman"/>
          <w:sz w:val="28"/>
          <w:szCs w:val="28"/>
        </w:rPr>
        <w:t xml:space="preserve"> Для того щоб закрити можливість створювати випадки по вже закритим національнім звітам, введено обмеження на д</w:t>
      </w:r>
      <w:r w:rsidR="00994D0B">
        <w:rPr>
          <w:rFonts w:ascii="Times New Roman" w:hAnsi="Times New Roman" w:cs="Times New Roman"/>
          <w:sz w:val="28"/>
          <w:szCs w:val="28"/>
        </w:rPr>
        <w:t>ату ЦЛКК (форма висновку ЦЛКК).</w:t>
      </w:r>
      <w:r w:rsidR="00994D0B">
        <w:rPr>
          <w:rFonts w:ascii="Times New Roman" w:hAnsi="Times New Roman" w:cs="Times New Roman"/>
          <w:sz w:val="28"/>
          <w:szCs w:val="28"/>
        </w:rPr>
        <w:br/>
        <w:t>Тепер при створенні чи редагуванні в</w:t>
      </w:r>
      <w:r w:rsidRPr="00994D0B">
        <w:rPr>
          <w:rFonts w:ascii="Times New Roman" w:hAnsi="Times New Roman" w:cs="Times New Roman"/>
          <w:sz w:val="28"/>
          <w:szCs w:val="28"/>
        </w:rPr>
        <w:t>исновку ЦЛКК неможливо ввести дату раніше 1 кварталу 2016 року включно:</w:t>
      </w:r>
    </w:p>
    <w:p w:rsidR="009846B5" w:rsidRPr="00994D0B" w:rsidRDefault="00C67836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F4F1E2" wp14:editId="56F02864">
            <wp:extent cx="3379758" cy="25013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758" cy="250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D0B" w:rsidRDefault="009846B5" w:rsidP="00994D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Через те, що випадок без висновків ЦЛКК неможливо затвердити, а до звітів потрапляють лише затверджені випадки, неможливо створити випадок, що потрапить</w:t>
      </w:r>
      <w:r w:rsidR="00B745B9">
        <w:rPr>
          <w:rFonts w:ascii="Times New Roman" w:hAnsi="Times New Roman" w:cs="Times New Roman"/>
          <w:sz w:val="28"/>
          <w:szCs w:val="28"/>
        </w:rPr>
        <w:t> </w:t>
      </w:r>
      <w:r w:rsidRPr="00994D0B">
        <w:rPr>
          <w:rFonts w:ascii="Times New Roman" w:hAnsi="Times New Roman" w:cs="Times New Roman"/>
          <w:sz w:val="28"/>
          <w:szCs w:val="28"/>
        </w:rPr>
        <w:t>у</w:t>
      </w:r>
      <w:r w:rsidR="00B745B9">
        <w:rPr>
          <w:rFonts w:ascii="Times New Roman" w:hAnsi="Times New Roman" w:cs="Times New Roman"/>
          <w:sz w:val="28"/>
          <w:szCs w:val="28"/>
        </w:rPr>
        <w:t> </w:t>
      </w:r>
      <w:r w:rsidRPr="00994D0B">
        <w:rPr>
          <w:rFonts w:ascii="Times New Roman" w:hAnsi="Times New Roman" w:cs="Times New Roman"/>
          <w:sz w:val="28"/>
          <w:szCs w:val="28"/>
        </w:rPr>
        <w:t>вже</w:t>
      </w:r>
      <w:r w:rsidR="00B745B9">
        <w:rPr>
          <w:rFonts w:ascii="Times New Roman" w:hAnsi="Times New Roman" w:cs="Times New Roman"/>
          <w:sz w:val="28"/>
          <w:szCs w:val="28"/>
        </w:rPr>
        <w:t> </w:t>
      </w:r>
      <w:r w:rsidRPr="00994D0B">
        <w:rPr>
          <w:rFonts w:ascii="Times New Roman" w:hAnsi="Times New Roman" w:cs="Times New Roman"/>
          <w:sz w:val="28"/>
          <w:szCs w:val="28"/>
        </w:rPr>
        <w:t>закриті</w:t>
      </w:r>
      <w:r w:rsidR="00B745B9">
        <w:rPr>
          <w:rFonts w:ascii="Times New Roman" w:hAnsi="Times New Roman" w:cs="Times New Roman"/>
          <w:sz w:val="28"/>
          <w:szCs w:val="28"/>
        </w:rPr>
        <w:t> </w:t>
      </w:r>
      <w:r w:rsidRPr="00994D0B">
        <w:rPr>
          <w:rFonts w:ascii="Times New Roman" w:hAnsi="Times New Roman" w:cs="Times New Roman"/>
          <w:sz w:val="28"/>
          <w:szCs w:val="28"/>
        </w:rPr>
        <w:t>звіти.</w:t>
      </w:r>
      <w:r w:rsidR="00C67836" w:rsidRPr="00994D0B">
        <w:rPr>
          <w:rFonts w:ascii="Times New Roman" w:hAnsi="Times New Roman" w:cs="Times New Roman"/>
          <w:sz w:val="28"/>
          <w:szCs w:val="28"/>
        </w:rPr>
        <w:br/>
      </w:r>
    </w:p>
    <w:p w:rsidR="009846B5" w:rsidRDefault="00994D0B" w:rsidP="00994D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!</w:t>
      </w:r>
      <w:r w:rsidR="009846B5" w:rsidRPr="00994D0B">
        <w:rPr>
          <w:rFonts w:ascii="Times New Roman" w:hAnsi="Times New Roman" w:cs="Times New Roman"/>
          <w:b/>
          <w:sz w:val="28"/>
          <w:szCs w:val="28"/>
        </w:rPr>
        <w:t>Це обмеження редагування не стосується національних адміністраторів.</w:t>
      </w:r>
    </w:p>
    <w:p w:rsidR="00994D0B" w:rsidRPr="00994D0B" w:rsidRDefault="00994D0B" w:rsidP="00994D0B">
      <w:pPr>
        <w:tabs>
          <w:tab w:val="left" w:pos="8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846B5" w:rsidRPr="00994D0B" w:rsidRDefault="009846B5" w:rsidP="00994D0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lastRenderedPageBreak/>
        <w:t>Обмеження редагування випадку</w:t>
      </w:r>
    </w:p>
    <w:p w:rsidR="009846B5" w:rsidRPr="00994D0B" w:rsidRDefault="009846B5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Для того щоб закрити можливість редагування випадків по вже закритим національнім звітам, додане обмеження на редагування випадків:</w:t>
      </w:r>
    </w:p>
    <w:p w:rsidR="009846B5" w:rsidRPr="00994D0B" w:rsidRDefault="00994D0B" w:rsidP="00994D0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випадків </w:t>
      </w:r>
      <w:r w:rsidR="009846B5" w:rsidRPr="00994D0B">
        <w:rPr>
          <w:rFonts w:ascii="Times New Roman" w:hAnsi="Times New Roman" w:cs="Times New Roman"/>
          <w:sz w:val="28"/>
          <w:szCs w:val="28"/>
        </w:rPr>
        <w:t>ТБ до 2 кварталу 2015 року включно (перша дата ЦЛКК до 30.06.2015 включно);</w:t>
      </w:r>
    </w:p>
    <w:p w:rsidR="009846B5" w:rsidRPr="00994D0B" w:rsidRDefault="00994D0B" w:rsidP="00994D0B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випадків </w:t>
      </w:r>
      <w:r w:rsidR="009846B5" w:rsidRPr="00994D0B">
        <w:rPr>
          <w:rFonts w:ascii="Times New Roman" w:hAnsi="Times New Roman" w:cs="Times New Roman"/>
          <w:sz w:val="28"/>
          <w:szCs w:val="28"/>
        </w:rPr>
        <w:t>ХР ТБ до 1 кварталу 2014 року включно (перша дата ЦЛКК до 31.03.2014 включно).</w:t>
      </w:r>
    </w:p>
    <w:p w:rsidR="00994D0B" w:rsidRDefault="009846B5" w:rsidP="00994D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 xml:space="preserve">Для таких випадків неможливо редагувати дані випадку, додавати чи редагувати результати досліджень, висновки ЦЛКК, медичні дослідження, лікування, дані у додатку, неможливо закрити, відновити чи видалити випадок. </w:t>
      </w:r>
      <w:r w:rsidR="00C67836" w:rsidRPr="00994D0B">
        <w:rPr>
          <w:rFonts w:ascii="Times New Roman" w:hAnsi="Times New Roman" w:cs="Times New Roman"/>
          <w:sz w:val="28"/>
          <w:szCs w:val="28"/>
        </w:rPr>
        <w:br/>
      </w:r>
    </w:p>
    <w:p w:rsidR="0081169A" w:rsidRPr="00994D0B" w:rsidRDefault="00994D0B" w:rsidP="00994D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!</w:t>
      </w:r>
      <w:r w:rsidR="009846B5" w:rsidRPr="00994D0B">
        <w:rPr>
          <w:rFonts w:ascii="Times New Roman" w:hAnsi="Times New Roman" w:cs="Times New Roman"/>
          <w:b/>
          <w:sz w:val="28"/>
          <w:szCs w:val="28"/>
        </w:rPr>
        <w:t>Це обмеження редагування не стосується національних адміністраторів.</w:t>
      </w:r>
    </w:p>
    <w:p w:rsidR="00C46038" w:rsidRPr="00994D0B" w:rsidRDefault="00C46038" w:rsidP="00994D0B">
      <w:pPr>
        <w:jc w:val="both"/>
        <w:rPr>
          <w:rFonts w:ascii="Times New Roman" w:eastAsiaTheme="majorEastAsia" w:hAnsi="Times New Roman" w:cs="Times New Roman"/>
          <w:bCs/>
          <w:color w:val="4F81BD" w:themeColor="accent1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br w:type="page"/>
      </w:r>
    </w:p>
    <w:p w:rsidR="00903125" w:rsidRPr="00994D0B" w:rsidRDefault="00903125" w:rsidP="00994D0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lastRenderedPageBreak/>
        <w:t>Зміни в назвах</w:t>
      </w:r>
    </w:p>
    <w:p w:rsidR="0015651C" w:rsidRPr="00994D0B" w:rsidRDefault="0015651C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Було</w:t>
      </w:r>
    </w:p>
    <w:p w:rsidR="0015651C" w:rsidRPr="00994D0B" w:rsidRDefault="0015651C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4A747F" wp14:editId="016402C2">
            <wp:extent cx="4738922" cy="493066"/>
            <wp:effectExtent l="19050" t="0" r="4528" b="0"/>
            <wp:docPr id="6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824" cy="49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125" w:rsidRPr="00994D0B" w:rsidRDefault="0015651C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Тепер</w:t>
      </w:r>
      <w:r w:rsidRPr="00994D0B">
        <w:rPr>
          <w:rFonts w:ascii="Times New Roman" w:hAnsi="Times New Roman" w:cs="Times New Roman"/>
          <w:sz w:val="28"/>
          <w:szCs w:val="28"/>
        </w:rPr>
        <w:br/>
      </w:r>
      <w:r w:rsidR="008A164E"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CA7F0D" wp14:editId="177906DE">
            <wp:extent cx="4739589" cy="638354"/>
            <wp:effectExtent l="19050" t="0" r="386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373" cy="638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1C" w:rsidRPr="00994D0B" w:rsidRDefault="0015651C" w:rsidP="00994D0B">
      <w:pPr>
        <w:tabs>
          <w:tab w:val="left" w:pos="36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Аналіз даних:</w:t>
      </w:r>
      <w:r w:rsidRPr="00994D0B">
        <w:rPr>
          <w:rFonts w:ascii="Times New Roman" w:hAnsi="Times New Roman" w:cs="Times New Roman"/>
          <w:sz w:val="28"/>
          <w:szCs w:val="28"/>
        </w:rPr>
        <w:br/>
        <w:t>Було</w:t>
      </w:r>
      <w:r w:rsidRPr="00994D0B">
        <w:rPr>
          <w:rFonts w:ascii="Times New Roman" w:hAnsi="Times New Roman" w:cs="Times New Roman"/>
          <w:sz w:val="28"/>
          <w:szCs w:val="28"/>
        </w:rPr>
        <w:tab/>
        <w:t>Зараз</w:t>
      </w:r>
    </w:p>
    <w:p w:rsidR="008A164E" w:rsidRPr="00994D0B" w:rsidRDefault="0015651C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093C4E" wp14:editId="125B4505">
            <wp:extent cx="2232445" cy="29655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79" cy="296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4D0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A164E"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738BA2" wp14:editId="35C0B63F">
            <wp:extent cx="2229278" cy="295886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91" cy="296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64E" w:rsidRPr="00994D0B" w:rsidRDefault="008A164E" w:rsidP="00994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64E" w:rsidRPr="00994D0B" w:rsidRDefault="008A164E" w:rsidP="00994D0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Аналіз даних</w:t>
      </w:r>
    </w:p>
    <w:p w:rsidR="00A074CA" w:rsidRPr="00994D0B" w:rsidRDefault="00A074CA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b/>
          <w:sz w:val="28"/>
          <w:szCs w:val="28"/>
        </w:rPr>
        <w:t>1)</w:t>
      </w:r>
      <w:r w:rsidRPr="00994D0B">
        <w:rPr>
          <w:rFonts w:ascii="Times New Roman" w:hAnsi="Times New Roman" w:cs="Times New Roman"/>
          <w:sz w:val="28"/>
          <w:szCs w:val="28"/>
        </w:rPr>
        <w:t xml:space="preserve"> </w:t>
      </w:r>
      <w:r w:rsidR="008A164E" w:rsidRPr="00994D0B">
        <w:rPr>
          <w:rFonts w:ascii="Times New Roman" w:hAnsi="Times New Roman" w:cs="Times New Roman"/>
          <w:sz w:val="28"/>
          <w:szCs w:val="28"/>
        </w:rPr>
        <w:t xml:space="preserve">Фільтри стосовно призначених </w:t>
      </w:r>
      <w:r w:rsidR="00994D0B">
        <w:rPr>
          <w:rFonts w:ascii="Times New Roman" w:hAnsi="Times New Roman" w:cs="Times New Roman"/>
          <w:sz w:val="28"/>
          <w:szCs w:val="28"/>
        </w:rPr>
        <w:t>препаратів винесені з «Лікування»</w:t>
      </w:r>
      <w:r w:rsidR="008A164E" w:rsidRPr="00994D0B">
        <w:rPr>
          <w:rFonts w:ascii="Times New Roman" w:hAnsi="Times New Roman" w:cs="Times New Roman"/>
          <w:sz w:val="28"/>
          <w:szCs w:val="28"/>
        </w:rPr>
        <w:t xml:space="preserve"> в окремий блок</w:t>
      </w:r>
      <w:r w:rsidRPr="00994D0B">
        <w:rPr>
          <w:rFonts w:ascii="Times New Roman" w:hAnsi="Times New Roman" w:cs="Times New Roman"/>
          <w:sz w:val="28"/>
          <w:szCs w:val="28"/>
        </w:rPr>
        <w:t>:</w:t>
      </w:r>
    </w:p>
    <w:p w:rsidR="008A164E" w:rsidRPr="00994D0B" w:rsidRDefault="00A074CA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1C540C" wp14:editId="02D11CF1">
            <wp:extent cx="1999532" cy="1104888"/>
            <wp:effectExtent l="19050" t="0" r="718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28" cy="110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164E" w:rsidRPr="00994D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64E" w:rsidRPr="00994D0B" w:rsidRDefault="008A164E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Додані фільтри:</w:t>
      </w:r>
    </w:p>
    <w:p w:rsidR="008A164E" w:rsidRPr="00994D0B" w:rsidRDefault="00994D0B" w:rsidP="00994D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«Призначений препарат (речовина)»</w:t>
      </w:r>
      <w:r w:rsidR="00A074CA" w:rsidRPr="00994D0B">
        <w:rPr>
          <w:rFonts w:ascii="Times New Roman" w:hAnsi="Times New Roman" w:cs="Times New Roman"/>
          <w:sz w:val="28"/>
          <w:szCs w:val="28"/>
        </w:rPr>
        <w:t xml:space="preserve"> - дозволяє обрати не конкретний препарат, а діючу речовину</w:t>
      </w:r>
      <w:r w:rsidR="008A164E" w:rsidRPr="00994D0B">
        <w:rPr>
          <w:rFonts w:ascii="Times New Roman" w:hAnsi="Times New Roman" w:cs="Times New Roman"/>
          <w:sz w:val="28"/>
          <w:szCs w:val="28"/>
        </w:rPr>
        <w:t>;</w:t>
      </w:r>
    </w:p>
    <w:p w:rsidR="00A074CA" w:rsidRPr="00994D0B" w:rsidRDefault="00994D0B" w:rsidP="00994D0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«Отримується на дату»</w:t>
      </w:r>
      <w:r w:rsidR="008A164E" w:rsidRPr="00994D0B">
        <w:rPr>
          <w:rFonts w:ascii="Times New Roman" w:hAnsi="Times New Roman" w:cs="Times New Roman"/>
          <w:sz w:val="28"/>
          <w:szCs w:val="28"/>
        </w:rPr>
        <w:t xml:space="preserve"> - дозволяє відокремити випадки, які отримують вказаний препарат на вказану дату</w:t>
      </w:r>
      <w:r w:rsidR="00A074CA" w:rsidRPr="00994D0B">
        <w:rPr>
          <w:rFonts w:ascii="Times New Roman" w:hAnsi="Times New Roman" w:cs="Times New Roman"/>
          <w:sz w:val="28"/>
          <w:szCs w:val="28"/>
        </w:rPr>
        <w:t xml:space="preserve">; якщо не обрано жодного препарату чи речовини, </w:t>
      </w:r>
      <w:r w:rsidR="0060765D">
        <w:rPr>
          <w:rFonts w:ascii="Times New Roman" w:hAnsi="Times New Roman" w:cs="Times New Roman"/>
          <w:sz w:val="28"/>
          <w:szCs w:val="28"/>
        </w:rPr>
        <w:t>цей фільтр працює за принципом «</w:t>
      </w:r>
      <w:r w:rsidR="00A074CA" w:rsidRPr="00994D0B">
        <w:rPr>
          <w:rFonts w:ascii="Times New Roman" w:hAnsi="Times New Roman" w:cs="Times New Roman"/>
          <w:sz w:val="28"/>
          <w:szCs w:val="28"/>
        </w:rPr>
        <w:t>випадк</w:t>
      </w:r>
      <w:r w:rsidR="0060765D">
        <w:rPr>
          <w:rFonts w:ascii="Times New Roman" w:hAnsi="Times New Roman" w:cs="Times New Roman"/>
          <w:sz w:val="28"/>
          <w:szCs w:val="28"/>
        </w:rPr>
        <w:t>и, що лікуються на вказану дату»</w:t>
      </w:r>
      <w:r w:rsidR="008A164E" w:rsidRPr="00994D0B">
        <w:rPr>
          <w:rFonts w:ascii="Times New Roman" w:hAnsi="Times New Roman" w:cs="Times New Roman"/>
          <w:sz w:val="28"/>
          <w:szCs w:val="28"/>
        </w:rPr>
        <w:t>.</w:t>
      </w:r>
    </w:p>
    <w:p w:rsidR="00A074CA" w:rsidRPr="00994D0B" w:rsidRDefault="00A074CA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З новими змінними можливо створювати подібні звіти:</w:t>
      </w:r>
      <w:r w:rsidRPr="00994D0B">
        <w:rPr>
          <w:rFonts w:ascii="Times New Roman" w:hAnsi="Times New Roman" w:cs="Times New Roman"/>
          <w:sz w:val="28"/>
          <w:szCs w:val="28"/>
        </w:rPr>
        <w:br/>
      </w: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4FEF17" wp14:editId="34941F46">
            <wp:extent cx="6120130" cy="4268086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68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4CA" w:rsidRPr="00994D0B" w:rsidRDefault="006A1E16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b/>
          <w:sz w:val="28"/>
          <w:szCs w:val="28"/>
        </w:rPr>
        <w:t>2)</w:t>
      </w:r>
      <w:r w:rsidRPr="00994D0B">
        <w:rPr>
          <w:rFonts w:ascii="Times New Roman" w:hAnsi="Times New Roman" w:cs="Times New Roman"/>
          <w:sz w:val="28"/>
          <w:szCs w:val="28"/>
        </w:rPr>
        <w:t xml:space="preserve"> Доданий фільтр</w:t>
      </w:r>
      <w:r w:rsidR="00A074CA" w:rsidRPr="00994D0B">
        <w:rPr>
          <w:rFonts w:ascii="Times New Roman" w:hAnsi="Times New Roman" w:cs="Times New Roman"/>
          <w:sz w:val="28"/>
          <w:szCs w:val="28"/>
        </w:rPr>
        <w:t xml:space="preserve"> поточного лікування. До нього потрапляють всі випадки, що лікуються на дату побудови звіту.</w:t>
      </w:r>
      <w:r w:rsidRPr="00994D0B">
        <w:rPr>
          <w:rFonts w:ascii="Times New Roman" w:hAnsi="Times New Roman" w:cs="Times New Roman"/>
          <w:sz w:val="28"/>
          <w:szCs w:val="28"/>
        </w:rPr>
        <w:t xml:space="preserve"> Приймає значення Так/Ні.</w:t>
      </w:r>
    </w:p>
    <w:p w:rsidR="00A074CA" w:rsidRPr="00994D0B" w:rsidRDefault="00A074CA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8089B6" wp14:editId="2B2FD752">
            <wp:extent cx="1867197" cy="177704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36" cy="177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038" w:rsidRPr="00994D0B" w:rsidRDefault="00C46038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br w:type="page"/>
      </w:r>
    </w:p>
    <w:p w:rsidR="00A074CA" w:rsidRPr="00994D0B" w:rsidRDefault="006A1E16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="0060765D">
        <w:rPr>
          <w:rFonts w:ascii="Times New Roman" w:hAnsi="Times New Roman" w:cs="Times New Roman"/>
          <w:sz w:val="28"/>
          <w:szCs w:val="28"/>
        </w:rPr>
        <w:t xml:space="preserve"> Доданий фільтр «</w:t>
      </w:r>
      <w:r w:rsidRPr="00994D0B">
        <w:rPr>
          <w:rFonts w:ascii="Times New Roman" w:hAnsi="Times New Roman" w:cs="Times New Roman"/>
          <w:sz w:val="28"/>
          <w:szCs w:val="28"/>
        </w:rPr>
        <w:t>Перерва в лікуванні протягом перших 6 місяців</w:t>
      </w:r>
      <w:r w:rsidR="0060765D">
        <w:rPr>
          <w:rFonts w:ascii="Times New Roman" w:hAnsi="Times New Roman" w:cs="Times New Roman"/>
          <w:sz w:val="28"/>
          <w:szCs w:val="28"/>
        </w:rPr>
        <w:t>»</w:t>
      </w:r>
      <w:r w:rsidRPr="00994D0B">
        <w:rPr>
          <w:rFonts w:ascii="Times New Roman" w:hAnsi="Times New Roman" w:cs="Times New Roman"/>
          <w:sz w:val="28"/>
          <w:szCs w:val="28"/>
        </w:rPr>
        <w:t>. До нього потрапляють вс</w:t>
      </w:r>
      <w:r w:rsidR="0060765D">
        <w:rPr>
          <w:rFonts w:ascii="Times New Roman" w:hAnsi="Times New Roman" w:cs="Times New Roman"/>
          <w:sz w:val="28"/>
          <w:szCs w:val="28"/>
        </w:rPr>
        <w:t>і випадки, закриті з висновком «</w:t>
      </w:r>
      <w:r w:rsidRPr="00994D0B">
        <w:rPr>
          <w:rFonts w:ascii="Times New Roman" w:hAnsi="Times New Roman" w:cs="Times New Roman"/>
          <w:sz w:val="28"/>
          <w:szCs w:val="28"/>
        </w:rPr>
        <w:t>перерва ліку</w:t>
      </w:r>
      <w:r w:rsidR="0060765D">
        <w:rPr>
          <w:rFonts w:ascii="Times New Roman" w:hAnsi="Times New Roman" w:cs="Times New Roman"/>
          <w:sz w:val="28"/>
          <w:szCs w:val="28"/>
        </w:rPr>
        <w:t>вання»</w:t>
      </w:r>
      <w:r w:rsidRPr="00994D0B">
        <w:rPr>
          <w:rFonts w:ascii="Times New Roman" w:hAnsi="Times New Roman" w:cs="Times New Roman"/>
          <w:sz w:val="28"/>
          <w:szCs w:val="28"/>
        </w:rPr>
        <w:t xml:space="preserve"> з датою закриття в період перших 6 місяців (180 днів) від дати початку лікування. Приймає значення Так/Ні.</w:t>
      </w:r>
    </w:p>
    <w:p w:rsidR="006A1E16" w:rsidRPr="00994D0B" w:rsidRDefault="006A1E16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643436" wp14:editId="5033EA23">
            <wp:extent cx="2127518" cy="2018582"/>
            <wp:effectExtent l="19050" t="0" r="6082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693" cy="2019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1B6" w:rsidRPr="00994D0B" w:rsidRDefault="00E071B6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b/>
          <w:sz w:val="28"/>
          <w:szCs w:val="28"/>
        </w:rPr>
        <w:t>4)</w:t>
      </w:r>
      <w:r w:rsidRPr="00994D0B">
        <w:rPr>
          <w:rFonts w:ascii="Times New Roman" w:hAnsi="Times New Roman" w:cs="Times New Roman"/>
          <w:sz w:val="28"/>
          <w:szCs w:val="28"/>
        </w:rPr>
        <w:t xml:space="preserve"> Усі лабораторні дослідження згруповано в окремий блок </w:t>
      </w:r>
    </w:p>
    <w:p w:rsidR="00E071B6" w:rsidRPr="00994D0B" w:rsidRDefault="00E071B6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AA177B" wp14:editId="0253B090">
            <wp:extent cx="1559584" cy="900936"/>
            <wp:effectExtent l="19050" t="0" r="2516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717" cy="902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97" w:rsidRPr="00994D0B" w:rsidRDefault="00554B97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та змінені назви за змістом: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54B97" w:rsidRPr="00994D0B" w:rsidTr="0015651C">
        <w:tc>
          <w:tcPr>
            <w:tcW w:w="2500" w:type="pct"/>
          </w:tcPr>
          <w:p w:rsidR="00554B97" w:rsidRPr="00994D0B" w:rsidRDefault="00554B97" w:rsidP="00994D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Стара назва змінної</w:t>
            </w:r>
          </w:p>
        </w:tc>
        <w:tc>
          <w:tcPr>
            <w:tcW w:w="2500" w:type="pct"/>
          </w:tcPr>
          <w:p w:rsidR="00554B97" w:rsidRPr="00994D0B" w:rsidRDefault="00554B97" w:rsidP="00994D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Нова назва змінної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b/>
                <w:sz w:val="28"/>
                <w:szCs w:val="28"/>
              </w:rPr>
              <w:t>Мікроскопія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Мікроскопія до діагнозу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[Мікроскопія] До діагнозу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Мікроскопія мокротиння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[Мікроскопія] Результат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Мікроскопія - Дата збору зразка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[Мікроскопія] Дата збору зразка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Місяць негативації за мікроскопією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[Мікроскопія] Місяць негативації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Культуральні дослідження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Культура до діагнозу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[Культура] До діагнозу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Культуральні дослідження - Дата збору зразка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[Культура] Дата збору зразка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Місяць негативації по культуре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[Культура] Місяць негативації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Метод, який використовувався при дослідженні культур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[Культура] Метод дослідження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Група результатів за культурою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[Культура] Результат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b/>
                <w:sz w:val="28"/>
                <w:szCs w:val="28"/>
              </w:rPr>
              <w:t>Чутливість (DST)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Профіль стійкості (поточний)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[Чутливість] Профіль стійкості (поточний)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Чутливість (DST) - Дата збору зразка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[Чутливість] Дата збору зразка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Метод, який використовувався при дослідженні на чутливість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[Чутливість] Метод дослідження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Молекулярно-генетичні дослідження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молекулярно-генетичні до діагнозу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[Молекулярно-генетичні] До діагнозу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Молекулярно-генетичні Rif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[Молекулярно-генетичні] Rif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Молекулярно-генетичні MTB/PCR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[Молекулярно-генетичні] MTB/PCR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Молекулярно-генетичні - Дата збору зразка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[Молекулярно-генетичні] Дата збору зразка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b/>
                <w:sz w:val="28"/>
                <w:szCs w:val="28"/>
              </w:rPr>
              <w:t>Тест на ВІЛ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Результат аналізу на ВІЛ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[Тест на ВІЛ] Результат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Почав приймати АРТ?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[Тест на ВІЛ] Почав приймати АРТ?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Лікування ко-тримоксазолом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[Тест на ВІЛ] Лікування ко-тримоксазолом</w:t>
            </w:r>
          </w:p>
        </w:tc>
      </w:tr>
      <w:tr w:rsidR="0015651C" w:rsidRPr="00994D0B" w:rsidTr="0015651C"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hAnsi="Times New Roman" w:cs="Times New Roman"/>
                <w:sz w:val="28"/>
                <w:szCs w:val="28"/>
              </w:rPr>
              <w:t>ВІЛ-статус відомий до захворювання на туберкульоз</w:t>
            </w:r>
          </w:p>
        </w:tc>
        <w:tc>
          <w:tcPr>
            <w:tcW w:w="2500" w:type="pct"/>
          </w:tcPr>
          <w:p w:rsidR="0015651C" w:rsidRPr="00994D0B" w:rsidRDefault="0015651C" w:rsidP="00994D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D0B">
              <w:rPr>
                <w:rFonts w:ascii="Times New Roman" w:eastAsia="Times New Roman" w:hAnsi="Times New Roman" w:cs="Times New Roman"/>
                <w:sz w:val="28"/>
                <w:szCs w:val="28"/>
              </w:rPr>
              <w:t>[Тест на ВІЛ] ВІЛ-статус відомий до захворювання на туберкульоз</w:t>
            </w:r>
          </w:p>
        </w:tc>
      </w:tr>
    </w:tbl>
    <w:p w:rsidR="00E071B6" w:rsidRPr="00994D0B" w:rsidRDefault="00E071B6" w:rsidP="00994D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AC0" w:rsidRPr="00994D0B" w:rsidRDefault="00DA6AC0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b/>
          <w:sz w:val="28"/>
          <w:szCs w:val="28"/>
        </w:rPr>
        <w:t>5)</w:t>
      </w:r>
      <w:r w:rsidRPr="00994D0B">
        <w:rPr>
          <w:rFonts w:ascii="Times New Roman" w:hAnsi="Times New Roman" w:cs="Times New Roman"/>
          <w:sz w:val="28"/>
          <w:szCs w:val="28"/>
        </w:rPr>
        <w:t xml:space="preserve"> Додані фільтри/змінні:</w:t>
      </w:r>
    </w:p>
    <w:p w:rsidR="00DA6AC0" w:rsidRPr="00994D0B" w:rsidRDefault="00DA6AC0" w:rsidP="00994D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Підтверджено бактеріологічно - наявний позитивний результат культурального дослідження або молекулярно-</w:t>
      </w:r>
      <w:r w:rsidR="0060765D">
        <w:rPr>
          <w:rFonts w:ascii="Times New Roman" w:hAnsi="Times New Roman" w:cs="Times New Roman"/>
          <w:sz w:val="28"/>
          <w:szCs w:val="28"/>
        </w:rPr>
        <w:t>генетичного</w:t>
      </w:r>
      <w:r w:rsidRPr="00994D0B">
        <w:rPr>
          <w:rFonts w:ascii="Times New Roman" w:hAnsi="Times New Roman" w:cs="Times New Roman"/>
          <w:sz w:val="28"/>
          <w:szCs w:val="28"/>
        </w:rPr>
        <w:t>;</w:t>
      </w:r>
    </w:p>
    <w:p w:rsidR="00DA6AC0" w:rsidRPr="00994D0B" w:rsidRDefault="00DA6AC0" w:rsidP="00994D0B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Підтверджено лабораторно - наявний позитивний результат культурального дослідження, мікроскопії або молекулярно-</w:t>
      </w:r>
      <w:r w:rsidR="0060765D">
        <w:rPr>
          <w:rFonts w:ascii="Times New Roman" w:hAnsi="Times New Roman" w:cs="Times New Roman"/>
          <w:sz w:val="28"/>
          <w:szCs w:val="28"/>
        </w:rPr>
        <w:t>генетичного</w:t>
      </w:r>
      <w:r w:rsidRPr="00994D0B">
        <w:rPr>
          <w:rFonts w:ascii="Times New Roman" w:hAnsi="Times New Roman" w:cs="Times New Roman"/>
          <w:sz w:val="28"/>
          <w:szCs w:val="28"/>
        </w:rPr>
        <w:t xml:space="preserve"> дослідження.</w:t>
      </w:r>
    </w:p>
    <w:p w:rsidR="00DA6AC0" w:rsidRPr="00994D0B" w:rsidRDefault="00DA6AC0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A946EC" wp14:editId="7C12B7EE">
            <wp:extent cx="2232445" cy="939586"/>
            <wp:effectExtent l="19050" t="0" r="0" b="0"/>
            <wp:docPr id="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33" cy="940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C0" w:rsidRPr="00994D0B" w:rsidRDefault="00DA6AC0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Приймають значення Так/Ні.</w:t>
      </w:r>
    </w:p>
    <w:p w:rsidR="00DA6AC0" w:rsidRPr="00994D0B" w:rsidRDefault="00DA6AC0" w:rsidP="00994D0B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Препарати</w:t>
      </w:r>
    </w:p>
    <w:p w:rsidR="00DA6AC0" w:rsidRPr="00994D0B" w:rsidRDefault="00DA6AC0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b/>
          <w:sz w:val="28"/>
          <w:szCs w:val="28"/>
        </w:rPr>
        <w:t>1)</w:t>
      </w:r>
      <w:r w:rsidRPr="00994D0B">
        <w:rPr>
          <w:rFonts w:ascii="Times New Roman" w:hAnsi="Times New Roman" w:cs="Times New Roman"/>
          <w:sz w:val="28"/>
          <w:szCs w:val="28"/>
        </w:rPr>
        <w:t xml:space="preserve"> Виправлено відображення користувача отримувача передання. Раніше відображався користувач-відправник, в обох випадках.</w:t>
      </w:r>
    </w:p>
    <w:p w:rsidR="00DA6AC0" w:rsidRPr="00994D0B" w:rsidRDefault="00DA6AC0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272164" wp14:editId="7938E3F3">
            <wp:extent cx="4867181" cy="1414732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13" cy="141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AC0" w:rsidRPr="00994D0B" w:rsidRDefault="00DA6AC0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b/>
          <w:sz w:val="28"/>
          <w:szCs w:val="28"/>
        </w:rPr>
        <w:t>2)</w:t>
      </w:r>
      <w:r w:rsidRPr="00994D0B">
        <w:rPr>
          <w:rFonts w:ascii="Times New Roman" w:hAnsi="Times New Roman" w:cs="Times New Roman"/>
          <w:sz w:val="28"/>
          <w:szCs w:val="28"/>
        </w:rPr>
        <w:t xml:space="preserve"> для існуючих передань додана </w:t>
      </w:r>
      <w:proofErr w:type="spellStart"/>
      <w:r w:rsidR="001B7D08" w:rsidRPr="00994D0B">
        <w:rPr>
          <w:rFonts w:ascii="Times New Roman" w:hAnsi="Times New Roman" w:cs="Times New Roman"/>
          <w:sz w:val="28"/>
          <w:szCs w:val="28"/>
        </w:rPr>
        <w:t>операці</w:t>
      </w:r>
      <w:proofErr w:type="spellEnd"/>
      <w:r w:rsidR="001B7D08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994D0B">
        <w:rPr>
          <w:rFonts w:ascii="Times New Roman" w:hAnsi="Times New Roman" w:cs="Times New Roman"/>
          <w:sz w:val="28"/>
          <w:szCs w:val="28"/>
        </w:rPr>
        <w:t>змінити призначення на ГФ для ДБ:</w:t>
      </w:r>
    </w:p>
    <w:p w:rsidR="00DA6AC0" w:rsidRPr="00994D0B" w:rsidRDefault="00DA6AC0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68DCD67" wp14:editId="590DA017">
            <wp:extent cx="5294822" cy="1433314"/>
            <wp:effectExtent l="19050" t="0" r="1078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273" cy="143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1B6" w:rsidRPr="00994D0B" w:rsidRDefault="00DA6AC0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 xml:space="preserve">При спробі її здійснити, програма </w:t>
      </w:r>
      <w:r w:rsidR="006A666B" w:rsidRPr="00994D0B">
        <w:rPr>
          <w:rFonts w:ascii="Times New Roman" w:hAnsi="Times New Roman" w:cs="Times New Roman"/>
          <w:sz w:val="28"/>
          <w:szCs w:val="28"/>
        </w:rPr>
        <w:t>видасть повідомлення для попередження:</w:t>
      </w:r>
    </w:p>
    <w:p w:rsidR="006A666B" w:rsidRPr="00994D0B" w:rsidRDefault="006A666B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C36A9E" wp14:editId="35DE2E8D">
            <wp:extent cx="5079162" cy="1230946"/>
            <wp:effectExtent l="19050" t="0" r="7188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40" cy="123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6B" w:rsidRPr="00994D0B" w:rsidRDefault="006A666B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При згоді призначення зміниться на ГФ для ДБ</w:t>
      </w:r>
      <w:r w:rsidR="00C46038" w:rsidRPr="00994D0B">
        <w:rPr>
          <w:rFonts w:ascii="Times New Roman" w:hAnsi="Times New Roman" w:cs="Times New Roman"/>
          <w:sz w:val="28"/>
          <w:szCs w:val="28"/>
        </w:rPr>
        <w:t>:</w:t>
      </w:r>
    </w:p>
    <w:p w:rsidR="006A666B" w:rsidRPr="00994D0B" w:rsidRDefault="006A666B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ACBA81" wp14:editId="287BB431">
            <wp:extent cx="6120130" cy="4183576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8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6B" w:rsidRPr="00994D0B" w:rsidRDefault="006A666B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t>Операція доступна тільки при управлінні Нац.</w:t>
      </w:r>
      <w:r w:rsidR="0060765D">
        <w:rPr>
          <w:rFonts w:ascii="Times New Roman" w:hAnsi="Times New Roman" w:cs="Times New Roman"/>
          <w:sz w:val="28"/>
          <w:szCs w:val="28"/>
        </w:rPr>
        <w:t xml:space="preserve"> </w:t>
      </w:r>
      <w:r w:rsidRPr="00994D0B">
        <w:rPr>
          <w:rFonts w:ascii="Times New Roman" w:hAnsi="Times New Roman" w:cs="Times New Roman"/>
          <w:sz w:val="28"/>
          <w:szCs w:val="28"/>
        </w:rPr>
        <w:t>складом для передань з Нац.</w:t>
      </w:r>
      <w:r w:rsidR="0060765D">
        <w:rPr>
          <w:rFonts w:ascii="Times New Roman" w:hAnsi="Times New Roman" w:cs="Times New Roman"/>
          <w:sz w:val="28"/>
          <w:szCs w:val="28"/>
        </w:rPr>
        <w:t xml:space="preserve"> </w:t>
      </w:r>
      <w:r w:rsidRPr="00994D0B">
        <w:rPr>
          <w:rFonts w:ascii="Times New Roman" w:hAnsi="Times New Roman" w:cs="Times New Roman"/>
          <w:sz w:val="28"/>
          <w:szCs w:val="28"/>
        </w:rPr>
        <w:t>складу для джерела фінансування ГФ.</w:t>
      </w:r>
    </w:p>
    <w:p w:rsidR="00C46038" w:rsidRPr="00994D0B" w:rsidRDefault="00C46038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sz w:val="28"/>
          <w:szCs w:val="28"/>
        </w:rPr>
        <w:br w:type="page"/>
      </w:r>
    </w:p>
    <w:p w:rsidR="006A666B" w:rsidRPr="00994D0B" w:rsidRDefault="006A666B" w:rsidP="00994D0B">
      <w:pPr>
        <w:jc w:val="both"/>
        <w:rPr>
          <w:rFonts w:ascii="Times New Roman" w:hAnsi="Times New Roman" w:cs="Times New Roman"/>
          <w:sz w:val="28"/>
          <w:szCs w:val="28"/>
        </w:rPr>
      </w:pPr>
      <w:r w:rsidRPr="00994D0B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Pr="00994D0B">
        <w:rPr>
          <w:rFonts w:ascii="Times New Roman" w:hAnsi="Times New Roman" w:cs="Times New Roman"/>
          <w:sz w:val="28"/>
          <w:szCs w:val="28"/>
        </w:rPr>
        <w:t xml:space="preserve"> Для Звіту по області/Звіту по країні доданий фільтр підконтрольності територій. Для Нац. складу до Звіту</w:t>
      </w:r>
      <w:r w:rsidR="0060765D">
        <w:rPr>
          <w:rFonts w:ascii="Times New Roman" w:hAnsi="Times New Roman" w:cs="Times New Roman"/>
          <w:sz w:val="28"/>
          <w:szCs w:val="28"/>
        </w:rPr>
        <w:t xml:space="preserve"> по країні доданий фільтр врах</w:t>
      </w:r>
      <w:r w:rsidRPr="00994D0B">
        <w:rPr>
          <w:rFonts w:ascii="Times New Roman" w:hAnsi="Times New Roman" w:cs="Times New Roman"/>
          <w:sz w:val="28"/>
          <w:szCs w:val="28"/>
        </w:rPr>
        <w:t>ування залишків Нац.</w:t>
      </w:r>
      <w:r w:rsidR="0060765D">
        <w:rPr>
          <w:rFonts w:ascii="Times New Roman" w:hAnsi="Times New Roman" w:cs="Times New Roman"/>
          <w:sz w:val="28"/>
          <w:szCs w:val="28"/>
        </w:rPr>
        <w:t xml:space="preserve"> </w:t>
      </w:r>
      <w:r w:rsidRPr="00994D0B">
        <w:rPr>
          <w:rFonts w:ascii="Times New Roman" w:hAnsi="Times New Roman" w:cs="Times New Roman"/>
          <w:sz w:val="28"/>
          <w:szCs w:val="28"/>
        </w:rPr>
        <w:t>складу (Так = враховувати, Ні = не враховувати.)</w:t>
      </w:r>
    </w:p>
    <w:p w:rsidR="006A666B" w:rsidRPr="00E445EC" w:rsidRDefault="006A666B" w:rsidP="00994D0B">
      <w:pPr>
        <w:jc w:val="both"/>
      </w:pPr>
      <w:r>
        <w:t xml:space="preserve"> </w:t>
      </w:r>
      <w:r>
        <w:rPr>
          <w:noProof/>
        </w:rPr>
        <w:drawing>
          <wp:inline distT="0" distB="0" distL="0" distR="0" wp14:anchorId="2CBC80A9" wp14:editId="56A0AA76">
            <wp:extent cx="6120130" cy="4404547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0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666B" w:rsidRPr="00E445EC" w:rsidSect="009B79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229"/>
    <w:multiLevelType w:val="hybridMultilevel"/>
    <w:tmpl w:val="DAD6CCD0"/>
    <w:lvl w:ilvl="0" w:tplc="D27A0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667B"/>
    <w:multiLevelType w:val="hybridMultilevel"/>
    <w:tmpl w:val="970AFE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B37EB"/>
    <w:multiLevelType w:val="hybridMultilevel"/>
    <w:tmpl w:val="D0F010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C3012"/>
    <w:multiLevelType w:val="hybridMultilevel"/>
    <w:tmpl w:val="D75C67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64309D"/>
    <w:multiLevelType w:val="hybridMultilevel"/>
    <w:tmpl w:val="8A86A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A372B"/>
    <w:multiLevelType w:val="hybridMultilevel"/>
    <w:tmpl w:val="601682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E3A3C"/>
    <w:multiLevelType w:val="hybridMultilevel"/>
    <w:tmpl w:val="B964C2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C6B88"/>
    <w:multiLevelType w:val="hybridMultilevel"/>
    <w:tmpl w:val="17882D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070310"/>
    <w:multiLevelType w:val="hybridMultilevel"/>
    <w:tmpl w:val="764A7C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C07E4"/>
    <w:multiLevelType w:val="hybridMultilevel"/>
    <w:tmpl w:val="34DAE450"/>
    <w:lvl w:ilvl="0" w:tplc="8AF69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D18F3"/>
    <w:multiLevelType w:val="hybridMultilevel"/>
    <w:tmpl w:val="8C9C9D1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9272B"/>
    <w:multiLevelType w:val="hybridMultilevel"/>
    <w:tmpl w:val="B830B5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67D15"/>
    <w:multiLevelType w:val="hybridMultilevel"/>
    <w:tmpl w:val="A7AAD4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345EF"/>
    <w:multiLevelType w:val="hybridMultilevel"/>
    <w:tmpl w:val="3C6EAC2C"/>
    <w:lvl w:ilvl="0" w:tplc="94C0F1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C009B"/>
    <w:multiLevelType w:val="hybridMultilevel"/>
    <w:tmpl w:val="B47EF7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93F15"/>
    <w:multiLevelType w:val="hybridMultilevel"/>
    <w:tmpl w:val="9410C2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13"/>
  </w:num>
  <w:num w:numId="13">
    <w:abstractNumId w:val="7"/>
  </w:num>
  <w:num w:numId="14">
    <w:abstractNumId w:val="14"/>
  </w:num>
  <w:num w:numId="15">
    <w:abstractNumId w:val="12"/>
  </w:num>
  <w:num w:numId="1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ksana Haptyanova">
    <w15:presenceInfo w15:providerId="None" w15:userId="Oksana Haptya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B9"/>
    <w:rsid w:val="0001556F"/>
    <w:rsid w:val="00017207"/>
    <w:rsid w:val="00017ACF"/>
    <w:rsid w:val="00026AAA"/>
    <w:rsid w:val="00033B76"/>
    <w:rsid w:val="000467FE"/>
    <w:rsid w:val="00055D01"/>
    <w:rsid w:val="000631FA"/>
    <w:rsid w:val="00084D2F"/>
    <w:rsid w:val="000863EF"/>
    <w:rsid w:val="000B1D48"/>
    <w:rsid w:val="000C5992"/>
    <w:rsid w:val="000C5BBF"/>
    <w:rsid w:val="000E174F"/>
    <w:rsid w:val="000E7A98"/>
    <w:rsid w:val="00101CA6"/>
    <w:rsid w:val="00102738"/>
    <w:rsid w:val="00117953"/>
    <w:rsid w:val="0012422B"/>
    <w:rsid w:val="0015651C"/>
    <w:rsid w:val="0016142D"/>
    <w:rsid w:val="001716D4"/>
    <w:rsid w:val="00173907"/>
    <w:rsid w:val="00184380"/>
    <w:rsid w:val="001908E0"/>
    <w:rsid w:val="00194901"/>
    <w:rsid w:val="001A157E"/>
    <w:rsid w:val="001A7A89"/>
    <w:rsid w:val="001B7D08"/>
    <w:rsid w:val="001C1B4A"/>
    <w:rsid w:val="001F1FBF"/>
    <w:rsid w:val="00206544"/>
    <w:rsid w:val="00230AEE"/>
    <w:rsid w:val="002322BF"/>
    <w:rsid w:val="00274A7B"/>
    <w:rsid w:val="002A4D31"/>
    <w:rsid w:val="002D3706"/>
    <w:rsid w:val="002E42A5"/>
    <w:rsid w:val="002E5114"/>
    <w:rsid w:val="00302850"/>
    <w:rsid w:val="00303798"/>
    <w:rsid w:val="00312EA0"/>
    <w:rsid w:val="00332288"/>
    <w:rsid w:val="00377C22"/>
    <w:rsid w:val="00394F38"/>
    <w:rsid w:val="003C752F"/>
    <w:rsid w:val="003E6CB1"/>
    <w:rsid w:val="00401956"/>
    <w:rsid w:val="0041693C"/>
    <w:rsid w:val="004315EA"/>
    <w:rsid w:val="0047436F"/>
    <w:rsid w:val="004829C6"/>
    <w:rsid w:val="00484542"/>
    <w:rsid w:val="004D1BC6"/>
    <w:rsid w:val="004D45B1"/>
    <w:rsid w:val="004E01A4"/>
    <w:rsid w:val="004F1310"/>
    <w:rsid w:val="004F20E5"/>
    <w:rsid w:val="004F26FE"/>
    <w:rsid w:val="0050126B"/>
    <w:rsid w:val="00502C65"/>
    <w:rsid w:val="00527EE2"/>
    <w:rsid w:val="005312C7"/>
    <w:rsid w:val="00534B66"/>
    <w:rsid w:val="005368F9"/>
    <w:rsid w:val="00546E39"/>
    <w:rsid w:val="00554B97"/>
    <w:rsid w:val="0057133E"/>
    <w:rsid w:val="00580FBC"/>
    <w:rsid w:val="005953B2"/>
    <w:rsid w:val="005A4AC5"/>
    <w:rsid w:val="005B03AF"/>
    <w:rsid w:val="005B755B"/>
    <w:rsid w:val="005D7D67"/>
    <w:rsid w:val="005E692C"/>
    <w:rsid w:val="005F2492"/>
    <w:rsid w:val="005F3614"/>
    <w:rsid w:val="00600394"/>
    <w:rsid w:val="00605EF2"/>
    <w:rsid w:val="006071E4"/>
    <w:rsid w:val="0060765D"/>
    <w:rsid w:val="006116AA"/>
    <w:rsid w:val="00632004"/>
    <w:rsid w:val="006677F3"/>
    <w:rsid w:val="006A1E16"/>
    <w:rsid w:val="006A666B"/>
    <w:rsid w:val="006B15CD"/>
    <w:rsid w:val="006C3C25"/>
    <w:rsid w:val="006F68E4"/>
    <w:rsid w:val="007020D2"/>
    <w:rsid w:val="0071574A"/>
    <w:rsid w:val="00715F2E"/>
    <w:rsid w:val="00733855"/>
    <w:rsid w:val="00740624"/>
    <w:rsid w:val="0074401E"/>
    <w:rsid w:val="00763823"/>
    <w:rsid w:val="00765A93"/>
    <w:rsid w:val="00774D10"/>
    <w:rsid w:val="00790F8C"/>
    <w:rsid w:val="007A41FE"/>
    <w:rsid w:val="007B6A88"/>
    <w:rsid w:val="007B6E60"/>
    <w:rsid w:val="007C08F0"/>
    <w:rsid w:val="007C2A20"/>
    <w:rsid w:val="007D0152"/>
    <w:rsid w:val="007D1CEC"/>
    <w:rsid w:val="007E4982"/>
    <w:rsid w:val="00805F14"/>
    <w:rsid w:val="00807893"/>
    <w:rsid w:val="0081169A"/>
    <w:rsid w:val="0083051B"/>
    <w:rsid w:val="008438CD"/>
    <w:rsid w:val="00851E15"/>
    <w:rsid w:val="00857FCC"/>
    <w:rsid w:val="00872807"/>
    <w:rsid w:val="00874E91"/>
    <w:rsid w:val="00880360"/>
    <w:rsid w:val="00896ED7"/>
    <w:rsid w:val="008A136D"/>
    <w:rsid w:val="008A164E"/>
    <w:rsid w:val="008C02B9"/>
    <w:rsid w:val="008F0C71"/>
    <w:rsid w:val="008F1CB8"/>
    <w:rsid w:val="00903125"/>
    <w:rsid w:val="00910B91"/>
    <w:rsid w:val="0091206B"/>
    <w:rsid w:val="00950751"/>
    <w:rsid w:val="009530C2"/>
    <w:rsid w:val="009846B5"/>
    <w:rsid w:val="00994D0B"/>
    <w:rsid w:val="009953B0"/>
    <w:rsid w:val="009B011E"/>
    <w:rsid w:val="009B79F4"/>
    <w:rsid w:val="009C3E91"/>
    <w:rsid w:val="009D2E0A"/>
    <w:rsid w:val="009D2F75"/>
    <w:rsid w:val="009D4096"/>
    <w:rsid w:val="009E5C3A"/>
    <w:rsid w:val="009F1F4C"/>
    <w:rsid w:val="00A074CA"/>
    <w:rsid w:val="00A759A2"/>
    <w:rsid w:val="00A77D67"/>
    <w:rsid w:val="00A93297"/>
    <w:rsid w:val="00A948EE"/>
    <w:rsid w:val="00AC18FF"/>
    <w:rsid w:val="00AF18FE"/>
    <w:rsid w:val="00AF5E31"/>
    <w:rsid w:val="00B0206D"/>
    <w:rsid w:val="00B15E6A"/>
    <w:rsid w:val="00B175F9"/>
    <w:rsid w:val="00B7177E"/>
    <w:rsid w:val="00B745B9"/>
    <w:rsid w:val="00B76692"/>
    <w:rsid w:val="00B9134B"/>
    <w:rsid w:val="00B91B2D"/>
    <w:rsid w:val="00B938CC"/>
    <w:rsid w:val="00B95D5A"/>
    <w:rsid w:val="00BA3478"/>
    <w:rsid w:val="00BB68C3"/>
    <w:rsid w:val="00BD5288"/>
    <w:rsid w:val="00C03026"/>
    <w:rsid w:val="00C03113"/>
    <w:rsid w:val="00C12D79"/>
    <w:rsid w:val="00C21ED3"/>
    <w:rsid w:val="00C23A17"/>
    <w:rsid w:val="00C46038"/>
    <w:rsid w:val="00C462C7"/>
    <w:rsid w:val="00C534C7"/>
    <w:rsid w:val="00C634EC"/>
    <w:rsid w:val="00C67836"/>
    <w:rsid w:val="00C86C21"/>
    <w:rsid w:val="00C975EB"/>
    <w:rsid w:val="00CB1C0D"/>
    <w:rsid w:val="00CD23AA"/>
    <w:rsid w:val="00CF0803"/>
    <w:rsid w:val="00D03C7F"/>
    <w:rsid w:val="00D10C28"/>
    <w:rsid w:val="00D4485E"/>
    <w:rsid w:val="00D52CB1"/>
    <w:rsid w:val="00D67B91"/>
    <w:rsid w:val="00D708F7"/>
    <w:rsid w:val="00D74B5B"/>
    <w:rsid w:val="00D75364"/>
    <w:rsid w:val="00D845D6"/>
    <w:rsid w:val="00D9339E"/>
    <w:rsid w:val="00D93CC9"/>
    <w:rsid w:val="00DA063E"/>
    <w:rsid w:val="00DA0BDD"/>
    <w:rsid w:val="00DA6AC0"/>
    <w:rsid w:val="00E071B6"/>
    <w:rsid w:val="00E13B71"/>
    <w:rsid w:val="00E26BED"/>
    <w:rsid w:val="00E26F8A"/>
    <w:rsid w:val="00E33245"/>
    <w:rsid w:val="00E445EC"/>
    <w:rsid w:val="00E456BA"/>
    <w:rsid w:val="00E54583"/>
    <w:rsid w:val="00E62A9D"/>
    <w:rsid w:val="00E81EC1"/>
    <w:rsid w:val="00E91449"/>
    <w:rsid w:val="00E91CEA"/>
    <w:rsid w:val="00EA6B39"/>
    <w:rsid w:val="00EC3AF4"/>
    <w:rsid w:val="00EE559E"/>
    <w:rsid w:val="00EF0170"/>
    <w:rsid w:val="00F0189A"/>
    <w:rsid w:val="00F238B9"/>
    <w:rsid w:val="00F562B8"/>
    <w:rsid w:val="00F8052F"/>
    <w:rsid w:val="00F8483A"/>
    <w:rsid w:val="00FB1B9E"/>
    <w:rsid w:val="00FB315F"/>
    <w:rsid w:val="00FB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8F9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68F9"/>
    <w:pPr>
      <w:keepNext/>
      <w:keepLines/>
      <w:spacing w:before="200" w:after="0"/>
      <w:outlineLvl w:val="1"/>
    </w:pPr>
    <w:rPr>
      <w:rFonts w:ascii="Calibri Light" w:eastAsiaTheme="majorEastAsia" w:hAnsi="Calibri Light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6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9A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133E"/>
    <w:pPr>
      <w:spacing w:after="0" w:line="240" w:lineRule="auto"/>
    </w:pPr>
  </w:style>
  <w:style w:type="character" w:customStyle="1" w:styleId="value">
    <w:name w:val="value"/>
    <w:basedOn w:val="a0"/>
    <w:rsid w:val="00715F2E"/>
  </w:style>
  <w:style w:type="character" w:customStyle="1" w:styleId="10">
    <w:name w:val="Заголовок 1 Знак"/>
    <w:basedOn w:val="a0"/>
    <w:link w:val="1"/>
    <w:uiPriority w:val="9"/>
    <w:rsid w:val="005368F9"/>
    <w:rPr>
      <w:rFonts w:ascii="Calibri Light" w:eastAsiaTheme="majorEastAsia" w:hAnsi="Calibri Light" w:cstheme="majorBidi"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368F9"/>
    <w:rPr>
      <w:rFonts w:ascii="Calibri Light" w:eastAsiaTheme="majorEastAsia" w:hAnsi="Calibri Light" w:cstheme="majorBidi"/>
      <w:bCs/>
      <w:color w:val="4F81BD" w:themeColor="accent1"/>
      <w:sz w:val="26"/>
      <w:szCs w:val="26"/>
    </w:rPr>
  </w:style>
  <w:style w:type="character" w:customStyle="1" w:styleId="indicator-tables">
    <w:name w:val="indicator-tables"/>
    <w:basedOn w:val="a0"/>
    <w:rsid w:val="00B76692"/>
  </w:style>
  <w:style w:type="character" w:customStyle="1" w:styleId="30">
    <w:name w:val="Заголовок 3 Знак"/>
    <w:basedOn w:val="a0"/>
    <w:link w:val="3"/>
    <w:uiPriority w:val="9"/>
    <w:rsid w:val="006F68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071B6"/>
    <w:rPr>
      <w:color w:val="0000FF"/>
      <w:u w:val="single"/>
    </w:rPr>
  </w:style>
  <w:style w:type="table" w:styleId="a8">
    <w:name w:val="Table Grid"/>
    <w:basedOn w:val="a1"/>
    <w:uiPriority w:val="59"/>
    <w:rsid w:val="00554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8F9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68F9"/>
    <w:pPr>
      <w:keepNext/>
      <w:keepLines/>
      <w:spacing w:before="200" w:after="0"/>
      <w:outlineLvl w:val="1"/>
    </w:pPr>
    <w:rPr>
      <w:rFonts w:ascii="Calibri Light" w:eastAsiaTheme="majorEastAsia" w:hAnsi="Calibri Light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6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59A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133E"/>
    <w:pPr>
      <w:spacing w:after="0" w:line="240" w:lineRule="auto"/>
    </w:pPr>
  </w:style>
  <w:style w:type="character" w:customStyle="1" w:styleId="value">
    <w:name w:val="value"/>
    <w:basedOn w:val="a0"/>
    <w:rsid w:val="00715F2E"/>
  </w:style>
  <w:style w:type="character" w:customStyle="1" w:styleId="10">
    <w:name w:val="Заголовок 1 Знак"/>
    <w:basedOn w:val="a0"/>
    <w:link w:val="1"/>
    <w:uiPriority w:val="9"/>
    <w:rsid w:val="005368F9"/>
    <w:rPr>
      <w:rFonts w:ascii="Calibri Light" w:eastAsiaTheme="majorEastAsia" w:hAnsi="Calibri Light" w:cstheme="majorBidi"/>
      <w:bCs/>
      <w:color w:val="365F91" w:themeColor="accent1" w:themeShade="BF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368F9"/>
    <w:rPr>
      <w:rFonts w:ascii="Calibri Light" w:eastAsiaTheme="majorEastAsia" w:hAnsi="Calibri Light" w:cstheme="majorBidi"/>
      <w:bCs/>
      <w:color w:val="4F81BD" w:themeColor="accent1"/>
      <w:sz w:val="26"/>
      <w:szCs w:val="26"/>
    </w:rPr>
  </w:style>
  <w:style w:type="character" w:customStyle="1" w:styleId="indicator-tables">
    <w:name w:val="indicator-tables"/>
    <w:basedOn w:val="a0"/>
    <w:rsid w:val="00B76692"/>
  </w:style>
  <w:style w:type="character" w:customStyle="1" w:styleId="30">
    <w:name w:val="Заголовок 3 Знак"/>
    <w:basedOn w:val="a0"/>
    <w:link w:val="3"/>
    <w:uiPriority w:val="9"/>
    <w:rsid w:val="006F68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E071B6"/>
    <w:rPr>
      <w:color w:val="0000FF"/>
      <w:u w:val="single"/>
    </w:rPr>
  </w:style>
  <w:style w:type="table" w:styleId="a8">
    <w:name w:val="Table Grid"/>
    <w:basedOn w:val="a1"/>
    <w:uiPriority w:val="59"/>
    <w:rsid w:val="00554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microsoft.com/office/2011/relationships/people" Target="peop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3881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alexxme</dc:creator>
  <cp:lastModifiedBy>USDS01</cp:lastModifiedBy>
  <cp:revision>2</cp:revision>
  <dcterms:created xsi:type="dcterms:W3CDTF">2016-10-20T14:37:00Z</dcterms:created>
  <dcterms:modified xsi:type="dcterms:W3CDTF">2016-10-20T14:37:00Z</dcterms:modified>
</cp:coreProperties>
</file>