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49D7821B" w:rsidR="001D7B45" w:rsidRPr="00043C3E"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C954B9">
              <w:rPr>
                <w:rFonts w:ascii="Times New Roman" w:eastAsia="Times New Roman" w:hAnsi="Times New Roman" w:cs="Times New Roman"/>
                <w:iCs/>
                <w:sz w:val="24"/>
                <w:szCs w:val="24"/>
              </w:rPr>
              <w:t>15</w:t>
            </w:r>
            <w:r w:rsidR="00BE2FAA">
              <w:rPr>
                <w:rFonts w:ascii="Times New Roman" w:eastAsia="Times New Roman" w:hAnsi="Times New Roman" w:cs="Times New Roman"/>
                <w:iCs/>
                <w:sz w:val="24"/>
                <w:szCs w:val="24"/>
              </w:rPr>
              <w:t>»</w:t>
            </w:r>
            <w:r w:rsidR="00CB44AB" w:rsidRPr="00EB7E17">
              <w:rPr>
                <w:rFonts w:ascii="Times New Roman" w:eastAsia="Times New Roman" w:hAnsi="Times New Roman" w:cs="Times New Roman"/>
                <w:iCs/>
                <w:sz w:val="24"/>
                <w:szCs w:val="24"/>
                <w:lang w:val="ru-RU"/>
              </w:rPr>
              <w:t xml:space="preserve"> </w:t>
            </w:r>
            <w:proofErr w:type="spellStart"/>
            <w:r w:rsidR="00C954B9">
              <w:rPr>
                <w:rFonts w:ascii="Times New Roman" w:eastAsia="Times New Roman" w:hAnsi="Times New Roman" w:cs="Times New Roman"/>
                <w:iCs/>
                <w:sz w:val="24"/>
                <w:szCs w:val="24"/>
                <w:lang w:val="ru-RU"/>
              </w:rPr>
              <w:t>травня</w:t>
            </w:r>
            <w:proofErr w:type="spellEnd"/>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w:t>
            </w:r>
            <w:r w:rsidRPr="00043C3E">
              <w:rPr>
                <w:rFonts w:ascii="Times New Roman" w:eastAsia="Times New Roman" w:hAnsi="Times New Roman" w:cs="Times New Roman"/>
                <w:iCs/>
                <w:sz w:val="24"/>
                <w:szCs w:val="24"/>
              </w:rPr>
              <w:t>року №</w:t>
            </w:r>
            <w:r w:rsidR="00444341" w:rsidRPr="00043C3E">
              <w:rPr>
                <w:rFonts w:ascii="Times New Roman" w:eastAsia="Times New Roman" w:hAnsi="Times New Roman" w:cs="Times New Roman"/>
                <w:iCs/>
                <w:sz w:val="24"/>
                <w:szCs w:val="24"/>
              </w:rPr>
              <w:t xml:space="preserve"> </w:t>
            </w:r>
            <w:r w:rsidR="00043C3E" w:rsidRPr="00043C3E">
              <w:rPr>
                <w:rFonts w:ascii="Times New Roman" w:eastAsia="Times New Roman" w:hAnsi="Times New Roman" w:cs="Times New Roman"/>
                <w:iCs/>
                <w:sz w:val="24"/>
                <w:szCs w:val="24"/>
              </w:rPr>
              <w:t>109</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043C3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GoBack"/>
            <w:bookmarkEnd w:id="0"/>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0A41BBFA"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1" w:name="_Hlk196468955"/>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00074AEA" w:rsidRPr="00074AEA">
              <w:rPr>
                <w:rFonts w:ascii="Times New Roman" w:hAnsi="Times New Roman" w:cs="Times New Roman"/>
                <w:b/>
                <w:color w:val="000000" w:themeColor="text1"/>
                <w:sz w:val="24"/>
                <w:szCs w:val="24"/>
              </w:rPr>
              <w:t>Ібупрофен</w:t>
            </w:r>
            <w:proofErr w:type="spellEnd"/>
            <w:r w:rsidR="00DC6D5A">
              <w:rPr>
                <w:rFonts w:ascii="Times New Roman" w:hAnsi="Times New Roman" w:cs="Times New Roman"/>
                <w:b/>
                <w:color w:val="000000" w:themeColor="text1"/>
                <w:sz w:val="24"/>
                <w:szCs w:val="24"/>
              </w:rPr>
              <w:t>,</w:t>
            </w:r>
            <w:r w:rsidR="00074AEA" w:rsidRPr="00074AEA">
              <w:rPr>
                <w:rFonts w:ascii="Times New Roman" w:hAnsi="Times New Roman" w:cs="Times New Roman"/>
                <w:b/>
                <w:color w:val="000000" w:themeColor="text1"/>
                <w:sz w:val="24"/>
                <w:szCs w:val="24"/>
              </w:rPr>
              <w:t xml:space="preserve"> таблетки</w:t>
            </w:r>
            <w:r w:rsidR="000E4570">
              <w:rPr>
                <w:rFonts w:ascii="Times New Roman" w:hAnsi="Times New Roman" w:cs="Times New Roman"/>
                <w:b/>
                <w:color w:val="000000" w:themeColor="text1"/>
                <w:sz w:val="24"/>
                <w:szCs w:val="24"/>
              </w:rPr>
              <w:t>/капсули</w:t>
            </w:r>
            <w:r w:rsidR="00074AEA" w:rsidRPr="00074AEA">
              <w:rPr>
                <w:rFonts w:ascii="Times New Roman" w:hAnsi="Times New Roman" w:cs="Times New Roman"/>
                <w:b/>
                <w:color w:val="000000" w:themeColor="text1"/>
                <w:sz w:val="24"/>
                <w:szCs w:val="24"/>
              </w:rPr>
              <w:t xml:space="preserve"> по 200 мг</w:t>
            </w:r>
            <w:r w:rsidR="00FC5915">
              <w:rPr>
                <w:rFonts w:ascii="Times New Roman" w:hAnsi="Times New Roman" w:cs="Times New Roman"/>
                <w:b/>
                <w:color w:val="000000" w:themeColor="text1"/>
                <w:sz w:val="24"/>
                <w:szCs w:val="24"/>
              </w:rPr>
              <w:t>,</w:t>
            </w:r>
            <w:r w:rsidRPr="00FC2940">
              <w:rPr>
                <w:rFonts w:ascii="Times New Roman" w:hAnsi="Times New Roman" w:cs="Times New Roman"/>
                <w:b/>
                <w:color w:val="000000" w:themeColor="text1"/>
                <w:sz w:val="24"/>
                <w:szCs w:val="24"/>
              </w:rPr>
              <w:t xml:space="preserve"> МНН: </w:t>
            </w:r>
            <w:proofErr w:type="spellStart"/>
            <w:r w:rsidR="004D03BF" w:rsidRPr="004D03BF">
              <w:rPr>
                <w:rFonts w:ascii="Times New Roman" w:hAnsi="Times New Roman" w:cs="Times New Roman"/>
                <w:b/>
                <w:color w:val="000000" w:themeColor="text1"/>
                <w:sz w:val="24"/>
                <w:szCs w:val="24"/>
              </w:rPr>
              <w:t>Ibuprofen</w:t>
            </w:r>
            <w:proofErr w:type="spellEnd"/>
            <w:r w:rsidRPr="00FC2940">
              <w:rPr>
                <w:rFonts w:ascii="Times New Roman" w:hAnsi="Times New Roman" w:cs="Times New Roman"/>
                <w:b/>
                <w:color w:val="000000" w:themeColor="text1"/>
                <w:sz w:val="24"/>
                <w:szCs w:val="24"/>
              </w:rPr>
              <w:t>)</w:t>
            </w:r>
          </w:p>
          <w:bookmarkEnd w:id="1"/>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3323C112" w:rsidR="00D648FD" w:rsidRDefault="00C26247"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w:t>
            </w:r>
            <w:r w:rsidR="00A666F5" w:rsidRPr="00A666F5">
              <w:rPr>
                <w:rFonts w:ascii="Times New Roman" w:hAnsi="Times New Roman" w:cs="Times New Roman"/>
                <w:color w:val="000000" w:themeColor="text1"/>
                <w:sz w:val="24"/>
                <w:szCs w:val="24"/>
              </w:rPr>
              <w:t>Вітюк Юлія Степанівна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F978CE2" w:rsidR="00F21A21" w:rsidRPr="009D1414" w:rsidRDefault="009C0534"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lang w:val="ru-RU"/>
              </w:rPr>
            </w:pPr>
            <w:r w:rsidRPr="009C0534">
              <w:rPr>
                <w:rFonts w:ascii="Times New Roman" w:hAnsi="Times New Roman"/>
                <w:bCs/>
                <w:sz w:val="24"/>
                <w:szCs w:val="24"/>
              </w:rPr>
              <w:t>ДК 021:2015: 33600000-6: Фармацевтична продукція (</w:t>
            </w:r>
            <w:bookmarkStart w:id="2" w:name="_Hlk196471168"/>
            <w:proofErr w:type="spellStart"/>
            <w:r w:rsidRPr="009C0534">
              <w:rPr>
                <w:rFonts w:ascii="Times New Roman" w:hAnsi="Times New Roman"/>
                <w:bCs/>
                <w:sz w:val="24"/>
                <w:szCs w:val="24"/>
              </w:rPr>
              <w:t>Ібупрофен</w:t>
            </w:r>
            <w:proofErr w:type="spellEnd"/>
            <w:r w:rsidR="00DC6D5A">
              <w:rPr>
                <w:rFonts w:ascii="Times New Roman" w:hAnsi="Times New Roman"/>
                <w:bCs/>
                <w:sz w:val="24"/>
                <w:szCs w:val="24"/>
              </w:rPr>
              <w:t>,</w:t>
            </w:r>
            <w:r w:rsidRPr="009C0534">
              <w:rPr>
                <w:rFonts w:ascii="Times New Roman" w:hAnsi="Times New Roman"/>
                <w:bCs/>
                <w:sz w:val="24"/>
                <w:szCs w:val="24"/>
              </w:rPr>
              <w:t xml:space="preserve"> таблетки/капсули по 200 мг, МНН: </w:t>
            </w:r>
            <w:r w:rsidR="009D1414">
              <w:t xml:space="preserve"> </w:t>
            </w:r>
            <w:proofErr w:type="spellStart"/>
            <w:r w:rsidR="009D1414" w:rsidRPr="009D1414">
              <w:rPr>
                <w:rFonts w:ascii="Times New Roman" w:hAnsi="Times New Roman"/>
                <w:bCs/>
                <w:sz w:val="24"/>
                <w:szCs w:val="24"/>
              </w:rPr>
              <w:t>Ibuprofen</w:t>
            </w:r>
            <w:bookmarkEnd w:id="2"/>
            <w:proofErr w:type="spellEnd"/>
            <w:r w:rsidR="009D1414" w:rsidRPr="009D1414">
              <w:rPr>
                <w:rFonts w:ascii="Times New Roman" w:hAnsi="Times New Roman"/>
                <w:bCs/>
                <w:sz w:val="24"/>
                <w:szCs w:val="24"/>
                <w:lang w:val="ru-RU"/>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508DFBB3" w:rsidR="00FC5F6E" w:rsidRPr="00C56E09" w:rsidRDefault="00DC6D5A" w:rsidP="00BF5A18">
            <w:pPr>
              <w:spacing w:after="0" w:line="240" w:lineRule="auto"/>
              <w:contextualSpacing/>
              <w:rPr>
                <w:rFonts w:ascii="Times New Roman" w:hAnsi="Times New Roman" w:cs="Times New Roman"/>
                <w:color w:val="000000" w:themeColor="text1"/>
                <w:sz w:val="24"/>
                <w:szCs w:val="24"/>
              </w:rPr>
            </w:pPr>
            <w:r w:rsidRPr="00DC6D5A">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xml:space="preserve"> </w:t>
            </w:r>
            <w:r w:rsidRPr="00DC6D5A">
              <w:rPr>
                <w:rFonts w:ascii="Times New Roman" w:hAnsi="Times New Roman" w:cs="Times New Roman"/>
                <w:color w:val="000000" w:themeColor="text1"/>
                <w:sz w:val="24"/>
                <w:szCs w:val="24"/>
              </w:rPr>
              <w:t>188,00</w:t>
            </w:r>
            <w:r>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1AC06D0"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30 липня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0D7490A7"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245F21">
              <w:rPr>
                <w:rFonts w:ascii="Times New Roman" w:eastAsia="Times New Roman" w:hAnsi="Times New Roman" w:cs="Times New Roman"/>
                <w:color w:val="000000"/>
                <w:sz w:val="24"/>
                <w:szCs w:val="24"/>
              </w:rPr>
              <w:t>29</w:t>
            </w:r>
            <w:r w:rsidR="001A59F3" w:rsidRPr="00F7036E">
              <w:rPr>
                <w:rFonts w:ascii="Times New Roman" w:eastAsia="Times New Roman" w:hAnsi="Times New Roman" w:cs="Times New Roman"/>
                <w:color w:val="000000"/>
                <w:sz w:val="24"/>
                <w:szCs w:val="24"/>
              </w:rPr>
              <w:t xml:space="preserve">» </w:t>
            </w:r>
            <w:r w:rsidR="008A61DC">
              <w:rPr>
                <w:rFonts w:ascii="Times New Roman" w:eastAsia="Times New Roman" w:hAnsi="Times New Roman" w:cs="Times New Roman"/>
                <w:color w:val="000000"/>
                <w:sz w:val="24"/>
                <w:szCs w:val="24"/>
              </w:rPr>
              <w:t>травня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18C039F5"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FC5915" w:rsidRPr="00FC5915">
              <w:rPr>
                <w:sz w:val="24"/>
                <w:szCs w:val="24"/>
                <w:lang w:val="uk-UA"/>
              </w:rPr>
              <w:t>ДК 021:2015: 33600000-6: Фармацевтична продукція (</w:t>
            </w:r>
            <w:r w:rsidR="00991352">
              <w:t xml:space="preserve"> </w:t>
            </w:r>
            <w:r w:rsidR="009C0534">
              <w:t xml:space="preserve"> </w:t>
            </w:r>
            <w:proofErr w:type="spellStart"/>
            <w:r w:rsidR="009C0534" w:rsidRPr="009C0534">
              <w:rPr>
                <w:sz w:val="24"/>
                <w:szCs w:val="24"/>
                <w:lang w:val="uk-UA"/>
              </w:rPr>
              <w:t>Ібупрофен</w:t>
            </w:r>
            <w:proofErr w:type="spellEnd"/>
            <w:r w:rsidR="002C4CD4">
              <w:rPr>
                <w:sz w:val="24"/>
                <w:szCs w:val="24"/>
                <w:lang w:val="uk-UA"/>
              </w:rPr>
              <w:t>,</w:t>
            </w:r>
            <w:r w:rsidR="009C0534" w:rsidRPr="009C0534">
              <w:rPr>
                <w:sz w:val="24"/>
                <w:szCs w:val="24"/>
                <w:lang w:val="uk-UA"/>
              </w:rPr>
              <w:t xml:space="preserve"> таблетки/капсули по 200 мг, МНН: </w:t>
            </w:r>
            <w:r w:rsidR="009D1414">
              <w:t xml:space="preserve"> </w:t>
            </w:r>
            <w:proofErr w:type="spellStart"/>
            <w:r w:rsidR="009D1414" w:rsidRPr="009D1414">
              <w:rPr>
                <w:sz w:val="24"/>
                <w:szCs w:val="24"/>
                <w:lang w:val="uk-UA"/>
              </w:rPr>
              <w:t>Ibuprofen</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245F21">
              <w:rPr>
                <w:bCs/>
                <w:sz w:val="24"/>
                <w:szCs w:val="24"/>
                <w:lang w:val="uk-UA"/>
              </w:rPr>
              <w:t>29</w:t>
            </w:r>
            <w:r w:rsidRPr="00F7036E">
              <w:rPr>
                <w:bCs/>
                <w:sz w:val="24"/>
                <w:szCs w:val="24"/>
                <w:lang w:val="uk-UA"/>
              </w:rPr>
              <w:t xml:space="preserve">» </w:t>
            </w:r>
            <w:r w:rsidR="00B025EE">
              <w:rPr>
                <w:bCs/>
                <w:sz w:val="24"/>
                <w:szCs w:val="24"/>
                <w:lang w:val="uk-UA"/>
              </w:rPr>
              <w:t>травня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адреса, ідентифікаційний код, контактний номер </w:t>
            </w:r>
            <w:r w:rsidRPr="005D1211">
              <w:rPr>
                <w:bCs/>
                <w:sz w:val="24"/>
                <w:szCs w:val="24"/>
                <w:lang w:val="uk-UA"/>
              </w:rPr>
              <w:lastRenderedPageBreak/>
              <w:t>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367CFC29"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FC5915" w:rsidRPr="00FC5915">
              <w:rPr>
                <w:bCs/>
                <w:sz w:val="24"/>
                <w:szCs w:val="24"/>
                <w:lang w:val="uk-UA"/>
              </w:rPr>
              <w:t>ДК 021:2015: 33600000-6: Фармацевтична продукція (</w:t>
            </w:r>
            <w:r w:rsidR="00991352">
              <w:t xml:space="preserve"> </w:t>
            </w:r>
            <w:r w:rsidR="009C0534">
              <w:t xml:space="preserve"> </w:t>
            </w:r>
            <w:proofErr w:type="spellStart"/>
            <w:r w:rsidR="009C0534" w:rsidRPr="009C0534">
              <w:rPr>
                <w:bCs/>
                <w:sz w:val="24"/>
                <w:szCs w:val="24"/>
                <w:lang w:val="uk-UA"/>
              </w:rPr>
              <w:t>Ібупрофен</w:t>
            </w:r>
            <w:proofErr w:type="spellEnd"/>
            <w:r w:rsidR="002C4CD4">
              <w:rPr>
                <w:bCs/>
                <w:sz w:val="24"/>
                <w:szCs w:val="24"/>
                <w:lang w:val="uk-UA"/>
              </w:rPr>
              <w:t>,</w:t>
            </w:r>
            <w:r w:rsidR="009C0534" w:rsidRPr="009C0534">
              <w:rPr>
                <w:bCs/>
                <w:sz w:val="24"/>
                <w:szCs w:val="24"/>
                <w:lang w:val="uk-UA"/>
              </w:rPr>
              <w:t xml:space="preserve"> таблетки/капсули по 200 мг, МНН: </w:t>
            </w:r>
            <w:r w:rsidR="009D1414">
              <w:t xml:space="preserve"> </w:t>
            </w:r>
            <w:proofErr w:type="spellStart"/>
            <w:r w:rsidR="009D1414" w:rsidRPr="009D1414">
              <w:rPr>
                <w:bCs/>
                <w:sz w:val="24"/>
                <w:szCs w:val="24"/>
                <w:lang w:val="uk-UA"/>
              </w:rPr>
              <w:t>Ibuprofen</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245F21">
              <w:rPr>
                <w:bCs/>
                <w:sz w:val="24"/>
                <w:szCs w:val="24"/>
                <w:lang w:val="uk-UA"/>
              </w:rPr>
              <w:t>03</w:t>
            </w:r>
            <w:r w:rsidR="00901B41" w:rsidRPr="005D1211">
              <w:rPr>
                <w:bCs/>
                <w:sz w:val="24"/>
                <w:szCs w:val="24"/>
                <w:lang w:val="uk-UA"/>
              </w:rPr>
              <w:t xml:space="preserve">» </w:t>
            </w:r>
            <w:r w:rsidR="00245F21">
              <w:rPr>
                <w:bCs/>
                <w:sz w:val="24"/>
                <w:szCs w:val="24"/>
                <w:lang w:val="uk-UA"/>
              </w:rPr>
              <w:t>червня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AD160AC" w14:textId="77777777" w:rsidR="0047012B" w:rsidRDefault="00827FEE" w:rsidP="0047012B">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47012B">
              <w:rPr>
                <w:rFonts w:ascii="Times New Roman" w:eastAsia="Times New Roman" w:hAnsi="Times New Roman" w:cs="Times New Roman"/>
                <w:b/>
                <w:bCs/>
                <w:sz w:val="24"/>
                <w:szCs w:val="24"/>
              </w:rPr>
              <w:t>.</w:t>
            </w:r>
          </w:p>
          <w:p w14:paraId="4766F82F" w14:textId="07A472B6" w:rsidR="00D24523" w:rsidRPr="001A08A5" w:rsidRDefault="00827FEE" w:rsidP="0047012B">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064505AA"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245F21">
              <w:rPr>
                <w:rFonts w:ascii="Times New Roman" w:eastAsia="Times New Roman" w:hAnsi="Times New Roman" w:cs="Times New Roman"/>
                <w:sz w:val="24"/>
                <w:szCs w:val="24"/>
              </w:rPr>
              <w:t>29</w:t>
            </w:r>
            <w:r w:rsidR="000D6311">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14A186C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245F21">
              <w:rPr>
                <w:rFonts w:ascii="Times New Roman" w:eastAsia="Times New Roman" w:hAnsi="Times New Roman" w:cs="Times New Roman"/>
                <w:sz w:val="24"/>
                <w:szCs w:val="24"/>
              </w:rPr>
              <w:t>03</w:t>
            </w:r>
            <w:r w:rsidR="00ED06E0" w:rsidRPr="00ED06E0">
              <w:rPr>
                <w:rFonts w:ascii="Times New Roman" w:eastAsia="Times New Roman" w:hAnsi="Times New Roman" w:cs="Times New Roman"/>
                <w:sz w:val="24"/>
                <w:szCs w:val="24"/>
              </w:rPr>
              <w:t xml:space="preserve"> </w:t>
            </w:r>
            <w:r w:rsidR="00245F21">
              <w:rPr>
                <w:rFonts w:ascii="Times New Roman" w:eastAsia="Times New Roman" w:hAnsi="Times New Roman" w:cs="Times New Roman"/>
                <w:sz w:val="24"/>
                <w:szCs w:val="24"/>
              </w:rPr>
              <w:t>червня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6"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7" w:name="_Hlk47079990"/>
      <w:bookmarkEnd w:id="6"/>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2126"/>
        <w:gridCol w:w="1418"/>
        <w:gridCol w:w="1417"/>
        <w:gridCol w:w="1843"/>
      </w:tblGrid>
      <w:tr w:rsidR="00B44D0F" w:rsidRPr="00C3018A" w14:paraId="493F3AE7" w14:textId="5B9261DC" w:rsidTr="00441569">
        <w:trPr>
          <w:trHeight w:val="1134"/>
        </w:trPr>
        <w:tc>
          <w:tcPr>
            <w:tcW w:w="425"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126"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9"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126"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417"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B644C0" w:rsidRPr="00C3018A" w14:paraId="35B761D0" w14:textId="77777777" w:rsidTr="002167A7">
        <w:trPr>
          <w:trHeight w:val="2160"/>
        </w:trPr>
        <w:tc>
          <w:tcPr>
            <w:tcW w:w="425" w:type="dxa"/>
          </w:tcPr>
          <w:p w14:paraId="1B553EFF"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shd w:val="clear" w:color="auto" w:fill="auto"/>
            <w:vAlign w:val="center"/>
          </w:tcPr>
          <w:p w14:paraId="4947932E" w14:textId="1CB66480" w:rsidR="00B644C0" w:rsidRPr="00C3018A" w:rsidRDefault="009C053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9C0534">
              <w:rPr>
                <w:rFonts w:ascii="Times New Roman" w:eastAsia="Times New Roman" w:hAnsi="Times New Roman"/>
                <w:sz w:val="24"/>
                <w:szCs w:val="24"/>
                <w:lang w:eastAsia="ru-RU"/>
              </w:rPr>
              <w:t>Ібупрофен</w:t>
            </w:r>
            <w:proofErr w:type="spellEnd"/>
            <w:r w:rsidRPr="009C0534">
              <w:rPr>
                <w:rFonts w:ascii="Times New Roman" w:eastAsia="Times New Roman" w:hAnsi="Times New Roman"/>
                <w:sz w:val="24"/>
                <w:szCs w:val="24"/>
                <w:lang w:eastAsia="ru-RU"/>
              </w:rPr>
              <w:t xml:space="preserve"> </w:t>
            </w:r>
          </w:p>
        </w:tc>
        <w:tc>
          <w:tcPr>
            <w:tcW w:w="2126" w:type="dxa"/>
            <w:vAlign w:val="center"/>
          </w:tcPr>
          <w:p w14:paraId="59E636A2" w14:textId="575EC44B" w:rsidR="00B644C0" w:rsidRPr="00C3018A" w:rsidRDefault="009C0534" w:rsidP="00B644C0">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9C0534">
              <w:rPr>
                <w:rFonts w:ascii="Times New Roman" w:eastAsia="Times New Roman" w:hAnsi="Times New Roman" w:cs="Times New Roman"/>
                <w:sz w:val="24"/>
                <w:szCs w:val="24"/>
                <w:lang w:eastAsia="ru-RU"/>
              </w:rPr>
              <w:t>таблетки/капсули по 200 мг</w:t>
            </w:r>
          </w:p>
        </w:tc>
        <w:tc>
          <w:tcPr>
            <w:tcW w:w="1418" w:type="dxa"/>
            <w:shd w:val="clear" w:color="auto" w:fill="auto"/>
            <w:vAlign w:val="center"/>
          </w:tcPr>
          <w:p w14:paraId="6FCAC668" w14:textId="72108232" w:rsidR="00B644C0" w:rsidRPr="00194FFF" w:rsidRDefault="004925E9" w:rsidP="00B644C0">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noWrap/>
            <w:vAlign w:val="center"/>
          </w:tcPr>
          <w:p w14:paraId="512A70A7" w14:textId="229943D7" w:rsidR="00B644C0" w:rsidRPr="00B644C0" w:rsidRDefault="004C266A"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4C266A">
              <w:rPr>
                <w:rFonts w:ascii="Times New Roman" w:eastAsia="Times New Roman" w:hAnsi="Times New Roman" w:cs="Times New Roman"/>
                <w:sz w:val="24"/>
                <w:szCs w:val="24"/>
                <w:lang w:val="en-US" w:eastAsia="ru-RU"/>
              </w:rPr>
              <w:t>22</w:t>
            </w:r>
            <w:r>
              <w:rPr>
                <w:rFonts w:ascii="Times New Roman" w:eastAsia="Times New Roman" w:hAnsi="Times New Roman" w:cs="Times New Roman"/>
                <w:sz w:val="24"/>
                <w:szCs w:val="24"/>
                <w:lang w:eastAsia="ru-RU"/>
              </w:rPr>
              <w:t xml:space="preserve"> </w:t>
            </w:r>
            <w:r w:rsidRPr="004C266A">
              <w:rPr>
                <w:rFonts w:ascii="Times New Roman" w:eastAsia="Times New Roman" w:hAnsi="Times New Roman" w:cs="Times New Roman"/>
                <w:sz w:val="24"/>
                <w:szCs w:val="24"/>
                <w:lang w:val="en-US" w:eastAsia="ru-RU"/>
              </w:rPr>
              <w:t>500</w:t>
            </w:r>
          </w:p>
        </w:tc>
        <w:tc>
          <w:tcPr>
            <w:tcW w:w="1843" w:type="dxa"/>
            <w:vAlign w:val="center"/>
          </w:tcPr>
          <w:p w14:paraId="16AFA0C4" w14:textId="77777777" w:rsid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6AB735AC" w:rsidR="00B644C0" w:rsidRPr="00DC7B89"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липня 2025 року.</w:t>
            </w:r>
          </w:p>
        </w:tc>
      </w:tr>
      <w:bookmarkEnd w:id="9"/>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7"/>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3168A4F8"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FC5915" w:rsidRPr="00FC5915">
        <w:rPr>
          <w:rFonts w:ascii="Times New Roman" w:eastAsia="Times New Roman" w:hAnsi="Times New Roman" w:cs="Times New Roman"/>
          <w:b/>
          <w:sz w:val="24"/>
          <w:szCs w:val="24"/>
        </w:rPr>
        <w:t>ДК 021:2015: 33600000-6: Фармацевтична продукція (</w:t>
      </w:r>
      <w:proofErr w:type="spellStart"/>
      <w:r w:rsidR="009C0534" w:rsidRPr="009C0534">
        <w:rPr>
          <w:rFonts w:ascii="Times New Roman" w:eastAsia="Times New Roman" w:hAnsi="Times New Roman" w:cs="Times New Roman"/>
          <w:b/>
          <w:sz w:val="24"/>
          <w:szCs w:val="24"/>
        </w:rPr>
        <w:t>Ібупрофен</w:t>
      </w:r>
      <w:proofErr w:type="spellEnd"/>
      <w:r w:rsidR="000B64BE">
        <w:rPr>
          <w:rFonts w:ascii="Times New Roman" w:eastAsia="Times New Roman" w:hAnsi="Times New Roman" w:cs="Times New Roman"/>
          <w:b/>
          <w:sz w:val="24"/>
          <w:szCs w:val="24"/>
        </w:rPr>
        <w:t>,</w:t>
      </w:r>
      <w:r w:rsidR="009C0534" w:rsidRPr="009C0534">
        <w:rPr>
          <w:rFonts w:ascii="Times New Roman" w:eastAsia="Times New Roman" w:hAnsi="Times New Roman" w:cs="Times New Roman"/>
          <w:b/>
          <w:sz w:val="24"/>
          <w:szCs w:val="24"/>
        </w:rPr>
        <w:t xml:space="preserve"> таблетки/капсули по 200 мг, МНН: </w:t>
      </w:r>
      <w:proofErr w:type="spellStart"/>
      <w:r w:rsidR="009D1414" w:rsidRPr="009D1414">
        <w:rPr>
          <w:rFonts w:ascii="Times New Roman" w:eastAsia="Times New Roman" w:hAnsi="Times New Roman" w:cs="Times New Roman"/>
          <w:b/>
          <w:sz w:val="24"/>
          <w:szCs w:val="24"/>
        </w:rPr>
        <w:t>Ibuprofen</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10"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10"/>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AEE2FA8"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C5915" w:rsidRPr="00FC5915">
        <w:rPr>
          <w:rFonts w:ascii="Times New Roman" w:eastAsia="Times New Roman" w:hAnsi="Times New Roman" w:cs="Times New Roman"/>
          <w:b/>
          <w:bCs/>
          <w:sz w:val="24"/>
          <w:szCs w:val="24"/>
          <w:lang w:eastAsia="ru-RU"/>
        </w:rPr>
        <w:t>ДК 021:2015: 33600000-6: Фармацевтична продукція (</w:t>
      </w:r>
      <w:proofErr w:type="spellStart"/>
      <w:r w:rsidR="009C0534" w:rsidRPr="009C0534">
        <w:rPr>
          <w:rFonts w:ascii="Times New Roman" w:eastAsia="Times New Roman" w:hAnsi="Times New Roman" w:cs="Times New Roman"/>
          <w:b/>
          <w:bCs/>
          <w:sz w:val="24"/>
          <w:szCs w:val="24"/>
          <w:lang w:eastAsia="ru-RU"/>
        </w:rPr>
        <w:t>Ібупрофен</w:t>
      </w:r>
      <w:proofErr w:type="spellEnd"/>
      <w:r w:rsidR="000B64BE">
        <w:rPr>
          <w:rFonts w:ascii="Times New Roman" w:eastAsia="Times New Roman" w:hAnsi="Times New Roman" w:cs="Times New Roman"/>
          <w:b/>
          <w:bCs/>
          <w:sz w:val="24"/>
          <w:szCs w:val="24"/>
          <w:lang w:eastAsia="ru-RU"/>
        </w:rPr>
        <w:t>,</w:t>
      </w:r>
      <w:r w:rsidR="009C0534" w:rsidRPr="009C0534">
        <w:rPr>
          <w:rFonts w:ascii="Times New Roman" w:eastAsia="Times New Roman" w:hAnsi="Times New Roman" w:cs="Times New Roman"/>
          <w:b/>
          <w:bCs/>
          <w:sz w:val="24"/>
          <w:szCs w:val="24"/>
          <w:lang w:eastAsia="ru-RU"/>
        </w:rPr>
        <w:t xml:space="preserve"> таблетки/капсули по 200 мг, МНН: </w:t>
      </w:r>
      <w:proofErr w:type="spellStart"/>
      <w:r w:rsidR="009D1414" w:rsidRPr="009D1414">
        <w:rPr>
          <w:rFonts w:ascii="Times New Roman" w:eastAsia="Times New Roman" w:hAnsi="Times New Roman" w:cs="Times New Roman"/>
          <w:b/>
          <w:bCs/>
          <w:sz w:val="24"/>
          <w:szCs w:val="24"/>
          <w:lang w:eastAsia="ru-RU"/>
        </w:rPr>
        <w:t>Ibuprofen</w:t>
      </w:r>
      <w:proofErr w:type="spellEnd"/>
      <w:r w:rsidR="00FC5915" w:rsidRPr="00FC5915">
        <w:rPr>
          <w:rFonts w:ascii="Times New Roman" w:eastAsia="Times New Roman" w:hAnsi="Times New Roman" w:cs="Times New Roman"/>
          <w:b/>
          <w:bCs/>
          <w:sz w:val="24"/>
          <w:szCs w:val="24"/>
          <w:lang w:eastAsia="ru-RU"/>
        </w:rPr>
        <w:t>)</w:t>
      </w:r>
      <w:r w:rsidR="00FC591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1" w:name="_Hlk158632907"/>
      <w:bookmarkStart w:id="12"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3" w:name="_heading=h.gjdgxs" w:colFirst="0" w:colLast="0"/>
      <w:bookmarkEnd w:id="11"/>
      <w:bookmarkEnd w:id="13"/>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7965C3C0"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C5915" w:rsidRPr="00FC5915">
        <w:rPr>
          <w:rFonts w:ascii="Times New Roman" w:eastAsia="Times New Roman" w:hAnsi="Times New Roman"/>
          <w:b/>
          <w:sz w:val="24"/>
          <w:szCs w:val="24"/>
        </w:rPr>
        <w:t>ДК 021:2015: 33600000-6: Фармацевтична продукція (</w:t>
      </w:r>
      <w:proofErr w:type="spellStart"/>
      <w:r w:rsidR="009C0534" w:rsidRPr="009C0534">
        <w:rPr>
          <w:rFonts w:ascii="Times New Roman" w:eastAsia="Times New Roman" w:hAnsi="Times New Roman"/>
          <w:b/>
          <w:sz w:val="24"/>
          <w:szCs w:val="24"/>
        </w:rPr>
        <w:t>Ібупрофен</w:t>
      </w:r>
      <w:proofErr w:type="spellEnd"/>
      <w:r w:rsidR="00A55C57">
        <w:rPr>
          <w:rFonts w:ascii="Times New Roman" w:eastAsia="Times New Roman" w:hAnsi="Times New Roman"/>
          <w:b/>
          <w:sz w:val="24"/>
          <w:szCs w:val="24"/>
        </w:rPr>
        <w:t>,</w:t>
      </w:r>
      <w:r w:rsidR="009C0534" w:rsidRPr="009C0534">
        <w:rPr>
          <w:rFonts w:ascii="Times New Roman" w:eastAsia="Times New Roman" w:hAnsi="Times New Roman"/>
          <w:b/>
          <w:sz w:val="24"/>
          <w:szCs w:val="24"/>
        </w:rPr>
        <w:t xml:space="preserve"> таблетки/капсули по 200 мг, МНН: </w:t>
      </w:r>
      <w:proofErr w:type="spellStart"/>
      <w:r w:rsidR="009D1414" w:rsidRPr="009D1414">
        <w:rPr>
          <w:rFonts w:ascii="Times New Roman" w:eastAsia="Times New Roman" w:hAnsi="Times New Roman"/>
          <w:b/>
          <w:sz w:val="24"/>
          <w:szCs w:val="24"/>
        </w:rPr>
        <w:t>Ibuprofen</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062455F"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834152">
        <w:rPr>
          <w:sz w:val="24"/>
          <w:szCs w:val="24"/>
          <w:lang w:val="uk-UA"/>
        </w:rPr>
        <w:t>липня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w:t>
      </w:r>
      <w:r w:rsidRPr="00C12363">
        <w:rPr>
          <w:rFonts w:ascii="Times New Roman" w:eastAsia="Times New Roman" w:hAnsi="Times New Roman"/>
          <w:sz w:val="24"/>
          <w:szCs w:val="24"/>
        </w:rPr>
        <w:lastRenderedPageBreak/>
        <w:t>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4"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4"/>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lastRenderedPageBreak/>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lastRenderedPageBreak/>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w:t>
      </w:r>
      <w:r w:rsidRPr="00C12363">
        <w:rPr>
          <w:rFonts w:ascii="Times New Roman" w:eastAsia="Times New Roman" w:hAnsi="Times New Roman"/>
          <w:sz w:val="24"/>
          <w:szCs w:val="24"/>
        </w:rPr>
        <w:lastRenderedPageBreak/>
        <w:t xml:space="preserve">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7E11BDE3"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FC5915" w:rsidRPr="00FC5915">
        <w:rPr>
          <w:rFonts w:ascii="Times New Roman" w:eastAsia="Times New Roman" w:hAnsi="Times New Roman"/>
          <w:b/>
          <w:sz w:val="24"/>
          <w:szCs w:val="24"/>
        </w:rPr>
        <w:t>ДК 021:2015: 33600000-6: Фармацевтична продукція (</w:t>
      </w:r>
      <w:proofErr w:type="spellStart"/>
      <w:r w:rsidR="009C0534" w:rsidRPr="009C0534">
        <w:rPr>
          <w:rFonts w:ascii="Times New Roman" w:eastAsia="Times New Roman" w:hAnsi="Times New Roman"/>
          <w:b/>
          <w:sz w:val="24"/>
          <w:szCs w:val="24"/>
        </w:rPr>
        <w:t>Ібупрофен</w:t>
      </w:r>
      <w:proofErr w:type="spellEnd"/>
      <w:r w:rsidR="009C0534" w:rsidRPr="009C0534">
        <w:rPr>
          <w:rFonts w:ascii="Times New Roman" w:eastAsia="Times New Roman" w:hAnsi="Times New Roman"/>
          <w:b/>
          <w:sz w:val="24"/>
          <w:szCs w:val="24"/>
        </w:rPr>
        <w:t xml:space="preserve"> таблетки/капсули по 200 мг, МНН: </w:t>
      </w:r>
      <w:proofErr w:type="spellStart"/>
      <w:r w:rsidR="009D1414" w:rsidRPr="009D1414">
        <w:rPr>
          <w:rFonts w:ascii="Times New Roman" w:eastAsia="Times New Roman" w:hAnsi="Times New Roman"/>
          <w:b/>
          <w:sz w:val="24"/>
          <w:szCs w:val="24"/>
        </w:rPr>
        <w:t>Ibuprofen</w:t>
      </w:r>
      <w:proofErr w:type="spellEnd"/>
      <w:r w:rsidR="00FC5915" w:rsidRPr="00FC5915">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4674500F"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C5915" w:rsidRPr="00FC5915">
        <w:rPr>
          <w:rFonts w:ascii="Times New Roman" w:hAnsi="Times New Roman" w:cs="Times New Roman"/>
          <w:b/>
          <w:bCs/>
        </w:rPr>
        <w:t>ДК 021:2015: 33600000-6: Фармацевтична продукція (</w:t>
      </w:r>
      <w:proofErr w:type="spellStart"/>
      <w:r w:rsidR="009C0534" w:rsidRPr="009C0534">
        <w:rPr>
          <w:rFonts w:ascii="Times New Roman" w:hAnsi="Times New Roman" w:cs="Times New Roman"/>
          <w:b/>
          <w:bCs/>
        </w:rPr>
        <w:t>Ібупрофен</w:t>
      </w:r>
      <w:proofErr w:type="spellEnd"/>
      <w:r w:rsidR="009C0534" w:rsidRPr="009C0534">
        <w:rPr>
          <w:rFonts w:ascii="Times New Roman" w:hAnsi="Times New Roman" w:cs="Times New Roman"/>
          <w:b/>
          <w:bCs/>
        </w:rPr>
        <w:t xml:space="preserve"> таблетки/капсули по 200 мг, МНН: </w:t>
      </w:r>
      <w:proofErr w:type="spellStart"/>
      <w:r w:rsidR="009D1414" w:rsidRPr="009D1414">
        <w:rPr>
          <w:rFonts w:ascii="Times New Roman" w:hAnsi="Times New Roman" w:cs="Times New Roman"/>
          <w:b/>
          <w:bCs/>
        </w:rPr>
        <w:t>Ibuprofen</w:t>
      </w:r>
      <w:proofErr w:type="spellEnd"/>
      <w:r w:rsidR="00FC5915" w:rsidRPr="00FC5915">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2"/>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562F91" w:rsidRPr="00813DFF" w14:paraId="0F798CA7" w14:textId="77777777" w:rsidTr="00E46B07">
        <w:tc>
          <w:tcPr>
            <w:tcW w:w="436" w:type="dxa"/>
          </w:tcPr>
          <w:p w14:paraId="0B092F29" w14:textId="372E05DE" w:rsidR="00562F91" w:rsidRPr="00813DFF" w:rsidRDefault="00562F91" w:rsidP="00562F91">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64E35A3E" w14:textId="77777777" w:rsidR="00562F91" w:rsidRDefault="00562F91" w:rsidP="00562F91">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0109E188" w:rsidR="00562F91" w:rsidRPr="00A068A3" w:rsidRDefault="00562F91" w:rsidP="00562F91">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592F269A" w14:textId="77777777" w:rsidR="00562F91" w:rsidRPr="00203FC2" w:rsidRDefault="00562F91" w:rsidP="00562F91">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00E8CD2C" w14:textId="77777777" w:rsidR="00562F91" w:rsidRPr="006F592A" w:rsidRDefault="00562F91" w:rsidP="00562F91">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7E13C1AF" w14:textId="77777777" w:rsidR="00562F91" w:rsidRDefault="00562F91" w:rsidP="00562F91">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731DCC2F" w:rsidR="00562F91" w:rsidRPr="00A068A3" w:rsidRDefault="00562F91" w:rsidP="00562F91">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5" w:name="_Hlk137800270"/>
      <w:bookmarkStart w:id="16" w:name="_Hlk137221924"/>
    </w:p>
    <w:bookmarkEnd w:id="15"/>
    <w:bookmarkEnd w:id="16"/>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1C53" w14:textId="77777777" w:rsidR="00C26247" w:rsidRDefault="00C26247" w:rsidP="00A5280A">
      <w:pPr>
        <w:spacing w:after="0" w:line="240" w:lineRule="auto"/>
      </w:pPr>
      <w:r>
        <w:separator/>
      </w:r>
    </w:p>
  </w:endnote>
  <w:endnote w:type="continuationSeparator" w:id="0">
    <w:p w14:paraId="110FD910" w14:textId="77777777" w:rsidR="00C26247" w:rsidRDefault="00C2624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C4CD4" w:rsidRDefault="002C4CD4">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2C4CD4" w:rsidRDefault="002C4CD4">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2C4CD4" w:rsidRDefault="002C4CD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2C4CD4" w:rsidRDefault="002C4CD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2C4CD4" w:rsidRDefault="002C4CD4">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12D9" w14:textId="77777777" w:rsidR="00C26247" w:rsidRDefault="00C26247" w:rsidP="00A5280A">
      <w:pPr>
        <w:spacing w:after="0" w:line="240" w:lineRule="auto"/>
      </w:pPr>
      <w:r>
        <w:separator/>
      </w:r>
    </w:p>
  </w:footnote>
  <w:footnote w:type="continuationSeparator" w:id="0">
    <w:p w14:paraId="5E7AF9F7" w14:textId="77777777" w:rsidR="00C26247" w:rsidRDefault="00C2624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2C4CD4" w:rsidRPr="00642680" w:rsidRDefault="002C4CD4"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2C4CD4" w:rsidRPr="00767A25" w:rsidRDefault="002C4CD4"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3C3E"/>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8FF"/>
    <w:rsid w:val="00143F53"/>
    <w:rsid w:val="00145B29"/>
    <w:rsid w:val="001465B5"/>
    <w:rsid w:val="00147002"/>
    <w:rsid w:val="001476B5"/>
    <w:rsid w:val="00150D92"/>
    <w:rsid w:val="0015121B"/>
    <w:rsid w:val="00154E8B"/>
    <w:rsid w:val="001574C1"/>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5F21"/>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12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2645"/>
    <w:rsid w:val="00562F91"/>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05E10"/>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796C"/>
    <w:rsid w:val="00B67C5B"/>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2FAA"/>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32D7"/>
    <w:rsid w:val="00C259B6"/>
    <w:rsid w:val="00C26247"/>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54B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CA3"/>
    <w:rsid w:val="00FB3442"/>
    <w:rsid w:val="00FB3533"/>
    <w:rsid w:val="00FB434C"/>
    <w:rsid w:val="00FB502F"/>
    <w:rsid w:val="00FB602C"/>
    <w:rsid w:val="00FC28C1"/>
    <w:rsid w:val="00FC2940"/>
    <w:rsid w:val="00FC2DC4"/>
    <w:rsid w:val="00FC48EA"/>
    <w:rsid w:val="00FC5915"/>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E178-5393-4529-A65D-BE831014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40</Pages>
  <Words>64848</Words>
  <Characters>36964</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379</cp:revision>
  <cp:lastPrinted>2024-07-02T07:09:00Z</cp:lastPrinted>
  <dcterms:created xsi:type="dcterms:W3CDTF">2024-08-14T08:32:00Z</dcterms:created>
  <dcterms:modified xsi:type="dcterms:W3CDTF">2025-05-15T14:10:00Z</dcterms:modified>
</cp:coreProperties>
</file>