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22F47845" w:rsidR="001D7B45" w:rsidRPr="00884A84"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від "</w:t>
            </w:r>
            <w:r w:rsidR="00A84085">
              <w:rPr>
                <w:rFonts w:ascii="Times New Roman" w:eastAsia="Times New Roman" w:hAnsi="Times New Roman" w:cs="Times New Roman"/>
                <w:iCs/>
                <w:sz w:val="24"/>
                <w:szCs w:val="24"/>
                <w:lang w:val="ru-RU"/>
              </w:rPr>
              <w:t>15</w:t>
            </w:r>
            <w:bookmarkStart w:id="0" w:name="_GoBack"/>
            <w:bookmarkEnd w:id="0"/>
            <w:r w:rsidRPr="005E4C09">
              <w:rPr>
                <w:rFonts w:ascii="Times New Roman" w:eastAsia="Times New Roman" w:hAnsi="Times New Roman" w:cs="Times New Roman"/>
                <w:iCs/>
                <w:sz w:val="24"/>
                <w:szCs w:val="24"/>
              </w:rPr>
              <w:t>"</w:t>
            </w:r>
            <w:r w:rsidR="00CB44AB" w:rsidRPr="005E4C09">
              <w:rPr>
                <w:rFonts w:ascii="Times New Roman" w:eastAsia="Times New Roman" w:hAnsi="Times New Roman" w:cs="Times New Roman"/>
                <w:iCs/>
                <w:sz w:val="24"/>
                <w:szCs w:val="24"/>
                <w:lang w:val="ru-RU"/>
              </w:rPr>
              <w:t xml:space="preserve"> </w:t>
            </w:r>
            <w:proofErr w:type="spellStart"/>
            <w:r w:rsidR="00175460">
              <w:rPr>
                <w:rFonts w:ascii="Times New Roman" w:eastAsia="Times New Roman" w:hAnsi="Times New Roman" w:cs="Times New Roman"/>
                <w:iCs/>
                <w:sz w:val="24"/>
                <w:szCs w:val="24"/>
                <w:lang w:val="ru-RU"/>
              </w:rPr>
              <w:t>квітня</w:t>
            </w:r>
            <w:proofErr w:type="spellEnd"/>
            <w:r w:rsidRPr="00D431AE">
              <w:rPr>
                <w:rFonts w:ascii="Times New Roman" w:eastAsia="Times New Roman" w:hAnsi="Times New Roman" w:cs="Times New Roman"/>
                <w:iCs/>
                <w:sz w:val="24"/>
                <w:szCs w:val="24"/>
              </w:rPr>
              <w:t xml:space="preserve"> 202</w:t>
            </w:r>
            <w:r w:rsidR="002E6867">
              <w:rPr>
                <w:rFonts w:ascii="Times New Roman" w:eastAsia="Times New Roman" w:hAnsi="Times New Roman" w:cs="Times New Roman"/>
                <w:iCs/>
                <w:sz w:val="24"/>
                <w:szCs w:val="24"/>
              </w:rPr>
              <w:t>5</w:t>
            </w:r>
            <w:r w:rsidRPr="00D431AE">
              <w:rPr>
                <w:rFonts w:ascii="Times New Roman" w:eastAsia="Times New Roman" w:hAnsi="Times New Roman" w:cs="Times New Roman"/>
                <w:iCs/>
                <w:sz w:val="24"/>
                <w:szCs w:val="24"/>
              </w:rPr>
              <w:t xml:space="preserve"> </w:t>
            </w:r>
            <w:r w:rsidRPr="009C0917">
              <w:rPr>
                <w:rFonts w:ascii="Times New Roman" w:eastAsia="Times New Roman" w:hAnsi="Times New Roman" w:cs="Times New Roman"/>
                <w:iCs/>
                <w:sz w:val="24"/>
                <w:szCs w:val="24"/>
              </w:rPr>
              <w:t>року №</w:t>
            </w:r>
            <w:r w:rsidR="00444341" w:rsidRPr="009C0917">
              <w:rPr>
                <w:rFonts w:ascii="Times New Roman" w:eastAsia="Times New Roman" w:hAnsi="Times New Roman" w:cs="Times New Roman"/>
                <w:iCs/>
                <w:sz w:val="24"/>
                <w:szCs w:val="24"/>
              </w:rPr>
              <w:t xml:space="preserve"> </w:t>
            </w:r>
            <w:r w:rsidR="00A84085">
              <w:rPr>
                <w:rFonts w:ascii="Times New Roman" w:eastAsia="Times New Roman" w:hAnsi="Times New Roman" w:cs="Times New Roman"/>
                <w:iCs/>
                <w:sz w:val="24"/>
                <w:szCs w:val="24"/>
              </w:rPr>
              <w:t>83</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Голова тендерного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628487F6" w14:textId="573B4336" w:rsidR="001D7B45" w:rsidRPr="00D431AE" w:rsidRDefault="00B305F6"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B305F6">
              <w:rPr>
                <w:rFonts w:ascii="Times New Roman" w:hAnsi="Times New Roman" w:cs="Times New Roman"/>
                <w:b/>
                <w:color w:val="000000" w:themeColor="text1"/>
                <w:sz w:val="24"/>
                <w:szCs w:val="24"/>
              </w:rPr>
              <w:t xml:space="preserve">ДК 021:2015:33690000-3 Лікарські засоби різні </w:t>
            </w:r>
            <w:bookmarkStart w:id="1" w:name="_Hlk191978258"/>
            <w:r w:rsidR="001D7B45" w:rsidRPr="00D431AE">
              <w:rPr>
                <w:rFonts w:ascii="Times New Roman" w:hAnsi="Times New Roman" w:cs="Times New Roman"/>
                <w:b/>
                <w:color w:val="000000" w:themeColor="text1"/>
                <w:sz w:val="24"/>
                <w:szCs w:val="24"/>
              </w:rPr>
              <w:t>(</w:t>
            </w:r>
            <w:proofErr w:type="spellStart"/>
            <w:r w:rsidR="00101677" w:rsidRPr="00101677">
              <w:rPr>
                <w:rFonts w:ascii="Times New Roman" w:hAnsi="Times New Roman" w:cs="Times New Roman"/>
                <w:b/>
                <w:color w:val="000000" w:themeColor="text1"/>
                <w:sz w:val="24"/>
                <w:szCs w:val="24"/>
              </w:rPr>
              <w:t>Кліндаміцин</w:t>
            </w:r>
            <w:proofErr w:type="spellEnd"/>
            <w:r w:rsidR="00126EBB" w:rsidRPr="00AC65AF">
              <w:rPr>
                <w:rFonts w:ascii="Times New Roman" w:hAnsi="Times New Roman" w:cs="Times New Roman"/>
                <w:b/>
                <w:color w:val="000000" w:themeColor="text1"/>
                <w:sz w:val="24"/>
                <w:szCs w:val="24"/>
              </w:rPr>
              <w:t xml:space="preserve">, </w:t>
            </w:r>
            <w:r w:rsidR="00101677" w:rsidRPr="00101677">
              <w:rPr>
                <w:rFonts w:ascii="Times New Roman" w:hAnsi="Times New Roman" w:cs="Times New Roman"/>
                <w:b/>
                <w:color w:val="000000" w:themeColor="text1"/>
                <w:sz w:val="24"/>
                <w:szCs w:val="24"/>
              </w:rPr>
              <w:t>розчин для ін'єкцій, 150 мг/мл по 4 мл у ампулах</w:t>
            </w:r>
            <w:r w:rsidR="00126EBB" w:rsidRPr="00AC65AF">
              <w:rPr>
                <w:rFonts w:ascii="Times New Roman" w:hAnsi="Times New Roman" w:cs="Times New Roman"/>
                <w:b/>
                <w:color w:val="000000" w:themeColor="text1"/>
                <w:sz w:val="24"/>
                <w:szCs w:val="24"/>
              </w:rPr>
              <w:t xml:space="preserve">, </w:t>
            </w:r>
            <w:r w:rsidR="002A285F" w:rsidRPr="002A285F">
              <w:rPr>
                <w:rFonts w:ascii="Times New Roman" w:hAnsi="Times New Roman" w:cs="Times New Roman"/>
                <w:b/>
                <w:color w:val="000000" w:themeColor="text1"/>
                <w:sz w:val="24"/>
                <w:szCs w:val="24"/>
              </w:rPr>
              <w:t xml:space="preserve">МНН: </w:t>
            </w:r>
            <w:proofErr w:type="spellStart"/>
            <w:r w:rsidR="002A285F" w:rsidRPr="002A285F">
              <w:rPr>
                <w:rFonts w:ascii="Times New Roman" w:hAnsi="Times New Roman" w:cs="Times New Roman"/>
                <w:b/>
                <w:color w:val="000000" w:themeColor="text1"/>
                <w:sz w:val="24"/>
                <w:szCs w:val="24"/>
              </w:rPr>
              <w:t>Clindamycin</w:t>
            </w:r>
            <w:proofErr w:type="spellEnd"/>
            <w:r w:rsidR="001D7B45" w:rsidRPr="00D431AE">
              <w:rPr>
                <w:rFonts w:ascii="Times New Roman" w:hAnsi="Times New Roman" w:cs="Times New Roman"/>
                <w:b/>
                <w:color w:val="000000" w:themeColor="text1"/>
                <w:sz w:val="24"/>
                <w:szCs w:val="24"/>
              </w:rPr>
              <w:t>)</w:t>
            </w:r>
            <w:bookmarkEnd w:id="1"/>
          </w:p>
          <w:p w14:paraId="1160C2A9"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13991C"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FC051DB"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5ABE10" w14:textId="777A96F2"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623C10F0" w:rsidR="00D648FD" w:rsidRDefault="00AE7761"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D648FD" w:rsidRPr="00D648FD">
                <w:rPr>
                  <w:rFonts w:ascii="Times New Roman" w:hAnsi="Times New Roman" w:cs="Times New Roman"/>
                  <w:color w:val="000000" w:themeColor="text1"/>
                  <w:sz w:val="24"/>
                  <w:szCs w:val="24"/>
                </w:rPr>
                <w:t>Головний фахівець з менеджменту та управління запасами</w:t>
              </w:r>
            </w:hyperlink>
            <w:r w:rsidR="00D648FD" w:rsidRPr="00D648FD">
              <w:rPr>
                <w:rFonts w:ascii="Times New Roman" w:hAnsi="Times New Roman" w:cs="Times New Roman"/>
                <w:color w:val="000000" w:themeColor="text1"/>
                <w:sz w:val="24"/>
                <w:szCs w:val="24"/>
              </w:rPr>
              <w:t xml:space="preserve"> Ревякіна Інна Володимирівна</w:t>
            </w:r>
            <w:r w:rsidR="00D648FD">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637116B7" w:rsidR="00F21A21" w:rsidRPr="00D263F3" w:rsidRDefault="006E2889"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6E2889">
              <w:rPr>
                <w:rFonts w:ascii="Times New Roman" w:hAnsi="Times New Roman"/>
                <w:bCs/>
                <w:sz w:val="24"/>
                <w:szCs w:val="24"/>
              </w:rPr>
              <w:t>ДК 021:2015:33690000-3 Лікарські засоби різні (</w:t>
            </w:r>
            <w:proofErr w:type="spellStart"/>
            <w:r w:rsidRPr="006E2889">
              <w:rPr>
                <w:rFonts w:ascii="Times New Roman" w:hAnsi="Times New Roman"/>
                <w:bCs/>
                <w:sz w:val="24"/>
                <w:szCs w:val="24"/>
              </w:rPr>
              <w:t>Кліндаміцин</w:t>
            </w:r>
            <w:proofErr w:type="spellEnd"/>
            <w:r w:rsidRPr="006E2889">
              <w:rPr>
                <w:rFonts w:ascii="Times New Roman" w:hAnsi="Times New Roman"/>
                <w:bCs/>
                <w:sz w:val="24"/>
                <w:szCs w:val="24"/>
              </w:rPr>
              <w:t xml:space="preserve">, розчин для ін'єкцій, 150 мг/мл по 4 мл у ампулах, МНН: </w:t>
            </w:r>
            <w:proofErr w:type="spellStart"/>
            <w:r w:rsidRPr="006E2889">
              <w:rPr>
                <w:rFonts w:ascii="Times New Roman" w:hAnsi="Times New Roman"/>
                <w:bCs/>
                <w:sz w:val="24"/>
                <w:szCs w:val="24"/>
              </w:rPr>
              <w:t>Clindamycin</w:t>
            </w:r>
            <w:proofErr w:type="spellEnd"/>
            <w:r w:rsidRPr="006E2889">
              <w:rPr>
                <w:rFonts w:ascii="Times New Roman" w:hAnsi="Times New Roman"/>
                <w:bCs/>
                <w:sz w:val="24"/>
                <w:szCs w:val="24"/>
              </w:rPr>
              <w:t>)</w:t>
            </w: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396E3354" w:rsidR="00FC5F6E" w:rsidRPr="00C56E09" w:rsidRDefault="007674CB" w:rsidP="00BF5A18">
            <w:pPr>
              <w:spacing w:after="0" w:line="240" w:lineRule="auto"/>
              <w:contextualSpacing/>
              <w:rPr>
                <w:rFonts w:ascii="Times New Roman" w:hAnsi="Times New Roman" w:cs="Times New Roman"/>
                <w:color w:val="000000" w:themeColor="text1"/>
                <w:sz w:val="24"/>
                <w:szCs w:val="24"/>
              </w:rPr>
            </w:pPr>
            <w:r w:rsidRPr="00F15312">
              <w:rPr>
                <w:rFonts w:ascii="Times New Roman" w:hAnsi="Times New Roman" w:cs="Times New Roman"/>
                <w:color w:val="000000" w:themeColor="text1"/>
                <w:sz w:val="24"/>
                <w:szCs w:val="24"/>
              </w:rPr>
              <w:t>1</w:t>
            </w:r>
            <w:r w:rsidR="00DD24DC" w:rsidRPr="00F15312">
              <w:rPr>
                <w:rFonts w:ascii="Times New Roman" w:hAnsi="Times New Roman" w:cs="Times New Roman"/>
                <w:color w:val="000000" w:themeColor="text1"/>
                <w:sz w:val="24"/>
                <w:szCs w:val="24"/>
              </w:rPr>
              <w:t> </w:t>
            </w:r>
            <w:r w:rsidRPr="00F15312">
              <w:rPr>
                <w:rFonts w:ascii="Times New Roman" w:hAnsi="Times New Roman" w:cs="Times New Roman"/>
                <w:color w:val="000000" w:themeColor="text1"/>
                <w:sz w:val="24"/>
                <w:szCs w:val="24"/>
              </w:rPr>
              <w:t>535</w:t>
            </w:r>
            <w:r w:rsidR="00DD24DC" w:rsidRPr="00F15312">
              <w:rPr>
                <w:rFonts w:ascii="Times New Roman" w:hAnsi="Times New Roman" w:cs="Times New Roman"/>
                <w:color w:val="000000" w:themeColor="text1"/>
                <w:sz w:val="24"/>
                <w:szCs w:val="24"/>
              </w:rPr>
              <w:t xml:space="preserve"> </w:t>
            </w:r>
            <w:r w:rsidRPr="00F15312">
              <w:rPr>
                <w:rFonts w:ascii="Times New Roman" w:hAnsi="Times New Roman" w:cs="Times New Roman"/>
                <w:color w:val="000000" w:themeColor="text1"/>
                <w:sz w:val="24"/>
                <w:szCs w:val="24"/>
              </w:rPr>
              <w:t>493,20</w:t>
            </w:r>
            <w:r w:rsidR="00F862B9">
              <w:rPr>
                <w:rFonts w:ascii="Times New Roman" w:hAnsi="Times New Roman" w:cs="Times New Roman"/>
                <w:color w:val="000000" w:themeColor="text1"/>
                <w:sz w:val="24"/>
                <w:szCs w:val="24"/>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0D0A5C8" w14:textId="77777777" w:rsidR="002773AB" w:rsidRPr="002773AB" w:rsidRDefault="002773AB" w:rsidP="002773AB">
            <w:pPr>
              <w:spacing w:after="0" w:line="240" w:lineRule="auto"/>
              <w:contextualSpacing/>
              <w:jc w:val="both"/>
              <w:rPr>
                <w:rFonts w:ascii="Times New Roman" w:hAnsi="Times New Roman" w:cs="Times New Roman"/>
                <w:color w:val="000000" w:themeColor="text1"/>
                <w:sz w:val="24"/>
                <w:szCs w:val="24"/>
              </w:rPr>
            </w:pPr>
            <w:r w:rsidRPr="002773AB">
              <w:rPr>
                <w:rFonts w:ascii="Times New Roman" w:hAnsi="Times New Roman" w:cs="Times New Roman"/>
                <w:color w:val="000000" w:themeColor="text1"/>
                <w:sz w:val="24"/>
                <w:szCs w:val="24"/>
              </w:rPr>
              <w:t xml:space="preserve">Поставка може здійснюватися партіями, але не пізніше </w:t>
            </w:r>
          </w:p>
          <w:p w14:paraId="5CF14AA9" w14:textId="13508FC0" w:rsidR="00FC5F6E" w:rsidRPr="00C56E09" w:rsidRDefault="002773AB" w:rsidP="002773AB">
            <w:pPr>
              <w:spacing w:after="0" w:line="240" w:lineRule="auto"/>
              <w:contextualSpacing/>
              <w:jc w:val="both"/>
              <w:rPr>
                <w:rFonts w:ascii="Times New Roman" w:eastAsia="Times New Roman" w:hAnsi="Times New Roman" w:cs="Times New Roman"/>
                <w:sz w:val="24"/>
                <w:szCs w:val="24"/>
              </w:rPr>
            </w:pPr>
            <w:r w:rsidRPr="002773AB">
              <w:rPr>
                <w:rFonts w:ascii="Times New Roman" w:hAnsi="Times New Roman" w:cs="Times New Roman"/>
                <w:color w:val="000000" w:themeColor="text1"/>
                <w:sz w:val="24"/>
                <w:szCs w:val="24"/>
              </w:rPr>
              <w:t xml:space="preserve">30 </w:t>
            </w:r>
            <w:r w:rsidR="003F2A17">
              <w:rPr>
                <w:rFonts w:ascii="Times New Roman" w:hAnsi="Times New Roman" w:cs="Times New Roman"/>
                <w:color w:val="000000" w:themeColor="text1"/>
                <w:sz w:val="24"/>
                <w:szCs w:val="24"/>
              </w:rPr>
              <w:t xml:space="preserve">липня </w:t>
            </w:r>
            <w:r w:rsidRPr="002773AB">
              <w:rPr>
                <w:rFonts w:ascii="Times New Roman" w:hAnsi="Times New Roman" w:cs="Times New Roman"/>
                <w:color w:val="000000" w:themeColor="text1"/>
                <w:sz w:val="24"/>
                <w:szCs w:val="24"/>
              </w:rPr>
              <w:t>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495D25C7"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175460">
              <w:rPr>
                <w:rFonts w:ascii="Times New Roman" w:eastAsia="Times New Roman" w:hAnsi="Times New Roman" w:cs="Times New Roman"/>
                <w:color w:val="000000"/>
                <w:sz w:val="24"/>
                <w:szCs w:val="24"/>
              </w:rPr>
              <w:t>29</w:t>
            </w:r>
            <w:r w:rsidR="001A59F3" w:rsidRPr="00F7036E">
              <w:rPr>
                <w:rFonts w:ascii="Times New Roman" w:eastAsia="Times New Roman" w:hAnsi="Times New Roman" w:cs="Times New Roman"/>
                <w:color w:val="000000"/>
                <w:sz w:val="24"/>
                <w:szCs w:val="24"/>
              </w:rPr>
              <w:t xml:space="preserve">» </w:t>
            </w:r>
            <w:r w:rsidR="001065DF">
              <w:rPr>
                <w:rFonts w:ascii="Times New Roman" w:eastAsia="Times New Roman" w:hAnsi="Times New Roman" w:cs="Times New Roman"/>
                <w:color w:val="000000"/>
                <w:sz w:val="24"/>
                <w:szCs w:val="24"/>
              </w:rPr>
              <w:t>квітня</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2"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2531AAB6"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2E32FA36"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w:t>
            </w:r>
            <w:r w:rsidR="003B0FD3">
              <w:rPr>
                <w:sz w:val="24"/>
                <w:szCs w:val="24"/>
                <w:lang w:val="uk-UA"/>
              </w:rPr>
              <w:t>н</w:t>
            </w:r>
            <w:r w:rsidRPr="00CC3FCB">
              <w:rPr>
                <w:sz w:val="24"/>
                <w:szCs w:val="24"/>
                <w:lang w:val="uk-UA"/>
              </w:rPr>
              <w:t xml:space="preserve">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0271F25B"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6E2889" w:rsidRPr="006E2889">
              <w:rPr>
                <w:sz w:val="24"/>
                <w:szCs w:val="24"/>
                <w:lang w:val="uk-UA"/>
              </w:rPr>
              <w:t>ДК 021:2015:33690000-3 Лікарські засоби різні (</w:t>
            </w:r>
            <w:proofErr w:type="spellStart"/>
            <w:r w:rsidR="006E2889" w:rsidRPr="006E2889">
              <w:rPr>
                <w:sz w:val="24"/>
                <w:szCs w:val="24"/>
                <w:lang w:val="uk-UA"/>
              </w:rPr>
              <w:t>Кліндаміцин</w:t>
            </w:r>
            <w:proofErr w:type="spellEnd"/>
            <w:r w:rsidR="006E2889" w:rsidRPr="006E2889">
              <w:rPr>
                <w:sz w:val="24"/>
                <w:szCs w:val="24"/>
                <w:lang w:val="uk-UA"/>
              </w:rPr>
              <w:t xml:space="preserve">, розчин для ін'єкцій, 150 мг/мл по 4 мл у ампулах, МНН: </w:t>
            </w:r>
            <w:proofErr w:type="spellStart"/>
            <w:r w:rsidR="006E2889" w:rsidRPr="006E2889">
              <w:rPr>
                <w:sz w:val="24"/>
                <w:szCs w:val="24"/>
                <w:lang w:val="uk-UA"/>
              </w:rPr>
              <w:t>Clindamycin</w:t>
            </w:r>
            <w:proofErr w:type="spellEnd"/>
            <w:r w:rsidR="0026218A">
              <w:rPr>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175460">
              <w:rPr>
                <w:bCs/>
                <w:sz w:val="24"/>
                <w:szCs w:val="24"/>
                <w:lang w:val="uk-UA"/>
              </w:rPr>
              <w:t>29</w:t>
            </w:r>
            <w:r w:rsidRPr="00F7036E">
              <w:rPr>
                <w:bCs/>
                <w:sz w:val="24"/>
                <w:szCs w:val="24"/>
                <w:lang w:val="uk-UA"/>
              </w:rPr>
              <w:t xml:space="preserve">» </w:t>
            </w:r>
            <w:r w:rsidR="001065DF">
              <w:rPr>
                <w:bCs/>
                <w:sz w:val="24"/>
                <w:szCs w:val="24"/>
                <w:lang w:val="uk-UA"/>
              </w:rPr>
              <w:t>квітня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назва предмета закупівлі відповідно до оголошення </w:t>
            </w:r>
            <w:r w:rsidRPr="005D1211">
              <w:rPr>
                <w:bCs/>
                <w:sz w:val="24"/>
                <w:szCs w:val="24"/>
                <w:lang w:val="uk-UA"/>
              </w:rPr>
              <w:lastRenderedPageBreak/>
              <w:t>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5779EE4A"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D263F3" w:rsidRPr="00D263F3">
              <w:rPr>
                <w:sz w:val="24"/>
                <w:szCs w:val="24"/>
                <w:lang w:val="uk-UA"/>
              </w:rPr>
              <w:t xml:space="preserve"> </w:t>
            </w:r>
            <w:r w:rsidR="00887F32">
              <w:t xml:space="preserve"> </w:t>
            </w:r>
            <w:r w:rsidR="0013277E">
              <w:t xml:space="preserve"> </w:t>
            </w:r>
            <w:r w:rsidR="0013277E" w:rsidRPr="0013277E">
              <w:rPr>
                <w:sz w:val="24"/>
                <w:szCs w:val="24"/>
                <w:lang w:val="uk-UA"/>
              </w:rPr>
              <w:t>ДК 021:2015:33690000-3 Лікарські засоби різні (</w:t>
            </w:r>
            <w:proofErr w:type="spellStart"/>
            <w:r w:rsidR="0013277E" w:rsidRPr="0013277E">
              <w:rPr>
                <w:sz w:val="24"/>
                <w:szCs w:val="24"/>
                <w:lang w:val="uk-UA"/>
              </w:rPr>
              <w:t>Кліндаміцин</w:t>
            </w:r>
            <w:proofErr w:type="spellEnd"/>
            <w:r w:rsidR="0013277E" w:rsidRPr="0013277E">
              <w:rPr>
                <w:sz w:val="24"/>
                <w:szCs w:val="24"/>
                <w:lang w:val="uk-UA"/>
              </w:rPr>
              <w:t xml:space="preserve">, розчин для ін'єкцій, 150 мг/мл по 4 мл у ампулах, МНН: </w:t>
            </w:r>
            <w:proofErr w:type="spellStart"/>
            <w:r w:rsidR="0013277E" w:rsidRPr="0013277E">
              <w:rPr>
                <w:sz w:val="24"/>
                <w:szCs w:val="24"/>
                <w:lang w:val="uk-UA"/>
              </w:rPr>
              <w:t>Clindamycin</w:t>
            </w:r>
            <w:proofErr w:type="spellEnd"/>
            <w:r w:rsidR="0026218A">
              <w:rPr>
                <w:sz w:val="24"/>
                <w:szCs w:val="24"/>
                <w:lang w:val="uk-UA"/>
              </w:rPr>
              <w:t>)</w:t>
            </w:r>
            <w:r w:rsidR="00D263F3">
              <w:rPr>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175460">
              <w:rPr>
                <w:bCs/>
                <w:sz w:val="24"/>
                <w:szCs w:val="24"/>
                <w:lang w:val="uk-UA"/>
              </w:rPr>
              <w:t>01</w:t>
            </w:r>
            <w:r w:rsidR="00901B41" w:rsidRPr="005D1211">
              <w:rPr>
                <w:bCs/>
                <w:sz w:val="24"/>
                <w:szCs w:val="24"/>
                <w:lang w:val="uk-UA"/>
              </w:rPr>
              <w:t xml:space="preserve">» </w:t>
            </w:r>
            <w:r w:rsidR="00175460">
              <w:rPr>
                <w:bCs/>
                <w:sz w:val="24"/>
                <w:szCs w:val="24"/>
                <w:lang w:val="uk-UA"/>
              </w:rPr>
              <w:t>травня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7D18DABC" w14:textId="77777777" w:rsidR="00827FEE" w:rsidRPr="00827FEE" w:rsidRDefault="00827FEE" w:rsidP="00827FEE">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 кабінет 210, секретарю Тендерного комітету</w:t>
            </w:r>
          </w:p>
          <w:p w14:paraId="4766F82F" w14:textId="3D8C4B2B" w:rsidR="00D24523" w:rsidRPr="001A08A5" w:rsidRDefault="00827FEE" w:rsidP="00827FEE">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2"/>
            <w:bookmarkEnd w:id="3"/>
            <w:bookmarkEnd w:id="4"/>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5C091C37"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175460">
              <w:rPr>
                <w:rFonts w:ascii="Times New Roman" w:eastAsia="Times New Roman" w:hAnsi="Times New Roman" w:cs="Times New Roman"/>
                <w:sz w:val="24"/>
                <w:szCs w:val="24"/>
              </w:rPr>
              <w:t>29</w:t>
            </w:r>
            <w:r w:rsidR="000D6311">
              <w:rPr>
                <w:rFonts w:ascii="Times New Roman" w:eastAsia="Times New Roman" w:hAnsi="Times New Roman" w:cs="Times New Roman"/>
                <w:sz w:val="24"/>
                <w:szCs w:val="24"/>
              </w:rPr>
              <w:t xml:space="preserve"> </w:t>
            </w:r>
            <w:r w:rsidR="00237B5E">
              <w:rPr>
                <w:rFonts w:ascii="Times New Roman" w:eastAsia="Times New Roman" w:hAnsi="Times New Roman" w:cs="Times New Roman"/>
                <w:sz w:val="24"/>
                <w:szCs w:val="24"/>
              </w:rPr>
              <w:t>квітня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24C5D8CD"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175460">
              <w:rPr>
                <w:rFonts w:ascii="Times New Roman" w:eastAsia="Times New Roman" w:hAnsi="Times New Roman" w:cs="Times New Roman"/>
                <w:sz w:val="24"/>
                <w:szCs w:val="24"/>
              </w:rPr>
              <w:t>01</w:t>
            </w:r>
            <w:r w:rsidR="00ED06E0" w:rsidRPr="00ED06E0">
              <w:rPr>
                <w:rFonts w:ascii="Times New Roman" w:eastAsia="Times New Roman" w:hAnsi="Times New Roman" w:cs="Times New Roman"/>
                <w:sz w:val="24"/>
                <w:szCs w:val="24"/>
              </w:rPr>
              <w:t xml:space="preserve"> </w:t>
            </w:r>
            <w:r w:rsidR="0017546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w:t>
            </w:r>
            <w:r w:rsidRPr="00B84A98">
              <w:rPr>
                <w:rFonts w:ascii="Times New Roman" w:hAnsi="Times New Roman" w:cs="Times New Roman"/>
                <w:color w:val="000000"/>
                <w:sz w:val="24"/>
                <w:szCs w:val="24"/>
                <w:shd w:val="clear" w:color="auto" w:fill="FFFFFF"/>
              </w:rPr>
              <w:lastRenderedPageBreak/>
              <w:t>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w:t>
            </w:r>
            <w:r w:rsidRPr="00C56E09">
              <w:rPr>
                <w:rFonts w:ascii="Times New Roman" w:eastAsia="Times New Roman" w:hAnsi="Times New Roman" w:cs="Times New Roman"/>
                <w:color w:val="000000"/>
                <w:sz w:val="24"/>
                <w:szCs w:val="24"/>
              </w:rPr>
              <w:lastRenderedPageBreak/>
              <w:t>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148917EC" w14:textId="6676D6CD" w:rsidR="00D40A53" w:rsidRPr="00D431AE"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tc>
      </w:tr>
      <w:tr w:rsidR="00D40A53" w:rsidRPr="00D431AE" w14:paraId="10A82CAF" w14:textId="77777777" w:rsidTr="00CE1FBA">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77777777"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w:t>
            </w:r>
            <w:r w:rsidRPr="00D431AE">
              <w:rPr>
                <w:sz w:val="24"/>
                <w:szCs w:val="24"/>
              </w:rPr>
              <w:lastRenderedPageBreak/>
              <w:t xml:space="preserve">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A620DD" w:rsidRPr="00D431AE" w14:paraId="47EE8D2F" w14:textId="77777777" w:rsidTr="005062F4">
        <w:tc>
          <w:tcPr>
            <w:tcW w:w="567" w:type="dxa"/>
            <w:vAlign w:val="center"/>
          </w:tcPr>
          <w:p w14:paraId="1EC6E1C9" w14:textId="77777777" w:rsidR="00A620DD" w:rsidRPr="00D431AE" w:rsidRDefault="00A620DD"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D095F0" w14:textId="77777777" w:rsidR="00A620DD" w:rsidRPr="00D431AE" w:rsidRDefault="00A620DD" w:rsidP="00CE1FBA">
            <w:pPr>
              <w:tabs>
                <w:tab w:val="left" w:pos="1740"/>
              </w:tabs>
              <w:spacing w:after="160" w:line="259" w:lineRule="auto"/>
              <w:rPr>
                <w:sz w:val="24"/>
                <w:szCs w:val="24"/>
              </w:rPr>
            </w:pPr>
            <w:r w:rsidRPr="00D431AE">
              <w:rPr>
                <w:sz w:val="24"/>
                <w:szCs w:val="24"/>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vMerge w:val="restart"/>
            <w:tcBorders>
              <w:top w:val="single" w:sz="4" w:space="0" w:color="auto"/>
              <w:left w:val="nil"/>
              <w:right w:val="single" w:sz="4" w:space="0" w:color="auto"/>
            </w:tcBorders>
            <w:shd w:val="clear" w:color="000000" w:fill="FFFFFF"/>
            <w:vAlign w:val="center"/>
          </w:tcPr>
          <w:p w14:paraId="1775EEA0" w14:textId="77777777" w:rsidR="00A620DD" w:rsidRPr="00D431AE" w:rsidRDefault="00A620DD" w:rsidP="00CE1FBA">
            <w:pPr>
              <w:tabs>
                <w:tab w:val="left" w:pos="1740"/>
              </w:tabs>
              <w:spacing w:after="160" w:line="259" w:lineRule="auto"/>
              <w:rPr>
                <w:sz w:val="24"/>
                <w:szCs w:val="24"/>
              </w:rPr>
            </w:pPr>
            <w:r w:rsidRPr="00D431AE">
              <w:rPr>
                <w:sz w:val="24"/>
                <w:szCs w:val="24"/>
              </w:rPr>
              <w:t>1. Гарантійний лист</w:t>
            </w:r>
            <w:r w:rsidRPr="00D431AE">
              <w:rPr>
                <w:sz w:val="24"/>
                <w:szCs w:val="24"/>
              </w:rPr>
              <w:br/>
              <w:t>2. Копія інструкції українською мовою.</w:t>
            </w:r>
          </w:p>
          <w:p w14:paraId="331501B0" w14:textId="64861222" w:rsidR="00A620DD" w:rsidRPr="00D431AE" w:rsidRDefault="00A620DD" w:rsidP="00CE1FBA">
            <w:pPr>
              <w:tabs>
                <w:tab w:val="left" w:pos="1740"/>
              </w:tabs>
              <w:spacing w:after="160" w:line="259" w:lineRule="auto"/>
              <w:rPr>
                <w:sz w:val="24"/>
                <w:szCs w:val="24"/>
              </w:rPr>
            </w:pPr>
          </w:p>
        </w:tc>
      </w:tr>
      <w:tr w:rsidR="00A620DD" w:rsidRPr="00D431AE" w14:paraId="4135AE87" w14:textId="77777777" w:rsidTr="005062F4">
        <w:trPr>
          <w:trHeight w:val="1020"/>
        </w:trPr>
        <w:tc>
          <w:tcPr>
            <w:tcW w:w="567" w:type="dxa"/>
            <w:vAlign w:val="center"/>
          </w:tcPr>
          <w:p w14:paraId="25AB3285" w14:textId="77777777" w:rsidR="00A620DD" w:rsidRPr="00D431AE" w:rsidRDefault="00A620DD" w:rsidP="00CE1FBA">
            <w:pPr>
              <w:tabs>
                <w:tab w:val="left" w:pos="1740"/>
              </w:tabs>
              <w:spacing w:after="160" w:line="259" w:lineRule="auto"/>
              <w:rPr>
                <w:sz w:val="24"/>
                <w:szCs w:val="24"/>
              </w:rPr>
            </w:pPr>
            <w:r>
              <w:rPr>
                <w:sz w:val="24"/>
                <w:szCs w:val="24"/>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33BDE81E" w14:textId="77777777" w:rsidR="00A620DD" w:rsidRPr="00D431AE" w:rsidRDefault="00A620DD" w:rsidP="00CE1FBA">
            <w:pPr>
              <w:tabs>
                <w:tab w:val="left" w:pos="1740"/>
              </w:tabs>
              <w:spacing w:after="160" w:line="259" w:lineRule="auto"/>
              <w:rPr>
                <w:sz w:val="24"/>
                <w:szCs w:val="24"/>
              </w:rPr>
            </w:pPr>
            <w:r w:rsidRPr="00D431AE">
              <w:rPr>
                <w:sz w:val="24"/>
                <w:szCs w:val="24"/>
              </w:rPr>
              <w:t>Маркування первинної упаковки має бути виготовлено у повній відповідності до АНД і має включати, окрім іншого, наступне:</w:t>
            </w:r>
          </w:p>
          <w:p w14:paraId="177E8B89"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Назву лікарського засобу</w:t>
            </w:r>
          </w:p>
          <w:p w14:paraId="6CBBC8EE"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Назву та адресу його виробника</w:t>
            </w:r>
          </w:p>
          <w:p w14:paraId="7B183B35"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Реєстраційний номер</w:t>
            </w:r>
          </w:p>
          <w:p w14:paraId="6BA45E0E"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Номер серії</w:t>
            </w:r>
          </w:p>
          <w:p w14:paraId="1BB93E64"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Способи застосування</w:t>
            </w:r>
          </w:p>
          <w:p w14:paraId="2C9B4D2F"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Дозу діючої речовини в кожній одиниці та їх кількість в упаковці</w:t>
            </w:r>
          </w:p>
          <w:p w14:paraId="5CECC928"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Термін придатності</w:t>
            </w:r>
          </w:p>
          <w:p w14:paraId="02EDEF82"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Умови зберігання</w:t>
            </w:r>
          </w:p>
          <w:p w14:paraId="7D09F7E2"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Запобіжні заходи</w:t>
            </w:r>
          </w:p>
        </w:tc>
        <w:tc>
          <w:tcPr>
            <w:tcW w:w="4678" w:type="dxa"/>
            <w:vMerge/>
            <w:tcBorders>
              <w:left w:val="nil"/>
              <w:right w:val="single" w:sz="4" w:space="0" w:color="auto"/>
            </w:tcBorders>
            <w:shd w:val="clear" w:color="000000" w:fill="FFFFFF"/>
            <w:vAlign w:val="center"/>
          </w:tcPr>
          <w:p w14:paraId="02779903" w14:textId="23D402A3" w:rsidR="00A620DD" w:rsidRPr="00D431AE" w:rsidRDefault="00A620DD" w:rsidP="00CE1FBA">
            <w:pPr>
              <w:tabs>
                <w:tab w:val="left" w:pos="1740"/>
              </w:tabs>
              <w:spacing w:after="160" w:line="259" w:lineRule="auto"/>
              <w:rPr>
                <w:sz w:val="24"/>
                <w:szCs w:val="24"/>
              </w:rPr>
            </w:pPr>
          </w:p>
        </w:tc>
      </w:tr>
      <w:tr w:rsidR="00A620DD" w:rsidRPr="00D431AE" w14:paraId="163F514A" w14:textId="77777777" w:rsidTr="005062F4">
        <w:trPr>
          <w:trHeight w:val="1725"/>
        </w:trPr>
        <w:tc>
          <w:tcPr>
            <w:tcW w:w="567" w:type="dxa"/>
            <w:vAlign w:val="center"/>
          </w:tcPr>
          <w:p w14:paraId="3E69CAC6" w14:textId="10B22423" w:rsidR="00A620DD" w:rsidRPr="00D431AE" w:rsidRDefault="00093051" w:rsidP="00CE1FBA">
            <w:pPr>
              <w:tabs>
                <w:tab w:val="left" w:pos="1740"/>
              </w:tabs>
              <w:spacing w:after="160" w:line="259" w:lineRule="auto"/>
              <w:rPr>
                <w:sz w:val="24"/>
                <w:szCs w:val="24"/>
              </w:rPr>
            </w:pPr>
            <w:r>
              <w:rPr>
                <w:sz w:val="24"/>
                <w:szCs w:val="24"/>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7B94D4CF" w14:textId="77777777" w:rsidR="00A620DD" w:rsidRPr="00937DC1" w:rsidRDefault="00A620DD" w:rsidP="00CE1FBA">
            <w:pPr>
              <w:tabs>
                <w:tab w:val="left" w:pos="1740"/>
              </w:tabs>
              <w:spacing w:after="160" w:line="259" w:lineRule="auto"/>
              <w:rPr>
                <w:sz w:val="22"/>
                <w:szCs w:val="22"/>
              </w:rPr>
            </w:pPr>
            <w:r w:rsidRPr="00937DC1">
              <w:rPr>
                <w:sz w:val="22"/>
                <w:szCs w:val="22"/>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vMerge/>
            <w:tcBorders>
              <w:left w:val="nil"/>
              <w:bottom w:val="single" w:sz="4" w:space="0" w:color="auto"/>
              <w:right w:val="single" w:sz="4" w:space="0" w:color="auto"/>
            </w:tcBorders>
            <w:shd w:val="clear" w:color="000000" w:fill="FFFFFF"/>
            <w:vAlign w:val="center"/>
          </w:tcPr>
          <w:p w14:paraId="17B502F6" w14:textId="19B78E6C" w:rsidR="00A620DD" w:rsidRPr="00937DC1" w:rsidRDefault="00A620DD" w:rsidP="00CE1FBA">
            <w:pPr>
              <w:tabs>
                <w:tab w:val="left" w:pos="1740"/>
              </w:tabs>
              <w:spacing w:after="160" w:line="259" w:lineRule="auto"/>
              <w:rPr>
                <w:sz w:val="22"/>
                <w:szCs w:val="22"/>
              </w:rPr>
            </w:pPr>
          </w:p>
        </w:tc>
      </w:tr>
      <w:tr w:rsidR="00D40A53" w:rsidRPr="00D431AE" w14:paraId="7A1558ED" w14:textId="77777777" w:rsidTr="00937DC1">
        <w:tc>
          <w:tcPr>
            <w:tcW w:w="567" w:type="dxa"/>
            <w:vAlign w:val="center"/>
          </w:tcPr>
          <w:p w14:paraId="161E4705" w14:textId="1AA34D30" w:rsidR="00D40A53" w:rsidRPr="00D431AE" w:rsidRDefault="00093051" w:rsidP="00CE1FBA">
            <w:pPr>
              <w:tabs>
                <w:tab w:val="left" w:pos="1740"/>
              </w:tabs>
              <w:spacing w:after="160" w:line="259" w:lineRule="auto"/>
              <w:rPr>
                <w:sz w:val="24"/>
                <w:szCs w:val="24"/>
              </w:rPr>
            </w:pPr>
            <w:r>
              <w:rPr>
                <w:sz w:val="24"/>
                <w:szCs w:val="24"/>
              </w:rPr>
              <w:t>6</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098E54AA"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38D6342" w14:textId="03CE6EC5" w:rsidR="00D40A53" w:rsidRPr="00937DC1" w:rsidRDefault="007C110C" w:rsidP="00CE1FBA">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0225AAC7"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 повинен включати назву предмету закупівлі згідно оголошення та назву Замовника.</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6" w:name="_Hlk47079990"/>
      <w:bookmarkEnd w:id="5"/>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71A76F4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7"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7"/>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409"/>
        <w:gridCol w:w="1276"/>
        <w:gridCol w:w="1559"/>
        <w:gridCol w:w="1843"/>
      </w:tblGrid>
      <w:tr w:rsidR="00B44D0F" w:rsidRPr="00C3018A" w14:paraId="493F3AE7" w14:textId="5B9261DC" w:rsidTr="00360A9E">
        <w:trPr>
          <w:trHeight w:val="1134"/>
        </w:trPr>
        <w:tc>
          <w:tcPr>
            <w:tcW w:w="709" w:type="dxa"/>
            <w:vAlign w:val="center"/>
          </w:tcPr>
          <w:p w14:paraId="527C0F9B" w14:textId="058832CC"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4C0D48C2" w14:textId="59093D28" w:rsidR="00B44D0F" w:rsidRPr="00C3018A" w:rsidRDefault="00B44D0F" w:rsidP="00DD0439">
            <w:pPr>
              <w:shd w:val="clear" w:color="auto" w:fill="FFFFFF"/>
              <w:tabs>
                <w:tab w:val="left" w:pos="993"/>
                <w:tab w:val="left" w:pos="1276"/>
              </w:tabs>
              <w:spacing w:after="0" w:line="240" w:lineRule="auto"/>
              <w:rPr>
                <w:rFonts w:ascii="Times New Roman" w:eastAsia="Times New Roman" w:hAnsi="Times New Roman" w:cs="Times New Roman"/>
                <w:b/>
                <w:bCs/>
                <w:sz w:val="24"/>
                <w:szCs w:val="24"/>
                <w:lang w:eastAsia="ru-RU"/>
              </w:rPr>
            </w:pPr>
            <w:bookmarkStart w:id="8"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2409" w:type="dxa"/>
            <w:shd w:val="clear" w:color="auto" w:fill="auto"/>
            <w:vAlign w:val="center"/>
            <w:hideMark/>
          </w:tcPr>
          <w:p w14:paraId="34AD05A1" w14:textId="77777777"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276" w:type="dxa"/>
            <w:vAlign w:val="center"/>
          </w:tcPr>
          <w:p w14:paraId="2110E641" w14:textId="747C4EDE"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1559" w:type="dxa"/>
            <w:shd w:val="clear" w:color="auto" w:fill="auto"/>
            <w:vAlign w:val="center"/>
            <w:hideMark/>
          </w:tcPr>
          <w:p w14:paraId="6CBDD271" w14:textId="67C238FB" w:rsidR="00B44D0F" w:rsidRPr="00C3018A" w:rsidRDefault="00B44D0F"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843" w:type="dxa"/>
            <w:vAlign w:val="center"/>
          </w:tcPr>
          <w:p w14:paraId="19C12DEF" w14:textId="715D1B0D" w:rsidR="00B44D0F" w:rsidRPr="00C3018A" w:rsidRDefault="00D44070"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Строк </w:t>
            </w:r>
            <w:r w:rsidR="00B44D0F">
              <w:rPr>
                <w:rFonts w:ascii="Times New Roman" w:eastAsia="Times New Roman" w:hAnsi="Times New Roman" w:cs="Times New Roman"/>
                <w:b/>
                <w:bCs/>
                <w:sz w:val="24"/>
                <w:szCs w:val="24"/>
                <w:lang w:eastAsia="ru-RU"/>
              </w:rPr>
              <w:t xml:space="preserve"> поставки</w:t>
            </w:r>
          </w:p>
        </w:tc>
      </w:tr>
      <w:tr w:rsidR="00523FE4" w:rsidRPr="00C3018A" w14:paraId="35B761D0" w14:textId="77777777" w:rsidTr="002D3124">
        <w:trPr>
          <w:trHeight w:val="2160"/>
        </w:trPr>
        <w:tc>
          <w:tcPr>
            <w:tcW w:w="709" w:type="dxa"/>
          </w:tcPr>
          <w:p w14:paraId="1B553EFF" w14:textId="77777777" w:rsidR="00523FE4"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523FE4"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523FE4"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523FE4"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shd w:val="clear" w:color="auto" w:fill="auto"/>
            <w:vAlign w:val="center"/>
          </w:tcPr>
          <w:p w14:paraId="4947932E" w14:textId="2ABA67DE" w:rsidR="00523FE4" w:rsidRPr="00C3018A"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Кліндаміцин</w:t>
            </w:r>
            <w:proofErr w:type="spellEnd"/>
          </w:p>
        </w:tc>
        <w:tc>
          <w:tcPr>
            <w:tcW w:w="2409" w:type="dxa"/>
            <w:vAlign w:val="center"/>
          </w:tcPr>
          <w:p w14:paraId="59E636A2" w14:textId="4C2F8C8F" w:rsidR="00523FE4" w:rsidRPr="00C3018A" w:rsidRDefault="00523FE4" w:rsidP="00523FE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розчин для ін'єкцій, 150 мг/мл по 4 мл у ампулах</w:t>
            </w:r>
            <w:r>
              <w:rPr>
                <w:rFonts w:ascii="Times New Roman" w:eastAsia="Times New Roman" w:hAnsi="Times New Roman" w:cs="Times New Roman"/>
                <w:sz w:val="24"/>
                <w:szCs w:val="24"/>
                <w:lang w:eastAsia="ru-RU"/>
              </w:rPr>
              <w:t>,</w:t>
            </w:r>
            <w:r w:rsidRPr="00906CD5">
              <w:rPr>
                <w:rFonts w:ascii="Times New Roman" w:eastAsia="Times New Roman" w:hAnsi="Times New Roman"/>
                <w:sz w:val="24"/>
                <w:szCs w:val="24"/>
                <w:lang w:eastAsia="ru-RU"/>
              </w:rPr>
              <w:t xml:space="preserve"> не більш ніж 10 ампул в упаковці</w:t>
            </w:r>
          </w:p>
        </w:tc>
        <w:tc>
          <w:tcPr>
            <w:tcW w:w="1276" w:type="dxa"/>
            <w:vAlign w:val="center"/>
          </w:tcPr>
          <w:p w14:paraId="6FCAC668" w14:textId="57302CC7" w:rsidR="00523FE4" w:rsidRPr="00194FFF" w:rsidRDefault="00523FE4" w:rsidP="00523FE4">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eastAsia="ru-RU"/>
              </w:rPr>
            </w:pPr>
            <w:r w:rsidRPr="00194FFF">
              <w:rPr>
                <w:rFonts w:ascii="Times New Roman" w:eastAsia="Times New Roman" w:hAnsi="Times New Roman" w:cs="Times New Roman"/>
                <w:sz w:val="24"/>
                <w:szCs w:val="24"/>
                <w:lang w:eastAsia="ru-RU"/>
              </w:rPr>
              <w:t>Шт.</w:t>
            </w:r>
          </w:p>
        </w:tc>
        <w:tc>
          <w:tcPr>
            <w:tcW w:w="1559" w:type="dxa"/>
            <w:noWrap/>
            <w:vAlign w:val="center"/>
          </w:tcPr>
          <w:p w14:paraId="512A70A7" w14:textId="09802D87" w:rsidR="00523FE4" w:rsidRPr="00B44D0F" w:rsidRDefault="00523FE4" w:rsidP="00523FE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F15312">
              <w:rPr>
                <w:rFonts w:ascii="Times New Roman" w:eastAsia="Times New Roman" w:hAnsi="Times New Roman" w:cs="Times New Roman"/>
                <w:sz w:val="24"/>
                <w:szCs w:val="24"/>
                <w:lang w:val="ru-RU" w:eastAsia="ru-RU"/>
              </w:rPr>
              <w:t xml:space="preserve">10 </w:t>
            </w:r>
            <w:r w:rsidR="00F15312" w:rsidRPr="00F15312">
              <w:rPr>
                <w:rFonts w:ascii="Times New Roman" w:eastAsia="Times New Roman" w:hAnsi="Times New Roman" w:cs="Times New Roman"/>
                <w:sz w:val="24"/>
                <w:szCs w:val="24"/>
                <w:lang w:val="ru-RU" w:eastAsia="ru-RU"/>
              </w:rPr>
              <w:t>544</w:t>
            </w:r>
          </w:p>
        </w:tc>
        <w:tc>
          <w:tcPr>
            <w:tcW w:w="1843" w:type="dxa"/>
            <w:vAlign w:val="center"/>
          </w:tcPr>
          <w:p w14:paraId="16AFA0C4" w14:textId="77777777" w:rsidR="00523FE4" w:rsidRDefault="00523FE4" w:rsidP="00523FE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64308DA8" w14:textId="0D630DE8" w:rsidR="00523FE4" w:rsidRPr="00DC7B89" w:rsidRDefault="00523FE4" w:rsidP="00523FE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003F2A17">
              <w:rPr>
                <w:rFonts w:ascii="Times New Roman" w:eastAsia="Times New Roman" w:hAnsi="Times New Roman" w:cs="Times New Roman"/>
                <w:sz w:val="24"/>
                <w:szCs w:val="24"/>
                <w:lang w:eastAsia="ru-RU"/>
              </w:rPr>
              <w:t>липня</w:t>
            </w:r>
            <w:r>
              <w:rPr>
                <w:rFonts w:ascii="Times New Roman" w:eastAsia="Times New Roman" w:hAnsi="Times New Roman" w:cs="Times New Roman"/>
                <w:sz w:val="24"/>
                <w:szCs w:val="24"/>
                <w:lang w:eastAsia="ru-RU"/>
              </w:rPr>
              <w:t xml:space="preserve"> 2025 року.</w:t>
            </w:r>
          </w:p>
        </w:tc>
      </w:tr>
      <w:bookmarkEnd w:id="8"/>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34BD255" w14:textId="69D09F8D" w:rsidR="00C3018A" w:rsidRPr="00C3018A" w:rsidRDefault="00C3018A" w:rsidP="00C3018A">
      <w:pPr>
        <w:numPr>
          <w:ilvl w:val="0"/>
          <w:numId w:val="27"/>
        </w:numPr>
        <w:spacing w:after="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Товар повинен бути новим, без зовнішніх пошкоджень, не брудний. При поставці повинна додержуватись цілісність оригінальної упаковки з необхідними реквізитами виробника. </w:t>
      </w:r>
      <w:r w:rsidRPr="00C3018A">
        <w:rPr>
          <w:rFonts w:ascii="Times New Roman" w:hAnsi="Times New Roman" w:cs="Times New Roman"/>
          <w:color w:val="000000"/>
          <w:sz w:val="24"/>
          <w:szCs w:val="24"/>
          <w:lang w:eastAsia="en-US"/>
        </w:rPr>
        <w:t xml:space="preserve">У разі виявлення неякісного товару або такого, що не відповідає умовам договору, </w:t>
      </w:r>
      <w:r w:rsidRPr="00C3018A">
        <w:rPr>
          <w:rFonts w:ascii="Times New Roman" w:hAnsi="Times New Roman" w:cs="Times New Roman"/>
          <w:sz w:val="24"/>
          <w:szCs w:val="24"/>
          <w:lang w:eastAsia="en-US"/>
        </w:rPr>
        <w:t xml:space="preserve">Постачальник зобов’язаний замінити неякісний товар </w:t>
      </w:r>
      <w:r w:rsidR="00985CFE" w:rsidRPr="00985CFE">
        <w:rPr>
          <w:rFonts w:ascii="Times New Roman" w:hAnsi="Times New Roman" w:cs="Times New Roman"/>
          <w:sz w:val="24"/>
          <w:szCs w:val="24"/>
          <w:lang w:eastAsia="en-US"/>
        </w:rPr>
        <w:t>впродовж 3 (трьох) робочих днів з моменту отримання листа Покупця про виявлення такого Товару неналежної якості</w:t>
      </w:r>
      <w:r w:rsidRPr="00C3018A">
        <w:rPr>
          <w:rFonts w:ascii="Times New Roman" w:hAnsi="Times New Roman" w:cs="Times New Roman"/>
          <w:sz w:val="24"/>
          <w:szCs w:val="24"/>
          <w:lang w:eastAsia="en-US"/>
        </w:rPr>
        <w:t>, без будь-якої додаткової оплати з боку Замовника.</w:t>
      </w:r>
    </w:p>
    <w:p w14:paraId="6ED0FA57" w14:textId="77777777" w:rsidR="00C3018A" w:rsidRPr="00C3018A" w:rsidRDefault="00C3018A"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Товар повинен мати відповідне пакування, яке забезпечує повну цілісність товару та збереження його якості під час транспортування та відповідає вимогам чинного законодавства. </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6F6C848A" w14:textId="0C13DAED" w:rsidR="00C3018A" w:rsidRDefault="00C3018A" w:rsidP="00C3018A">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p>
    <w:p w14:paraId="50AFC5BB" w14:textId="60B3832F" w:rsidR="00174DCF" w:rsidRPr="00174DCF" w:rsidRDefault="00174DCF" w:rsidP="001F3B9B">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174DCF">
        <w:rPr>
          <w:rFonts w:ascii="Times New Roman" w:hAnsi="Times New Roman" w:cs="Times New Roman"/>
          <w:sz w:val="24"/>
          <w:szCs w:val="24"/>
          <w:lang w:eastAsia="en-US"/>
        </w:rPr>
        <w:t xml:space="preserve">На момент поставки продукції, залишковий термін придатності має бути не менше, ніж 75% від загального. </w:t>
      </w:r>
    </w:p>
    <w:p w14:paraId="70D08B16" w14:textId="77777777" w:rsidR="0026218A" w:rsidRPr="0026218A" w:rsidRDefault="0026218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lang w:val="ru-RU"/>
        </w:rPr>
        <w:sectPr w:rsidR="0026218A" w:rsidRPr="0026218A" w:rsidSect="004608D9">
          <w:headerReference w:type="default" r:id="rId12"/>
          <w:pgSz w:w="11906" w:h="16838" w:code="9"/>
          <w:pgMar w:top="850" w:right="850" w:bottom="850" w:left="1417" w:header="709" w:footer="0" w:gutter="0"/>
          <w:cols w:space="708"/>
          <w:docGrid w:linePitch="272"/>
        </w:sectPr>
      </w:pP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13E22CAC"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13277E" w:rsidRPr="0013277E">
        <w:rPr>
          <w:rFonts w:ascii="Times New Roman" w:eastAsia="Times New Roman" w:hAnsi="Times New Roman" w:cs="Times New Roman"/>
          <w:b/>
          <w:sz w:val="24"/>
          <w:szCs w:val="24"/>
        </w:rPr>
        <w:t>ДК 021:2015:33690000-3 Лікарські засоби різні (</w:t>
      </w:r>
      <w:proofErr w:type="spellStart"/>
      <w:r w:rsidR="0013277E" w:rsidRPr="0013277E">
        <w:rPr>
          <w:rFonts w:ascii="Times New Roman" w:eastAsia="Times New Roman" w:hAnsi="Times New Roman" w:cs="Times New Roman"/>
          <w:b/>
          <w:sz w:val="24"/>
          <w:szCs w:val="24"/>
        </w:rPr>
        <w:t>Кліндаміцин</w:t>
      </w:r>
      <w:proofErr w:type="spellEnd"/>
      <w:r w:rsidR="0013277E" w:rsidRPr="0013277E">
        <w:rPr>
          <w:rFonts w:ascii="Times New Roman" w:eastAsia="Times New Roman" w:hAnsi="Times New Roman" w:cs="Times New Roman"/>
          <w:b/>
          <w:sz w:val="24"/>
          <w:szCs w:val="24"/>
        </w:rPr>
        <w:t xml:space="preserve">, розчин для ін'єкцій, 150 мг/мл по 4 мл у ампулах, МНН: </w:t>
      </w:r>
      <w:proofErr w:type="spellStart"/>
      <w:r w:rsidR="0013277E" w:rsidRPr="0013277E">
        <w:rPr>
          <w:rFonts w:ascii="Times New Roman" w:eastAsia="Times New Roman" w:hAnsi="Times New Roman" w:cs="Times New Roman"/>
          <w:b/>
          <w:sz w:val="24"/>
          <w:szCs w:val="24"/>
        </w:rPr>
        <w:t>Clindamycin</w:t>
      </w:r>
      <w:proofErr w:type="spellEnd"/>
      <w:r w:rsidR="0013277E" w:rsidRPr="0013277E">
        <w:rPr>
          <w:rFonts w:ascii="Times New Roman" w:eastAsia="Times New Roman" w:hAnsi="Times New Roman" w:cs="Times New Roman"/>
          <w:b/>
          <w:sz w:val="24"/>
          <w:szCs w:val="24"/>
        </w:rPr>
        <w:t>)</w:t>
      </w:r>
      <w:r w:rsidR="0013277E">
        <w:rPr>
          <w:rFonts w:ascii="Times New Roman" w:eastAsia="Times New Roman" w:hAnsi="Times New Roman" w:cs="Times New Roman"/>
          <w:b/>
          <w:sz w:val="24"/>
          <w:szCs w:val="24"/>
        </w:rPr>
        <w:t xml:space="preserve"> </w:t>
      </w:r>
      <w:r w:rsidRPr="00D431AE">
        <w:rPr>
          <w:rFonts w:ascii="Times New Roman" w:eastAsia="Times New Roman" w:hAnsi="Times New Roman" w:cs="Times New Roman"/>
          <w:sz w:val="24"/>
          <w:szCs w:val="24"/>
        </w:rPr>
        <w:t>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45A64E73" w14:textId="2310853D" w:rsidR="0096469F" w:rsidRDefault="00DC7C36" w:rsidP="0096469F">
      <w:pPr>
        <w:tabs>
          <w:tab w:val="left" w:pos="993"/>
        </w:tabs>
        <w:spacing w:after="0" w:line="240" w:lineRule="auto"/>
        <w:ind w:firstLine="709"/>
        <w:jc w:val="both"/>
        <w:rPr>
          <w:rFonts w:ascii="Times New Roman" w:eastAsia="Times New Roman" w:hAnsi="Times New Roman" w:cs="Times New Roman"/>
          <w:b/>
          <w:iCs/>
          <w:sz w:val="24"/>
          <w:szCs w:val="24"/>
        </w:rPr>
      </w:pPr>
      <w:r w:rsidRPr="00DC7C36">
        <w:rPr>
          <w:rFonts w:ascii="Times New Roman" w:eastAsia="Times New Roman" w:hAnsi="Times New Roman" w:cs="Times New Roman"/>
          <w:b/>
          <w:iCs/>
          <w:sz w:val="24"/>
          <w:szCs w:val="24"/>
        </w:rPr>
        <w:t xml:space="preserve">         </w:t>
      </w:r>
      <w:r w:rsidRPr="00DC7C36">
        <w:rPr>
          <w:rFonts w:ascii="Times New Roman" w:eastAsia="Times New Roman" w:hAnsi="Times New Roman" w:cs="Times New Roman"/>
          <w:b/>
          <w:iCs/>
          <w:color w:val="FF0000"/>
          <w:sz w:val="24"/>
          <w:szCs w:val="24"/>
        </w:rPr>
        <w:t xml:space="preserve"> </w:t>
      </w:r>
    </w:p>
    <w:p w14:paraId="260CF417" w14:textId="393C87F2"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6"/>
        <w:gridCol w:w="1134"/>
        <w:gridCol w:w="992"/>
        <w:gridCol w:w="1276"/>
        <w:gridCol w:w="1559"/>
        <w:gridCol w:w="1560"/>
      </w:tblGrid>
      <w:tr w:rsidR="003813F1" w:rsidRPr="00FF1F37" w14:paraId="1250820F" w14:textId="77777777" w:rsidTr="00F44898">
        <w:trPr>
          <w:trHeight w:val="1265"/>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61D9A065" w14:textId="77777777"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 з/п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4EB26CB" w14:textId="77777777"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Найменування Товару/</w:t>
            </w:r>
          </w:p>
          <w:p w14:paraId="7C3C2D5B" w14:textId="77777777"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дозування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A506C1" w14:textId="77777777" w:rsidR="003813F1" w:rsidRPr="00FF1F37" w:rsidRDefault="003813F1" w:rsidP="00FE379B">
            <w:pPr>
              <w:spacing w:after="0" w:line="240" w:lineRule="auto"/>
              <w:ind w:left="-103" w:right="-153"/>
              <w:jc w:val="center"/>
              <w:rPr>
                <w:rFonts w:ascii="Times New Roman" w:hAnsi="Times New Roman" w:cs="Times New Roman"/>
                <w:b/>
              </w:rPr>
            </w:pPr>
            <w:r w:rsidRPr="00FF1F37">
              <w:rPr>
                <w:rFonts w:ascii="Times New Roman" w:hAnsi="Times New Roman" w:cs="Times New Roman"/>
                <w:b/>
              </w:rPr>
              <w:t xml:space="preserve">Дата </w:t>
            </w:r>
            <w:proofErr w:type="spellStart"/>
            <w:r w:rsidRPr="00FF1F37">
              <w:rPr>
                <w:rFonts w:ascii="Times New Roman" w:hAnsi="Times New Roman" w:cs="Times New Roman"/>
                <w:b/>
              </w:rPr>
              <w:t>виготовлен</w:t>
            </w:r>
            <w:proofErr w:type="spellEnd"/>
          </w:p>
          <w:p w14:paraId="7500D5FA" w14:textId="77777777" w:rsidR="003813F1" w:rsidRPr="00FF1F37" w:rsidRDefault="003813F1" w:rsidP="00FE379B">
            <w:pPr>
              <w:spacing w:after="0" w:line="240" w:lineRule="auto"/>
              <w:ind w:left="-103" w:right="-153"/>
              <w:jc w:val="center"/>
              <w:rPr>
                <w:rFonts w:ascii="Times New Roman" w:hAnsi="Times New Roman" w:cs="Times New Roman"/>
                <w:b/>
                <w:bCs/>
              </w:rPr>
            </w:pPr>
            <w:r w:rsidRPr="00FF1F37">
              <w:rPr>
                <w:rFonts w:ascii="Times New Roman" w:hAnsi="Times New Roman" w:cs="Times New Roman"/>
                <w:b/>
              </w:rPr>
              <w:t>ня/Загал. термін придатності</w:t>
            </w:r>
          </w:p>
        </w:tc>
        <w:tc>
          <w:tcPr>
            <w:tcW w:w="1134" w:type="dxa"/>
            <w:tcBorders>
              <w:top w:val="single" w:sz="4" w:space="0" w:color="auto"/>
              <w:left w:val="single" w:sz="4" w:space="0" w:color="auto"/>
              <w:right w:val="single" w:sz="4" w:space="0" w:color="auto"/>
            </w:tcBorders>
            <w:vAlign w:val="center"/>
          </w:tcPr>
          <w:p w14:paraId="3C1DDD0B" w14:textId="77777777" w:rsidR="003813F1" w:rsidRPr="00FF1F37" w:rsidRDefault="003813F1" w:rsidP="00FE379B">
            <w:pPr>
              <w:spacing w:after="0" w:line="240" w:lineRule="auto"/>
              <w:ind w:left="-63" w:right="-113"/>
              <w:jc w:val="center"/>
              <w:rPr>
                <w:rFonts w:ascii="Times New Roman" w:hAnsi="Times New Roman" w:cs="Times New Roman"/>
                <w:b/>
                <w:bCs/>
              </w:rPr>
            </w:pPr>
            <w:r w:rsidRPr="00FF1F37">
              <w:rPr>
                <w:rFonts w:ascii="Times New Roman" w:hAnsi="Times New Roman" w:cs="Times New Roman"/>
                <w:b/>
                <w:bCs/>
              </w:rPr>
              <w:t xml:space="preserve">№ </w:t>
            </w:r>
            <w:proofErr w:type="spellStart"/>
            <w:r w:rsidRPr="00FF1F37">
              <w:rPr>
                <w:rFonts w:ascii="Times New Roman" w:hAnsi="Times New Roman" w:cs="Times New Roman"/>
                <w:b/>
                <w:bCs/>
              </w:rPr>
              <w:t>реєстра-ційного</w:t>
            </w:r>
            <w:proofErr w:type="spellEnd"/>
            <w:r w:rsidRPr="00FF1F37">
              <w:rPr>
                <w:rFonts w:ascii="Times New Roman" w:hAnsi="Times New Roman" w:cs="Times New Roman"/>
                <w:b/>
                <w:bCs/>
              </w:rPr>
              <w:t xml:space="preserve"> посвідчення</w:t>
            </w:r>
          </w:p>
        </w:tc>
        <w:tc>
          <w:tcPr>
            <w:tcW w:w="992" w:type="dxa"/>
            <w:tcBorders>
              <w:top w:val="single" w:sz="4" w:space="0" w:color="auto"/>
              <w:left w:val="single" w:sz="4" w:space="0" w:color="auto"/>
              <w:bottom w:val="single" w:sz="4" w:space="0" w:color="auto"/>
              <w:right w:val="single" w:sz="4" w:space="0" w:color="auto"/>
            </w:tcBorders>
            <w:vAlign w:val="center"/>
          </w:tcPr>
          <w:p w14:paraId="60B5C756" w14:textId="77777777"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Кіл-</w:t>
            </w:r>
            <w:proofErr w:type="spellStart"/>
            <w:r w:rsidRPr="00FF1F37">
              <w:rPr>
                <w:rFonts w:ascii="Times New Roman" w:hAnsi="Times New Roman" w:cs="Times New Roman"/>
                <w:b/>
                <w:bCs/>
              </w:rPr>
              <w:t>ть</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FEF515" w14:textId="53B637A0"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Од. виміру</w:t>
            </w:r>
          </w:p>
        </w:tc>
        <w:tc>
          <w:tcPr>
            <w:tcW w:w="1559" w:type="dxa"/>
            <w:tcBorders>
              <w:top w:val="single" w:sz="4" w:space="0" w:color="auto"/>
              <w:left w:val="single" w:sz="4" w:space="0" w:color="auto"/>
              <w:bottom w:val="single" w:sz="4" w:space="0" w:color="auto"/>
              <w:right w:val="single" w:sz="4" w:space="0" w:color="auto"/>
            </w:tcBorders>
            <w:vAlign w:val="center"/>
          </w:tcPr>
          <w:p w14:paraId="0D0D13BA" w14:textId="64557FF6"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Ціна за од., грн, без ПДВ</w:t>
            </w:r>
            <w:r>
              <w:rPr>
                <w:rFonts w:ascii="Times New Roman" w:hAnsi="Times New Roman" w:cs="Times New Roman"/>
                <w:b/>
                <w:bCs/>
              </w:rPr>
              <w:t>*</w:t>
            </w:r>
            <w:r w:rsidRPr="00FF1F37">
              <w:rPr>
                <w:rFonts w:ascii="Times New Roman" w:hAnsi="Times New Roman" w:cs="Times New Roman"/>
                <w:b/>
                <w:bCs/>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9AD0FF" w14:textId="3F1AE4EC"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Загальна вартість, грн, без ПДВ</w:t>
            </w:r>
            <w:r>
              <w:rPr>
                <w:rFonts w:ascii="Times New Roman" w:hAnsi="Times New Roman" w:cs="Times New Roman"/>
                <w:b/>
                <w:bCs/>
              </w:rPr>
              <w:t>*</w:t>
            </w:r>
          </w:p>
        </w:tc>
      </w:tr>
      <w:tr w:rsidR="003813F1" w:rsidRPr="00FF1F37" w14:paraId="11A9F60C" w14:textId="77777777" w:rsidTr="00F44898">
        <w:trPr>
          <w:trHeight w:val="420"/>
        </w:trPr>
        <w:tc>
          <w:tcPr>
            <w:tcW w:w="426" w:type="dxa"/>
            <w:tcBorders>
              <w:top w:val="single" w:sz="4" w:space="0" w:color="auto"/>
              <w:left w:val="single" w:sz="4" w:space="0" w:color="auto"/>
              <w:bottom w:val="single" w:sz="4" w:space="0" w:color="auto"/>
              <w:right w:val="single" w:sz="4" w:space="0" w:color="auto"/>
            </w:tcBorders>
            <w:noWrap/>
          </w:tcPr>
          <w:p w14:paraId="359A2E80" w14:textId="4ED1FE24" w:rsidR="003813F1" w:rsidRPr="00FF1F37" w:rsidRDefault="003813F1" w:rsidP="00FE379B">
            <w:pPr>
              <w:spacing w:after="0" w:line="240" w:lineRule="auto"/>
              <w:jc w:val="center"/>
              <w:rPr>
                <w:rFonts w:ascii="Times New Roman" w:hAnsi="Times New Roman" w:cs="Times New Roman"/>
                <w:bCs/>
              </w:rPr>
            </w:pPr>
            <w:r>
              <w:rPr>
                <w:rFonts w:ascii="Times New Roman" w:hAnsi="Times New Roman" w:cs="Times New Roman"/>
                <w:bCs/>
              </w:rPr>
              <w:t>1</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6F6AF0D" w14:textId="77777777" w:rsidR="003813F1" w:rsidRPr="00FF1F37" w:rsidRDefault="003813F1" w:rsidP="00FE379B">
            <w:pPr>
              <w:spacing w:after="0" w:line="240" w:lineRule="auto"/>
              <w:rPr>
                <w:rFonts w:ascii="Times New Roman" w:hAnsi="Times New Roman" w:cs="Times New Roman"/>
                <w:b/>
              </w:rPr>
            </w:pPr>
            <w:r w:rsidRPr="00FF1F37">
              <w:rPr>
                <w:rFonts w:ascii="Times New Roman" w:eastAsia="Times New Roman" w:hAnsi="Times New Roman" w:cs="Times New Roman"/>
                <w:b/>
                <w:sz w:val="24"/>
                <w:szCs w:val="24"/>
              </w:rPr>
              <w:t>(</w:t>
            </w:r>
            <w:proofErr w:type="spellStart"/>
            <w:r w:rsidRPr="003C11DA">
              <w:rPr>
                <w:rFonts w:ascii="Times New Roman" w:eastAsia="Times New Roman" w:hAnsi="Times New Roman" w:cs="Times New Roman"/>
                <w:b/>
                <w:sz w:val="24"/>
                <w:szCs w:val="24"/>
              </w:rPr>
              <w:t>Кліндаміцин</w:t>
            </w:r>
            <w:proofErr w:type="spellEnd"/>
            <w:r w:rsidRPr="003C11DA">
              <w:rPr>
                <w:rFonts w:ascii="Times New Roman" w:eastAsia="Times New Roman" w:hAnsi="Times New Roman" w:cs="Times New Roman"/>
                <w:b/>
                <w:sz w:val="24"/>
                <w:szCs w:val="24"/>
              </w:rPr>
              <w:t>, розчин для ін'єкцій, 150 мг/мл по 4 мл у ампулах</w:t>
            </w:r>
          </w:p>
        </w:tc>
        <w:tc>
          <w:tcPr>
            <w:tcW w:w="1276" w:type="dxa"/>
            <w:tcBorders>
              <w:top w:val="single" w:sz="4" w:space="0" w:color="auto"/>
              <w:left w:val="single" w:sz="4" w:space="0" w:color="auto"/>
              <w:bottom w:val="single" w:sz="4" w:space="0" w:color="auto"/>
              <w:right w:val="single" w:sz="4" w:space="0" w:color="auto"/>
            </w:tcBorders>
            <w:shd w:val="clear" w:color="auto" w:fill="FFFF00"/>
            <w:noWrap/>
          </w:tcPr>
          <w:p w14:paraId="70A67BA8" w14:textId="77777777" w:rsidR="003813F1" w:rsidRPr="00FF1F37" w:rsidRDefault="003813F1" w:rsidP="00FE379B">
            <w:pPr>
              <w:spacing w:after="0" w:line="240" w:lineRule="auto"/>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E2D8A3" w14:textId="77777777" w:rsidR="003813F1" w:rsidRPr="00FF1F37" w:rsidRDefault="003813F1" w:rsidP="00FE379B">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29DC1C0" w14:textId="6A9CC9BE" w:rsidR="003813F1" w:rsidRPr="00FF1F37" w:rsidRDefault="003813F1" w:rsidP="00FE379B">
            <w:pPr>
              <w:spacing w:after="0" w:line="240" w:lineRule="auto"/>
              <w:jc w:val="center"/>
              <w:rPr>
                <w:rFonts w:ascii="Times New Roman" w:hAnsi="Times New Roman" w:cs="Times New Roman"/>
                <w:bCs/>
              </w:rPr>
            </w:pPr>
            <w:r w:rsidRPr="00B44D0F">
              <w:rPr>
                <w:rFonts w:ascii="Times New Roman" w:eastAsia="Times New Roman" w:hAnsi="Times New Roman" w:cs="Times New Roman"/>
                <w:sz w:val="24"/>
                <w:szCs w:val="24"/>
                <w:lang w:val="ru-RU" w:eastAsia="ru-RU"/>
              </w:rPr>
              <w:t>10</w:t>
            </w:r>
            <w:r>
              <w:rPr>
                <w:rFonts w:ascii="Times New Roman" w:eastAsia="Times New Roman" w:hAnsi="Times New Roman" w:cs="Times New Roman"/>
                <w:sz w:val="24"/>
                <w:szCs w:val="24"/>
                <w:lang w:val="ru-RU" w:eastAsia="ru-RU"/>
              </w:rPr>
              <w:t xml:space="preserve"> </w:t>
            </w:r>
            <w:r w:rsidR="00B74C78">
              <w:rPr>
                <w:rFonts w:ascii="Times New Roman" w:eastAsia="Times New Roman" w:hAnsi="Times New Roman" w:cs="Times New Roman"/>
                <w:sz w:val="24"/>
                <w:szCs w:val="24"/>
                <w:lang w:val="ru-RU" w:eastAsia="ru-RU"/>
              </w:rPr>
              <w:t>544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D15C8ED" w14:textId="6251C403" w:rsidR="003813F1" w:rsidRPr="00FF1F37" w:rsidRDefault="003813F1" w:rsidP="00FE379B">
            <w:pPr>
              <w:spacing w:after="0" w:line="240" w:lineRule="auto"/>
              <w:jc w:val="center"/>
              <w:rPr>
                <w:rFonts w:ascii="Times New Roman" w:hAnsi="Times New Roman" w:cs="Times New Roman"/>
                <w:bCs/>
              </w:rPr>
            </w:pPr>
            <w:proofErr w:type="spellStart"/>
            <w:r>
              <w:rPr>
                <w:rFonts w:ascii="Times New Roman" w:hAnsi="Times New Roman" w:cs="Times New Roman"/>
              </w:rPr>
              <w:t>Амп</w:t>
            </w:r>
            <w:proofErr w:type="spellEnd"/>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CA2E2C" w14:textId="77777777" w:rsidR="003813F1" w:rsidRPr="00FF1F37" w:rsidRDefault="003813F1" w:rsidP="00FE379B">
            <w:pPr>
              <w:spacing w:after="0" w:line="240" w:lineRule="auto"/>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8" w:space="0" w:color="auto"/>
            </w:tcBorders>
            <w:shd w:val="clear" w:color="auto" w:fill="FFFF00"/>
            <w:noWrap/>
          </w:tcPr>
          <w:p w14:paraId="799985AB" w14:textId="77777777" w:rsidR="003813F1" w:rsidRPr="00FF1F37" w:rsidRDefault="003813F1" w:rsidP="00FE379B">
            <w:pPr>
              <w:spacing w:after="0" w:line="240" w:lineRule="auto"/>
              <w:jc w:val="center"/>
              <w:rPr>
                <w:rFonts w:ascii="Times New Roman" w:hAnsi="Times New Roman" w:cs="Times New Roman"/>
                <w:bCs/>
              </w:rPr>
            </w:pPr>
          </w:p>
        </w:tc>
      </w:tr>
      <w:tr w:rsidR="002E1117" w:rsidRPr="00FF1F37" w14:paraId="46CF22A8" w14:textId="77777777" w:rsidTr="00F44898">
        <w:trPr>
          <w:trHeight w:val="339"/>
        </w:trPr>
        <w:tc>
          <w:tcPr>
            <w:tcW w:w="8931" w:type="dxa"/>
            <w:gridSpan w:val="7"/>
            <w:tcBorders>
              <w:top w:val="single" w:sz="4" w:space="0" w:color="auto"/>
              <w:left w:val="single" w:sz="4" w:space="0" w:color="auto"/>
              <w:bottom w:val="single" w:sz="4" w:space="0" w:color="auto"/>
              <w:right w:val="single" w:sz="8" w:space="0" w:color="auto"/>
            </w:tcBorders>
          </w:tcPr>
          <w:p w14:paraId="30385930" w14:textId="77777777" w:rsidR="002E1117" w:rsidRPr="00FF1F37" w:rsidRDefault="002E1117" w:rsidP="00FE379B">
            <w:pPr>
              <w:spacing w:after="0" w:line="240" w:lineRule="auto"/>
              <w:ind w:firstLine="567"/>
              <w:jc w:val="right"/>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Всього без ПДВ, грн</w:t>
            </w:r>
          </w:p>
        </w:tc>
        <w:tc>
          <w:tcPr>
            <w:tcW w:w="1560" w:type="dxa"/>
            <w:tcBorders>
              <w:top w:val="single" w:sz="4" w:space="0" w:color="auto"/>
              <w:left w:val="single" w:sz="4" w:space="0" w:color="auto"/>
              <w:bottom w:val="single" w:sz="4" w:space="0" w:color="auto"/>
              <w:right w:val="single" w:sz="8" w:space="0" w:color="auto"/>
            </w:tcBorders>
          </w:tcPr>
          <w:p w14:paraId="7CC258A1" w14:textId="77777777" w:rsidR="002E1117" w:rsidRPr="00FF1F37" w:rsidRDefault="002E1117" w:rsidP="00FE379B">
            <w:pPr>
              <w:spacing w:after="0" w:line="240" w:lineRule="auto"/>
              <w:ind w:firstLine="567"/>
              <w:jc w:val="center"/>
              <w:rPr>
                <w:rFonts w:ascii="Times New Roman" w:hAnsi="Times New Roman" w:cs="Times New Roman"/>
                <w:bCs/>
                <w:sz w:val="24"/>
                <w:szCs w:val="24"/>
              </w:rPr>
            </w:pPr>
          </w:p>
        </w:tc>
      </w:tr>
    </w:tbl>
    <w:p w14:paraId="72D8280E" w14:textId="77777777" w:rsidR="00290577" w:rsidRPr="00EE0D60" w:rsidRDefault="00290577" w:rsidP="00290577">
      <w:pPr>
        <w:pStyle w:val="ae"/>
        <w:tabs>
          <w:tab w:val="left" w:pos="993"/>
        </w:tabs>
        <w:ind w:left="-426"/>
        <w:jc w:val="both"/>
        <w:rPr>
          <w:iCs/>
          <w:sz w:val="24"/>
          <w:szCs w:val="24"/>
          <w:lang w:val="uk-UA"/>
        </w:rPr>
      </w:pPr>
      <w:r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7D2F4E38" w14:textId="77777777" w:rsidR="002E1117" w:rsidRDefault="002E1117"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3AD024B8" w:rsidR="0096469F" w:rsidRPr="00D431AE" w:rsidRDefault="006C4E05" w:rsidP="00CE1FBA">
            <w:pPr>
              <w:spacing w:after="0" w:line="240" w:lineRule="auto"/>
              <w:rPr>
                <w:rFonts w:ascii="Times New Roman" w:eastAsia="Times New Roman" w:hAnsi="Times New Roman" w:cs="Times New Roman"/>
                <w:sz w:val="24"/>
                <w:szCs w:val="24"/>
              </w:rPr>
            </w:pPr>
            <w:r w:rsidRPr="006C4E05">
              <w:rPr>
                <w:rFonts w:ascii="Times New Roman" w:eastAsia="Times New Roman" w:hAnsi="Times New Roman" w:cs="Times New Roman"/>
                <w:sz w:val="24"/>
                <w:szCs w:val="24"/>
              </w:rPr>
              <w:t xml:space="preserve">Загальна вартість Товару та/або ціна за одиницю імпортованого Товару за цим Договором в іноземній валюті не може бути змінена після укладання </w:t>
            </w:r>
            <w:r>
              <w:rPr>
                <w:rFonts w:ascii="Times New Roman" w:eastAsia="Times New Roman" w:hAnsi="Times New Roman" w:cs="Times New Roman"/>
                <w:sz w:val="24"/>
                <w:szCs w:val="24"/>
              </w:rPr>
              <w:t>д</w:t>
            </w:r>
            <w:r w:rsidRPr="006C4E05">
              <w:rPr>
                <w:rFonts w:ascii="Times New Roman" w:eastAsia="Times New Roman" w:hAnsi="Times New Roman" w:cs="Times New Roman"/>
                <w:sz w:val="24"/>
                <w:szCs w:val="24"/>
              </w:rPr>
              <w:t>оговор</w:t>
            </w:r>
            <w:r>
              <w:rPr>
                <w:rFonts w:ascii="Times New Roman" w:eastAsia="Times New Roman" w:hAnsi="Times New Roman" w:cs="Times New Roman"/>
                <w:sz w:val="24"/>
                <w:szCs w:val="24"/>
              </w:rPr>
              <w:t>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1980D63E"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96153" w:rsidRPr="00F96153">
        <w:rPr>
          <w:rFonts w:ascii="Times New Roman" w:eastAsia="Times New Roman" w:hAnsi="Times New Roman" w:cs="Times New Roman"/>
          <w:b/>
          <w:bCs/>
          <w:sz w:val="24"/>
          <w:szCs w:val="24"/>
          <w:lang w:eastAsia="ru-RU"/>
        </w:rPr>
        <w:t>ДК 021:2015:33690000-3 Лікарські засоби різні (</w:t>
      </w:r>
      <w:proofErr w:type="spellStart"/>
      <w:r w:rsidR="00F96153" w:rsidRPr="00F96153">
        <w:rPr>
          <w:rFonts w:ascii="Times New Roman" w:eastAsia="Times New Roman" w:hAnsi="Times New Roman" w:cs="Times New Roman"/>
          <w:b/>
          <w:bCs/>
          <w:sz w:val="24"/>
          <w:szCs w:val="24"/>
          <w:lang w:eastAsia="ru-RU"/>
        </w:rPr>
        <w:t>Кліндаміцин</w:t>
      </w:r>
      <w:proofErr w:type="spellEnd"/>
      <w:r w:rsidR="00F96153" w:rsidRPr="00F96153">
        <w:rPr>
          <w:rFonts w:ascii="Times New Roman" w:eastAsia="Times New Roman" w:hAnsi="Times New Roman" w:cs="Times New Roman"/>
          <w:b/>
          <w:bCs/>
          <w:sz w:val="24"/>
          <w:szCs w:val="24"/>
          <w:lang w:eastAsia="ru-RU"/>
        </w:rPr>
        <w:t xml:space="preserve">, розчин для ін'єкцій, 150 мг/мл по 4 мл у ампулах, МНН: </w:t>
      </w:r>
      <w:proofErr w:type="spellStart"/>
      <w:r w:rsidR="00F96153" w:rsidRPr="00F96153">
        <w:rPr>
          <w:rFonts w:ascii="Times New Roman" w:eastAsia="Times New Roman" w:hAnsi="Times New Roman" w:cs="Times New Roman"/>
          <w:b/>
          <w:bCs/>
          <w:sz w:val="24"/>
          <w:szCs w:val="24"/>
          <w:lang w:eastAsia="ru-RU"/>
        </w:rPr>
        <w:t>Clindamycin</w:t>
      </w:r>
      <w:proofErr w:type="spellEnd"/>
      <w:r w:rsidRPr="00D431AE">
        <w:rPr>
          <w:rFonts w:ascii="Times New Roman" w:eastAsia="Times New Roman" w:hAnsi="Times New Roman" w:cs="Times New Roman"/>
          <w:bCs/>
          <w:sz w:val="24"/>
          <w:szCs w:val="24"/>
          <w:lang w:eastAsia="ru-RU"/>
        </w:rPr>
        <w:t>)</w:t>
      </w:r>
      <w:r w:rsidRPr="00D431AE">
        <w:rPr>
          <w:rFonts w:ascii="Times New Roman" w:eastAsia="Times New Roman" w:hAnsi="Times New Roman" w:cs="Times New Roman"/>
          <w:b/>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w:t>
      </w:r>
      <w:r w:rsidRPr="00D431AE">
        <w:rPr>
          <w:rFonts w:ascii="Times New Roman" w:eastAsia="Times New Roman" w:hAnsi="Times New Roman" w:cs="Times New Roman"/>
          <w:color w:val="000000"/>
          <w:sz w:val="24"/>
          <w:szCs w:val="24"/>
          <w:lang w:eastAsia="ru-RU"/>
        </w:rPr>
        <w:lastRenderedPageBreak/>
        <w:t>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9" w:name="_Hlk158632907"/>
      <w:bookmarkStart w:id="10"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10971B8" w14:textId="07FB2B2D" w:rsidR="001C5068" w:rsidRDefault="00DC0424" w:rsidP="001C5068">
      <w:pPr>
        <w:tabs>
          <w:tab w:val="left" w:pos="6915"/>
        </w:tabs>
        <w:spacing w:after="0" w:line="240" w:lineRule="auto"/>
        <w:ind w:firstLine="567"/>
        <w:jc w:val="center"/>
        <w:rPr>
          <w:rFonts w:ascii="Times New Roman" w:eastAsia="Times New Roman" w:hAnsi="Times New Roman" w:cs="Times New Roman"/>
          <w:b/>
          <w:sz w:val="24"/>
          <w:szCs w:val="24"/>
        </w:rPr>
      </w:pPr>
      <w:bookmarkStart w:id="11" w:name="_heading=h.gjdgxs" w:colFirst="0" w:colLast="0"/>
      <w:bookmarkEnd w:id="9"/>
      <w:bookmarkEnd w:id="11"/>
      <w:r>
        <w:rPr>
          <w:rFonts w:ascii="Times New Roman" w:eastAsia="Times New Roman" w:hAnsi="Times New Roman" w:cs="Times New Roman"/>
          <w:b/>
          <w:sz w:val="24"/>
          <w:szCs w:val="24"/>
        </w:rPr>
        <w:lastRenderedPageBreak/>
        <w:tab/>
      </w:r>
      <w:r w:rsidR="001C5068">
        <w:rPr>
          <w:rFonts w:ascii="Times New Roman" w:eastAsia="Times New Roman" w:hAnsi="Times New Roman" w:cs="Times New Roman"/>
          <w:b/>
          <w:sz w:val="24"/>
          <w:szCs w:val="24"/>
        </w:rPr>
        <w:t>ДОДАТОК 4</w:t>
      </w:r>
    </w:p>
    <w:p w14:paraId="6FDD0D0C" w14:textId="0E4A6F63" w:rsidR="00DC0424" w:rsidRDefault="00DC0424" w:rsidP="001C5068">
      <w:pPr>
        <w:tabs>
          <w:tab w:val="left" w:pos="6915"/>
        </w:tabs>
        <w:spacing w:after="0" w:line="240" w:lineRule="auto"/>
        <w:ind w:firstLine="567"/>
        <w:jc w:val="center"/>
        <w:rPr>
          <w:rFonts w:ascii="Times New Roman" w:eastAsia="Times New Roman" w:hAnsi="Times New Roman" w:cs="Times New Roman"/>
          <w:b/>
          <w:sz w:val="24"/>
          <w:szCs w:val="24"/>
        </w:rPr>
      </w:pPr>
    </w:p>
    <w:p w14:paraId="589FDD57" w14:textId="77777777" w:rsidR="00DC0424" w:rsidRDefault="00DC0424" w:rsidP="001C5068">
      <w:pPr>
        <w:tabs>
          <w:tab w:val="left" w:pos="6915"/>
        </w:tabs>
        <w:spacing w:after="0" w:line="240" w:lineRule="auto"/>
        <w:ind w:firstLine="567"/>
        <w:jc w:val="center"/>
        <w:rPr>
          <w:rFonts w:ascii="Times New Roman" w:eastAsia="Times New Roman" w:hAnsi="Times New Roman" w:cs="Times New Roman"/>
          <w:b/>
          <w:sz w:val="24"/>
          <w:szCs w:val="24"/>
        </w:rPr>
      </w:pPr>
    </w:p>
    <w:p w14:paraId="6E221DD9" w14:textId="77777777" w:rsidR="00D07EC0" w:rsidRPr="00C12363" w:rsidRDefault="00D07EC0" w:rsidP="00D07EC0">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ДОГОВІР ПРО ЗАКУПІВЛЮ № ______</w:t>
      </w:r>
    </w:p>
    <w:p w14:paraId="2DE01335" w14:textId="77777777" w:rsidR="00D07EC0" w:rsidRPr="00C12363" w:rsidRDefault="00D07EC0" w:rsidP="00D07EC0">
      <w:pPr>
        <w:tabs>
          <w:tab w:val="left" w:pos="6915"/>
        </w:tabs>
        <w:spacing w:after="0" w:line="240" w:lineRule="auto"/>
        <w:ind w:firstLine="567"/>
        <w:jc w:val="center"/>
        <w:rPr>
          <w:rFonts w:ascii="Times New Roman" w:eastAsia="Times New Roman" w:hAnsi="Times New Roman"/>
          <w:b/>
          <w:sz w:val="24"/>
          <w:szCs w:val="24"/>
        </w:rPr>
      </w:pPr>
    </w:p>
    <w:p w14:paraId="084D9806" w14:textId="77777777" w:rsidR="00D07EC0" w:rsidRPr="00C12363" w:rsidRDefault="00D07EC0" w:rsidP="00D07EC0">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3CDC166" w14:textId="77777777" w:rsidR="00D07EC0" w:rsidRPr="00C12363" w:rsidRDefault="00D07EC0" w:rsidP="00D07EC0">
      <w:pPr>
        <w:tabs>
          <w:tab w:val="left" w:pos="6915"/>
        </w:tabs>
        <w:spacing w:after="0" w:line="240" w:lineRule="auto"/>
        <w:ind w:right="-2" w:firstLine="567"/>
        <w:jc w:val="both"/>
        <w:rPr>
          <w:rFonts w:ascii="Times New Roman" w:eastAsia="Times New Roman" w:hAnsi="Times New Roman"/>
          <w:sz w:val="24"/>
          <w:szCs w:val="24"/>
        </w:rPr>
      </w:pPr>
    </w:p>
    <w:p w14:paraId="278127C5"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20DF6F82"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p w14:paraId="36C597E2" w14:textId="77777777" w:rsidR="00D07EC0" w:rsidRPr="00C12363" w:rsidRDefault="00D07EC0" w:rsidP="00D07EC0">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556081C8" w14:textId="418DCA07" w:rsidR="00D07EC0" w:rsidRPr="00C12363" w:rsidRDefault="00D07EC0" w:rsidP="00D07EC0">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00ED2874" w:rsidRPr="00ED2874">
        <w:rPr>
          <w:rFonts w:ascii="Times New Roman" w:eastAsia="Times New Roman" w:hAnsi="Times New Roman"/>
          <w:b/>
          <w:sz w:val="24"/>
          <w:szCs w:val="24"/>
        </w:rPr>
        <w:t>ДК 021:2015:33690000-3 Лікарські засоби різні (</w:t>
      </w:r>
      <w:proofErr w:type="spellStart"/>
      <w:r w:rsidR="00ED2874" w:rsidRPr="00ED2874">
        <w:rPr>
          <w:rFonts w:ascii="Times New Roman" w:eastAsia="Times New Roman" w:hAnsi="Times New Roman"/>
          <w:b/>
          <w:sz w:val="24"/>
          <w:szCs w:val="24"/>
        </w:rPr>
        <w:t>Кліндаміцин</w:t>
      </w:r>
      <w:proofErr w:type="spellEnd"/>
      <w:r w:rsidR="00ED2874" w:rsidRPr="00ED2874">
        <w:rPr>
          <w:rFonts w:ascii="Times New Roman" w:eastAsia="Times New Roman" w:hAnsi="Times New Roman"/>
          <w:b/>
          <w:sz w:val="24"/>
          <w:szCs w:val="24"/>
        </w:rPr>
        <w:t xml:space="preserve">, розчин для ін'єкцій, 150 мг/мл по 4 мл у ампулах, МНН: </w:t>
      </w:r>
      <w:proofErr w:type="spellStart"/>
      <w:r w:rsidR="00ED2874" w:rsidRPr="00ED2874">
        <w:rPr>
          <w:rFonts w:ascii="Times New Roman" w:eastAsia="Times New Roman" w:hAnsi="Times New Roman"/>
          <w:b/>
          <w:sz w:val="24"/>
          <w:szCs w:val="24"/>
        </w:rPr>
        <w:t>Clindamycin</w:t>
      </w:r>
      <w:proofErr w:type="spellEnd"/>
      <w:r w:rsidR="00ED2874" w:rsidRPr="00ED2874">
        <w:rPr>
          <w:rFonts w:ascii="Times New Roman" w:eastAsia="Times New Roman" w:hAnsi="Times New Roman"/>
          <w:b/>
          <w:sz w:val="24"/>
          <w:szCs w:val="24"/>
        </w:rPr>
        <w:t xml:space="preserve">) </w:t>
      </w:r>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725FB6D6" w14:textId="77777777" w:rsidR="00D07EC0" w:rsidRPr="00C12363" w:rsidRDefault="00D07EC0" w:rsidP="00D07EC0">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CF62022" w14:textId="77777777" w:rsidR="00D07EC0" w:rsidRPr="00C12363" w:rsidRDefault="00D07EC0" w:rsidP="00D07EC0">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93BA3DF"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300A94F4"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p w14:paraId="2101208C" w14:textId="77777777" w:rsidR="00D07EC0" w:rsidRPr="00C12363" w:rsidRDefault="00D07EC0" w:rsidP="00D07EC0">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434A4E69" w14:textId="2E4D5614" w:rsidR="00D07EC0" w:rsidRPr="00C12363" w:rsidRDefault="00D07EC0" w:rsidP="00D07EC0">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w:t>
      </w:r>
      <w:r w:rsidR="00B93ECC" w:rsidRPr="00B93ECC">
        <w:rPr>
          <w:sz w:val="24"/>
          <w:szCs w:val="24"/>
        </w:rPr>
        <w:t xml:space="preserve">Поставка Товару </w:t>
      </w:r>
      <w:proofErr w:type="spellStart"/>
      <w:r w:rsidR="00B93ECC" w:rsidRPr="00B93ECC">
        <w:rPr>
          <w:sz w:val="24"/>
          <w:szCs w:val="24"/>
        </w:rPr>
        <w:t>Постачальником</w:t>
      </w:r>
      <w:proofErr w:type="spellEnd"/>
      <w:r w:rsidR="00B93ECC" w:rsidRPr="00B93ECC">
        <w:rPr>
          <w:sz w:val="24"/>
          <w:szCs w:val="24"/>
        </w:rPr>
        <w:t xml:space="preserve"> за Договором </w:t>
      </w:r>
      <w:proofErr w:type="spellStart"/>
      <w:r w:rsidR="00B93ECC" w:rsidRPr="00B93ECC">
        <w:rPr>
          <w:sz w:val="24"/>
          <w:szCs w:val="24"/>
        </w:rPr>
        <w:t>здійснюється</w:t>
      </w:r>
      <w:proofErr w:type="spellEnd"/>
      <w:r w:rsidR="00B93ECC" w:rsidRPr="00B93ECC">
        <w:rPr>
          <w:sz w:val="24"/>
          <w:szCs w:val="24"/>
        </w:rPr>
        <w:t xml:space="preserve"> не </w:t>
      </w:r>
      <w:proofErr w:type="spellStart"/>
      <w:r w:rsidR="00B93ECC" w:rsidRPr="00B93ECC">
        <w:rPr>
          <w:sz w:val="24"/>
          <w:szCs w:val="24"/>
        </w:rPr>
        <w:t>пізніше</w:t>
      </w:r>
      <w:proofErr w:type="spellEnd"/>
      <w:r w:rsidR="00B93ECC" w:rsidRPr="00B93ECC">
        <w:rPr>
          <w:sz w:val="24"/>
          <w:szCs w:val="24"/>
        </w:rPr>
        <w:t xml:space="preserve"> 30 </w:t>
      </w:r>
      <w:r w:rsidR="003F2A17">
        <w:rPr>
          <w:sz w:val="24"/>
          <w:szCs w:val="24"/>
          <w:lang w:val="uk-UA"/>
        </w:rPr>
        <w:t>липня</w:t>
      </w:r>
      <w:r w:rsidR="009E178B">
        <w:rPr>
          <w:sz w:val="24"/>
          <w:szCs w:val="24"/>
          <w:lang w:val="uk-UA"/>
        </w:rPr>
        <w:t xml:space="preserve"> </w:t>
      </w:r>
      <w:r w:rsidR="00B93ECC" w:rsidRPr="00B93ECC">
        <w:rPr>
          <w:sz w:val="24"/>
          <w:szCs w:val="24"/>
        </w:rPr>
        <w:t xml:space="preserve">2025 року. Поставка Товару </w:t>
      </w:r>
      <w:proofErr w:type="spellStart"/>
      <w:r w:rsidR="00B93ECC" w:rsidRPr="00B93ECC">
        <w:rPr>
          <w:sz w:val="24"/>
          <w:szCs w:val="24"/>
        </w:rPr>
        <w:t>може</w:t>
      </w:r>
      <w:proofErr w:type="spellEnd"/>
      <w:r w:rsidR="00B93ECC" w:rsidRPr="00B93ECC">
        <w:rPr>
          <w:sz w:val="24"/>
          <w:szCs w:val="24"/>
        </w:rPr>
        <w:t xml:space="preserve"> </w:t>
      </w:r>
      <w:proofErr w:type="spellStart"/>
      <w:r w:rsidR="00B93ECC" w:rsidRPr="00B93ECC">
        <w:rPr>
          <w:sz w:val="24"/>
          <w:szCs w:val="24"/>
        </w:rPr>
        <w:t>здійснюватися</w:t>
      </w:r>
      <w:proofErr w:type="spellEnd"/>
      <w:r w:rsidR="00B93ECC" w:rsidRPr="00B93ECC">
        <w:rPr>
          <w:sz w:val="24"/>
          <w:szCs w:val="24"/>
        </w:rPr>
        <w:t xml:space="preserve"> </w:t>
      </w:r>
      <w:proofErr w:type="spellStart"/>
      <w:r w:rsidR="00B93ECC" w:rsidRPr="00B93ECC">
        <w:rPr>
          <w:sz w:val="24"/>
          <w:szCs w:val="24"/>
        </w:rPr>
        <w:t>Постачальником</w:t>
      </w:r>
      <w:proofErr w:type="spellEnd"/>
      <w:r w:rsidR="00B93ECC" w:rsidRPr="00B93ECC">
        <w:rPr>
          <w:sz w:val="24"/>
          <w:szCs w:val="24"/>
        </w:rPr>
        <w:t xml:space="preserve"> </w:t>
      </w:r>
      <w:proofErr w:type="spellStart"/>
      <w:r w:rsidR="00B93ECC" w:rsidRPr="00B93ECC">
        <w:rPr>
          <w:sz w:val="24"/>
          <w:szCs w:val="24"/>
        </w:rPr>
        <w:t>партіями</w:t>
      </w:r>
      <w:proofErr w:type="spellEnd"/>
      <w:r w:rsidRPr="00C12363">
        <w:rPr>
          <w:sz w:val="24"/>
          <w:szCs w:val="24"/>
        </w:rPr>
        <w:t>.</w:t>
      </w:r>
    </w:p>
    <w:p w14:paraId="14AEEACA" w14:textId="77777777" w:rsidR="00D07EC0" w:rsidRPr="00C12363" w:rsidRDefault="00D07EC0" w:rsidP="00D07EC0">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1571F64A" w14:textId="77777777" w:rsidR="00D07EC0" w:rsidRPr="00C12363" w:rsidRDefault="00D07EC0" w:rsidP="00D07EC0">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002437B" w14:textId="77777777" w:rsidR="00D07EC0" w:rsidRPr="00C12363" w:rsidRDefault="00D07EC0" w:rsidP="00D07EC0">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01E3B448" w14:textId="77777777" w:rsidR="00D07EC0" w:rsidRPr="00C12363" w:rsidRDefault="00D07EC0" w:rsidP="00D07EC0">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2.5. Товар повинен бути зареєстрованим в Україні згідно з чинним законодавством. Ця </w:t>
      </w:r>
      <w:r w:rsidRPr="00C12363">
        <w:rPr>
          <w:rFonts w:ascii="Times New Roman" w:eastAsia="Times New Roman" w:hAnsi="Times New Roman"/>
          <w:sz w:val="24"/>
          <w:szCs w:val="24"/>
        </w:rPr>
        <w:lastRenderedPageBreak/>
        <w:t>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1787E588" w14:textId="77777777" w:rsidR="00D07EC0" w:rsidRPr="00C12363" w:rsidRDefault="00D07EC0" w:rsidP="00D07EC0">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537D4ECD" w14:textId="77777777" w:rsidR="00D07EC0" w:rsidRPr="00C12363" w:rsidRDefault="00D07EC0" w:rsidP="00D07EC0">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0944E864" w14:textId="77777777" w:rsidR="00D07EC0" w:rsidRPr="00C12363" w:rsidRDefault="00D07EC0" w:rsidP="00D07EC0">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3393F69B"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4E686D94"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740955E"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23AEFF62"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0B8809FA"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CF37836" w14:textId="77777777" w:rsidR="00D07EC0" w:rsidRPr="00C12363" w:rsidRDefault="00D07EC0" w:rsidP="00D07EC0">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2"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2"/>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235798E5" w14:textId="77777777" w:rsidR="00D07EC0" w:rsidRPr="00C12363" w:rsidRDefault="00D07EC0" w:rsidP="00D07EC0">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w:t>
      </w:r>
      <w:r w:rsidRPr="00C12363">
        <w:rPr>
          <w:rFonts w:ascii="Times New Roman" w:eastAsia="Times New Roman" w:hAnsi="Times New Roman"/>
          <w:sz w:val="24"/>
          <w:szCs w:val="24"/>
        </w:rPr>
        <w:lastRenderedPageBreak/>
        <w:t>зупинити поставку Товару до моменту настання однієї із обставин:</w:t>
      </w:r>
    </w:p>
    <w:p w14:paraId="7291449B" w14:textId="77777777" w:rsidR="00D07EC0" w:rsidRPr="00C12363" w:rsidRDefault="00D07EC0" w:rsidP="00D07EC0">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4A01F016" w14:textId="77777777" w:rsidR="00D07EC0" w:rsidRPr="00C12363" w:rsidRDefault="00D07EC0" w:rsidP="00D07EC0">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4764468C" w14:textId="77777777" w:rsidR="00D07EC0" w:rsidRPr="00C12363" w:rsidRDefault="00D07EC0" w:rsidP="00D07EC0">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6CF3386E" w14:textId="77777777" w:rsidR="00D07EC0" w:rsidRPr="00C12363" w:rsidRDefault="00D07EC0" w:rsidP="00D07EC0">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9C8D06B" w14:textId="77777777" w:rsidR="00D07EC0" w:rsidRPr="00C12363" w:rsidRDefault="00D07EC0" w:rsidP="00D07EC0">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37F06779" w14:textId="77777777" w:rsidR="00D07EC0" w:rsidRPr="00C12363" w:rsidRDefault="00D07EC0" w:rsidP="00D07EC0">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1CBE5531" w14:textId="77777777" w:rsidR="00D07EC0" w:rsidRPr="00C12363" w:rsidRDefault="00D07EC0" w:rsidP="00D07EC0">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4CD6F02C" w14:textId="77777777" w:rsidR="00D07EC0" w:rsidRPr="00C12363" w:rsidRDefault="00D07EC0" w:rsidP="00D07EC0">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6CC8AABD" w14:textId="77777777" w:rsidR="00D07EC0" w:rsidRPr="00C12363" w:rsidRDefault="00D07EC0" w:rsidP="00D07EC0">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694AFDEF" w14:textId="77777777" w:rsidR="00D07EC0" w:rsidRPr="00C12363" w:rsidRDefault="00D07EC0" w:rsidP="00D07EC0">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7CFC9B9A" w14:textId="77777777" w:rsidR="00D07EC0" w:rsidRPr="00C12363" w:rsidRDefault="00D07EC0" w:rsidP="00D07EC0">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01EA64BA" w14:textId="77777777" w:rsidR="00D07EC0" w:rsidRPr="00C12363" w:rsidRDefault="00D07EC0" w:rsidP="00D07EC0">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1826D7C3" w14:textId="77777777" w:rsidR="00D07EC0" w:rsidRPr="00C12363" w:rsidRDefault="00D07EC0" w:rsidP="00D07EC0">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2530236B"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42CB869B"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14F7ADC5"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CD220A6" w14:textId="77777777" w:rsidR="00D07EC0" w:rsidRPr="00C12363" w:rsidRDefault="00D07EC0" w:rsidP="00D07EC0">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lastRenderedPageBreak/>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243B8874" w14:textId="77777777" w:rsidR="00D07EC0" w:rsidRPr="00C12363" w:rsidRDefault="00D07EC0" w:rsidP="00D07EC0">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1AEE7F44"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A95253A"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6C1ED86" w14:textId="77777777" w:rsidR="00D07EC0" w:rsidRPr="00C12363" w:rsidRDefault="00D07EC0" w:rsidP="00D07EC0">
      <w:pPr>
        <w:widowControl w:val="0"/>
        <w:tabs>
          <w:tab w:val="left" w:pos="284"/>
        </w:tabs>
        <w:spacing w:after="0" w:line="240" w:lineRule="auto"/>
        <w:ind w:firstLine="567"/>
        <w:jc w:val="both"/>
        <w:rPr>
          <w:rFonts w:ascii="Times New Roman" w:eastAsia="Times New Roman" w:hAnsi="Times New Roman"/>
          <w:sz w:val="24"/>
          <w:szCs w:val="24"/>
        </w:rPr>
      </w:pPr>
    </w:p>
    <w:p w14:paraId="68C20425"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7625F0CE" w14:textId="77777777" w:rsidR="00D07EC0" w:rsidRPr="00C12363" w:rsidRDefault="00D07EC0" w:rsidP="00D07EC0">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28940839" w14:textId="77777777" w:rsidR="00D07EC0" w:rsidRPr="00C12363" w:rsidRDefault="00D07EC0" w:rsidP="00D07EC0">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520C3013" w14:textId="77777777" w:rsidR="00D07EC0" w:rsidRPr="00C12363" w:rsidRDefault="00D07EC0" w:rsidP="00D07EC0">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389D19AD" w14:textId="77777777" w:rsidR="00D07EC0" w:rsidRPr="00C12363" w:rsidRDefault="00D07EC0" w:rsidP="00D07EC0">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7DEED457" w14:textId="77777777" w:rsidR="00D07EC0" w:rsidRPr="00C12363" w:rsidRDefault="00D07EC0" w:rsidP="00D07EC0">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4E550D48"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2FEB70C7"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7652522A"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F270739"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w:t>
      </w:r>
      <w:r w:rsidRPr="00C12363">
        <w:rPr>
          <w:rFonts w:ascii="Times New Roman" w:eastAsia="Times New Roman" w:hAnsi="Times New Roman"/>
          <w:sz w:val="24"/>
          <w:szCs w:val="24"/>
        </w:rPr>
        <w:lastRenderedPageBreak/>
        <w:t>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274CFA30" w14:textId="77777777" w:rsidR="00D07EC0" w:rsidRPr="00C12363" w:rsidRDefault="00D07EC0" w:rsidP="00D07EC0">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4F26CD2B"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1E99BA46" w14:textId="77777777" w:rsidR="00D07EC0" w:rsidRPr="00C12363" w:rsidRDefault="00D07EC0" w:rsidP="00D07EC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0A8BC622" w14:textId="77777777" w:rsidR="00D07EC0" w:rsidRPr="00C12363" w:rsidRDefault="00D07EC0" w:rsidP="00D07EC0">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2F3CAA65" w14:textId="77777777" w:rsidR="00D07EC0" w:rsidRPr="00C12363" w:rsidRDefault="00D07EC0" w:rsidP="00D07EC0">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4561A654" w14:textId="77777777" w:rsidR="00D07EC0" w:rsidRPr="00C12363" w:rsidRDefault="00D07EC0" w:rsidP="00D07EC0">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4E36C2DA"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25DDF2F9"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4EBF02C3"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10D9D78C"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102ECE22"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6EA6B1A2"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BF99867"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01586756"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3780FF65" w14:textId="77777777" w:rsidR="00D07EC0" w:rsidRPr="00C12363" w:rsidRDefault="00D07EC0" w:rsidP="00D07EC0">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AD2A586" w14:textId="77777777" w:rsidR="00D07EC0" w:rsidRPr="00C12363" w:rsidRDefault="00D07EC0" w:rsidP="00D07EC0">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E24F733" w14:textId="77777777" w:rsidR="00D07EC0" w:rsidRPr="00C12363" w:rsidRDefault="00D07EC0" w:rsidP="00D07EC0">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B2C1A32"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45F5D29F"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 xml:space="preserve">6.1.12. При виконанні своїх зобов'язань керуватися цим Договором та вимогами законодавства України. </w:t>
      </w:r>
    </w:p>
    <w:p w14:paraId="029DEB2B" w14:textId="77777777" w:rsidR="00D07EC0" w:rsidRPr="00C12363" w:rsidRDefault="00D07EC0" w:rsidP="00D07EC0">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має право: </w:t>
      </w:r>
    </w:p>
    <w:p w14:paraId="7F537615"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для укладання та виконання цього Договору. </w:t>
      </w:r>
    </w:p>
    <w:p w14:paraId="3FE5FCF1"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752576F3"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6.2.3. Вимагати від Покупця належного виконання умов цього Договору. </w:t>
      </w:r>
    </w:p>
    <w:p w14:paraId="39513A78" w14:textId="77777777" w:rsidR="00D07EC0" w:rsidRPr="00C12363" w:rsidRDefault="00D07EC0" w:rsidP="00D07EC0">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7C3CE089"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467EEAE5"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0E06283D"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1D4265DB" w14:textId="77777777" w:rsidR="00D07EC0" w:rsidRPr="00C12363" w:rsidRDefault="00D07EC0" w:rsidP="00D07EC0">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74A5728" w14:textId="77777777" w:rsidR="00D07EC0" w:rsidRPr="00C12363" w:rsidRDefault="00D07EC0" w:rsidP="00D07EC0">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19FE4FC8"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4C47729D"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6C04CB65"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0EFBE425"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706C1C0E"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7E7D4343"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268A5D0C"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25206B01"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67B5D070"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450A590A" w14:textId="77777777" w:rsidR="00D07EC0" w:rsidRPr="00C12363" w:rsidRDefault="00D07EC0" w:rsidP="00D07EC0">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3906B43E"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13D7FAC"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w:t>
      </w:r>
      <w:r w:rsidRPr="00C12363">
        <w:rPr>
          <w:rFonts w:ascii="Times New Roman" w:eastAsia="Times New Roman" w:hAnsi="Times New Roman"/>
          <w:sz w:val="24"/>
          <w:szCs w:val="24"/>
        </w:rPr>
        <w:lastRenderedPageBreak/>
        <w:t xml:space="preserve">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3F57B876"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34C4B94"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40FC35E5" w14:textId="77777777" w:rsidR="00D07EC0" w:rsidRPr="00C12363" w:rsidRDefault="00D07EC0" w:rsidP="00D07EC0">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6AC76D2" w14:textId="77777777" w:rsidR="00D07EC0" w:rsidRPr="00C12363" w:rsidRDefault="00D07EC0" w:rsidP="00D07EC0">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41572DF5" w14:textId="77777777" w:rsidR="00D07EC0" w:rsidRPr="00C12363" w:rsidRDefault="00D07EC0" w:rsidP="00D07EC0">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488AD769" w14:textId="77777777" w:rsidR="00D07EC0" w:rsidRPr="00C12363" w:rsidRDefault="00D07EC0" w:rsidP="00D07EC0">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1176B4F5" w14:textId="77777777" w:rsidR="00D07EC0" w:rsidRPr="00C12363" w:rsidRDefault="00D07EC0" w:rsidP="00D07EC0">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208DE5E" w14:textId="77777777" w:rsidR="00D07EC0" w:rsidRPr="00C12363" w:rsidRDefault="00D07EC0" w:rsidP="00D07EC0">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9477AEF" w14:textId="77777777" w:rsidR="00D07EC0" w:rsidRPr="00C12363" w:rsidRDefault="00D07EC0" w:rsidP="00D07EC0">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46442B45" w14:textId="77777777" w:rsidR="00D07EC0" w:rsidRPr="00C12363" w:rsidRDefault="00D07EC0" w:rsidP="00D07EC0">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03CC710"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76AD9836"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p w14:paraId="7CB542EE" w14:textId="77777777" w:rsidR="00D07EC0" w:rsidRPr="00C12363" w:rsidRDefault="00D07EC0" w:rsidP="00D07EC0">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50D59347" w14:textId="77777777" w:rsidR="00D07EC0" w:rsidRPr="00C12363" w:rsidRDefault="00D07EC0" w:rsidP="00D07EC0">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2C7FFD82" w14:textId="77777777" w:rsidR="00D07EC0" w:rsidRPr="00C12363" w:rsidRDefault="00D07EC0" w:rsidP="00D07EC0">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452D4196"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p w14:paraId="7439FDC4"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6FC94614"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p>
    <w:p w14:paraId="17927377" w14:textId="77777777" w:rsidR="00D07EC0" w:rsidRPr="00C12363" w:rsidRDefault="00D07EC0" w:rsidP="00D07EC0">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w:t>
      </w:r>
      <w:r w:rsidRPr="00C12363">
        <w:rPr>
          <w:rFonts w:ascii="Times New Roman" w:eastAsia="Times New Roman" w:hAnsi="Times New Roman"/>
          <w:sz w:val="24"/>
          <w:szCs w:val="24"/>
        </w:rPr>
        <w:lastRenderedPageBreak/>
        <w:t>обставин (обставин непереборної сили), які безпосередньо вплинули на можливість виконання Сторонами своїх зобов’язань по цьому Договору.</w:t>
      </w:r>
    </w:p>
    <w:p w14:paraId="68645BFE" w14:textId="77777777" w:rsidR="00D07EC0" w:rsidRPr="00C12363" w:rsidRDefault="00D07EC0" w:rsidP="00D07EC0">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D2A0F37"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0196990F" w14:textId="77777777" w:rsidR="00D07EC0" w:rsidRPr="00C12363" w:rsidRDefault="00D07EC0" w:rsidP="00D07EC0">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097A9378"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E780CDB"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1E91FD9F"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1BB86A4"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001269A" w14:textId="77777777" w:rsidR="00BC6D79" w:rsidRPr="00C12363" w:rsidRDefault="00BC6D79" w:rsidP="00BC6D79">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9F70B0">
        <w:rPr>
          <w:rFonts w:ascii="Times New Roman" w:eastAsia="Times New Roman" w:hAnsi="Times New Roman"/>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w:t>
      </w:r>
      <w:r w:rsidRPr="009F70B0">
        <w:rPr>
          <w:rFonts w:ascii="Times New Roman" w:eastAsia="Times New Roman" w:hAnsi="Times New Roman"/>
          <w:sz w:val="24"/>
          <w:szCs w:val="24"/>
        </w:rPr>
        <w:lastRenderedPageBreak/>
        <w:t xml:space="preserve">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sidRPr="009F70B0">
        <w:rPr>
          <w:rFonts w:ascii="Times New Roman" w:eastAsia="Times New Roman" w:hAnsi="Times New Roman"/>
          <w:sz w:val="24"/>
          <w:szCs w:val="24"/>
        </w:rPr>
        <w:t>спливом</w:t>
      </w:r>
      <w:proofErr w:type="spellEnd"/>
      <w:r w:rsidRPr="009F70B0">
        <w:rPr>
          <w:rFonts w:ascii="Times New Roman" w:eastAsia="Times New Roman" w:hAnsi="Times New Roman"/>
          <w:sz w:val="24"/>
          <w:szCs w:val="24"/>
        </w:rPr>
        <w:t xml:space="preserve"> 5 (п’ятого) робочого дня з дати надсилання письмового повідомлення.</w:t>
      </w:r>
      <w:r w:rsidRPr="00C12363">
        <w:rPr>
          <w:rFonts w:ascii="Times New Roman" w:eastAsia="Times New Roman" w:hAnsi="Times New Roman"/>
          <w:sz w:val="24"/>
          <w:szCs w:val="24"/>
        </w:rPr>
        <w:t xml:space="preserve"> </w:t>
      </w:r>
    </w:p>
    <w:p w14:paraId="3732A887" w14:textId="77777777" w:rsidR="00BC6D79" w:rsidRDefault="00BC6D79" w:rsidP="00BC6D79">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6EEC16B"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10. АНТИКОРУПЦІЙНІ ЗАСТЕРЕЖЕННЯ</w:t>
      </w:r>
    </w:p>
    <w:p w14:paraId="707F06D3" w14:textId="77777777" w:rsidR="00D07EC0" w:rsidRPr="00C12363" w:rsidRDefault="00D07EC0" w:rsidP="00D07EC0">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435CE81" w14:textId="77777777" w:rsidR="00D07EC0" w:rsidRPr="00C12363" w:rsidRDefault="00D07EC0" w:rsidP="00D07EC0">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F3FFC76" w14:textId="77777777" w:rsidR="00D07EC0" w:rsidRPr="00C12363" w:rsidRDefault="00D07EC0" w:rsidP="00D07EC0">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4C50D4A" w14:textId="77777777" w:rsidR="00D07EC0" w:rsidRPr="00C12363" w:rsidRDefault="00D07EC0" w:rsidP="00D07EC0">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69BA23A" w14:textId="77777777" w:rsidR="00D07EC0" w:rsidRPr="00C12363" w:rsidRDefault="00D07EC0" w:rsidP="00D07EC0">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2BAB7CD0" w14:textId="77777777" w:rsidR="00D07EC0" w:rsidRPr="00C12363" w:rsidRDefault="00D07EC0" w:rsidP="00D07EC0">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6CE0070F" w14:textId="77777777" w:rsidR="00D07EC0" w:rsidRPr="00C12363" w:rsidRDefault="00D07EC0" w:rsidP="00D07EC0">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697BBFEF" w14:textId="77777777" w:rsidR="00D07EC0" w:rsidRPr="00C12363" w:rsidRDefault="00D07EC0" w:rsidP="00D07EC0">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4B7F2CD5" w14:textId="77777777" w:rsidR="00D07EC0" w:rsidRPr="00C12363" w:rsidRDefault="00D07EC0" w:rsidP="00D07EC0">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68E7CEA1" w14:textId="77777777" w:rsidR="00D07EC0" w:rsidRPr="00C12363" w:rsidRDefault="00D07EC0" w:rsidP="00D07EC0">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1FEEDBDE" w14:textId="77777777" w:rsidR="00D07EC0" w:rsidRPr="00C12363" w:rsidRDefault="00D07EC0" w:rsidP="00D07EC0">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2975A446" w14:textId="77777777" w:rsidR="00D07EC0" w:rsidRPr="00C12363" w:rsidRDefault="00D07EC0" w:rsidP="00D07EC0">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212BD5FE" w14:textId="77777777" w:rsidR="00D07EC0" w:rsidRPr="00C12363" w:rsidRDefault="00D07EC0" w:rsidP="00D07EC0">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29BD2C78" w14:textId="77777777" w:rsidR="00D07EC0" w:rsidRPr="00C12363" w:rsidRDefault="00D07EC0" w:rsidP="00D07EC0">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595FBE1A" w14:textId="77777777" w:rsidR="00D07EC0" w:rsidRPr="00C12363" w:rsidRDefault="00D07EC0" w:rsidP="00D07EC0">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490CC25D" w14:textId="77777777" w:rsidR="00D07EC0" w:rsidRPr="00C12363" w:rsidRDefault="00D07EC0" w:rsidP="00D07EC0">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0989383D" w14:textId="77777777" w:rsidR="00D07EC0" w:rsidRPr="00C12363" w:rsidRDefault="00D07EC0" w:rsidP="00D07EC0">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w:t>
      </w:r>
      <w:r w:rsidRPr="00C12363">
        <w:rPr>
          <w:rFonts w:ascii="Times New Roman" w:eastAsia="Times New Roman" w:hAnsi="Times New Roman"/>
          <w:sz w:val="24"/>
          <w:szCs w:val="24"/>
        </w:rPr>
        <w:lastRenderedPageBreak/>
        <w:t xml:space="preserve">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703F3674" w14:textId="77777777" w:rsidR="00D07EC0" w:rsidRPr="00C12363" w:rsidRDefault="00D07EC0" w:rsidP="00D07EC0">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4418E61E"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12. ІНШІ УМОВИ</w:t>
      </w:r>
    </w:p>
    <w:p w14:paraId="0A40EEFC"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81CE41A"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0767C03F"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246DBAC"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3662475"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60918793" w14:textId="77777777" w:rsidR="00D07EC0" w:rsidRPr="00C12363" w:rsidRDefault="00D07EC0" w:rsidP="00D07EC0">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4A0B01E5"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235492D2"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7E9159F4"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2934D36A"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6A9F4107"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A8E9A3B"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w:t>
      </w:r>
      <w:r w:rsidRPr="00C12363">
        <w:rPr>
          <w:rFonts w:ascii="Times New Roman" w:eastAsia="Times New Roman" w:hAnsi="Times New Roman"/>
          <w:sz w:val="24"/>
          <w:szCs w:val="24"/>
        </w:rPr>
        <w:lastRenderedPageBreak/>
        <w:t xml:space="preserve">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w:t>
      </w:r>
      <w:r w:rsidRPr="00C12363">
        <w:t xml:space="preserve">, </w:t>
      </w:r>
      <w:r w:rsidRPr="00C12363">
        <w:rPr>
          <w:rFonts w:ascii="Times New Roman" w:eastAsia="Times New Roman" w:hAnsi="Times New Roman"/>
          <w:color w:val="333333"/>
          <w:sz w:val="24"/>
          <w:szCs w:val="24"/>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4BBFD0D4"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18BB378D"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614ECA3A"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26B10124" w14:textId="77777777" w:rsidR="00D07EC0" w:rsidRPr="00C12363" w:rsidRDefault="00D07EC0" w:rsidP="00D07EC0">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6F859565" w14:textId="77777777" w:rsidR="00D07EC0" w:rsidRPr="00C12363" w:rsidRDefault="00D07EC0" w:rsidP="00D07EC0">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72C1434B" w14:textId="77777777" w:rsidR="00D07EC0" w:rsidRPr="00C12363" w:rsidRDefault="00D07EC0" w:rsidP="00D07EC0">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D07EC0" w:rsidRPr="00C12363" w14:paraId="46084FE1" w14:textId="77777777" w:rsidTr="00FE379B">
        <w:tc>
          <w:tcPr>
            <w:tcW w:w="4962" w:type="dxa"/>
          </w:tcPr>
          <w:p w14:paraId="7B3F7AF8" w14:textId="77777777" w:rsidR="00D07EC0" w:rsidRPr="00C12363" w:rsidRDefault="00D07EC0" w:rsidP="00FE379B">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4D5D7D7F" w14:textId="77777777" w:rsidR="00D07EC0" w:rsidRPr="00C12363" w:rsidRDefault="00D07EC0" w:rsidP="00FE379B">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16A43F4A" w14:textId="77777777" w:rsidR="00D07EC0" w:rsidRPr="00C12363" w:rsidRDefault="00D07EC0" w:rsidP="00FE379B">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361CBEAB" w14:textId="77777777" w:rsidR="00D07EC0" w:rsidRPr="00C12363" w:rsidRDefault="00D07EC0" w:rsidP="00FE379B">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07CB7639" w14:textId="77777777" w:rsidR="00D07EC0" w:rsidRPr="00C12363" w:rsidRDefault="00D07EC0" w:rsidP="00FE379B">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238322DA" w14:textId="77777777" w:rsidR="00D07EC0" w:rsidRPr="00C12363" w:rsidRDefault="00D07EC0" w:rsidP="00FE379B">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78DCDD3C" w14:textId="77777777" w:rsidR="00D07EC0" w:rsidRPr="00C12363" w:rsidRDefault="00D07EC0" w:rsidP="00FE379B">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4C20310B" w14:textId="77777777" w:rsidR="00D07EC0" w:rsidRPr="00C12363" w:rsidRDefault="00D07EC0" w:rsidP="00FE379B">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0A0662B8" w14:textId="77777777" w:rsidR="00D07EC0" w:rsidRPr="00C12363" w:rsidRDefault="00D07EC0" w:rsidP="00FE379B">
            <w:pPr>
              <w:ind w:firstLine="22"/>
              <w:rPr>
                <w:rFonts w:ascii="Times New Roman" w:eastAsia="Times New Roman" w:hAnsi="Times New Roman"/>
                <w:sz w:val="24"/>
                <w:szCs w:val="24"/>
              </w:rPr>
            </w:pPr>
          </w:p>
          <w:p w14:paraId="3205D9A7" w14:textId="77777777" w:rsidR="00D07EC0" w:rsidRPr="00C12363" w:rsidRDefault="00D07EC0" w:rsidP="00FE379B">
            <w:pPr>
              <w:widowControl w:val="0"/>
              <w:ind w:firstLine="22"/>
              <w:jc w:val="both"/>
              <w:rPr>
                <w:rFonts w:ascii="Times New Roman" w:eastAsia="Times New Roman" w:hAnsi="Times New Roman"/>
                <w:sz w:val="24"/>
                <w:szCs w:val="24"/>
              </w:rPr>
            </w:pPr>
          </w:p>
          <w:p w14:paraId="257BA6F9" w14:textId="77777777" w:rsidR="00D07EC0" w:rsidRPr="00C12363" w:rsidRDefault="00D07EC0" w:rsidP="00FE379B">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13C166FE" w14:textId="77777777" w:rsidR="00D07EC0" w:rsidRPr="00C12363" w:rsidRDefault="00D07EC0" w:rsidP="00FE379B">
            <w:pPr>
              <w:widowControl w:val="0"/>
              <w:ind w:firstLine="22"/>
              <w:jc w:val="both"/>
              <w:rPr>
                <w:rFonts w:ascii="Times New Roman" w:eastAsia="Times New Roman" w:hAnsi="Times New Roman"/>
                <w:sz w:val="24"/>
                <w:szCs w:val="24"/>
              </w:rPr>
            </w:pPr>
          </w:p>
          <w:p w14:paraId="7D98CB27" w14:textId="77777777" w:rsidR="00D07EC0" w:rsidRPr="00C12363" w:rsidRDefault="00D07EC0" w:rsidP="00FE379B">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69B68FCD" w14:textId="77777777" w:rsidR="00D07EC0" w:rsidRPr="00C12363" w:rsidRDefault="00D07EC0" w:rsidP="00FE379B">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1BB79666" w14:textId="77777777" w:rsidR="00D07EC0" w:rsidRPr="00C12363" w:rsidRDefault="00D07EC0" w:rsidP="00FE379B">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6D11823F"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3BE97C2"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1D0C478"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10E0503"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1E320A1"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167807B"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AB8A6CF"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E4088D"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F28C94A"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ABEDAF8"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6E35A0D"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B02653C"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5F297B3" w14:textId="77777777" w:rsidR="00D07EC0" w:rsidRPr="00C12363" w:rsidRDefault="00D07EC0" w:rsidP="00FE379B">
            <w:pPr>
              <w:tabs>
                <w:tab w:val="left" w:pos="5387"/>
              </w:tabs>
              <w:ind w:firstLine="22"/>
              <w:rPr>
                <w:rFonts w:ascii="Times New Roman" w:eastAsia="Times New Roman" w:hAnsi="Times New Roman"/>
                <w:b/>
                <w:sz w:val="24"/>
                <w:szCs w:val="24"/>
              </w:rPr>
            </w:pPr>
          </w:p>
          <w:p w14:paraId="46B26CE4"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47ED378A" w14:textId="77777777" w:rsidR="00D07EC0" w:rsidRPr="00C12363" w:rsidRDefault="00D07EC0" w:rsidP="00D07EC0">
      <w:pPr>
        <w:tabs>
          <w:tab w:val="left" w:pos="851"/>
          <w:tab w:val="left" w:pos="6237"/>
          <w:tab w:val="left" w:pos="6946"/>
        </w:tabs>
        <w:spacing w:after="0" w:line="240" w:lineRule="auto"/>
        <w:ind w:firstLine="567"/>
        <w:rPr>
          <w:rFonts w:ascii="Times New Roman" w:eastAsia="Times New Roman" w:hAnsi="Times New Roman"/>
          <w:sz w:val="24"/>
          <w:szCs w:val="24"/>
        </w:rPr>
        <w:sectPr w:rsidR="00D07EC0"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727889F0" w14:textId="77777777" w:rsidR="00D07EC0" w:rsidRPr="00C12363" w:rsidRDefault="00D07EC0" w:rsidP="00D07EC0">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1550B01B" w14:textId="77777777" w:rsidR="00D07EC0" w:rsidRPr="00C12363" w:rsidRDefault="00D07EC0" w:rsidP="00D07EC0">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5380AF49" w14:textId="77777777" w:rsidR="00D07EC0" w:rsidRPr="00C12363" w:rsidRDefault="00D07EC0" w:rsidP="00D07EC0">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0AD15532" w14:textId="77777777" w:rsidR="00D07EC0" w:rsidRPr="00C12363" w:rsidRDefault="00D07EC0" w:rsidP="00D07EC0">
      <w:pPr>
        <w:tabs>
          <w:tab w:val="left" w:pos="851"/>
          <w:tab w:val="left" w:pos="6915"/>
        </w:tabs>
        <w:spacing w:after="0" w:line="240" w:lineRule="auto"/>
        <w:ind w:firstLine="567"/>
        <w:rPr>
          <w:rFonts w:ascii="Times New Roman" w:eastAsia="Times New Roman" w:hAnsi="Times New Roman"/>
          <w:sz w:val="24"/>
          <w:szCs w:val="24"/>
        </w:rPr>
      </w:pPr>
    </w:p>
    <w:p w14:paraId="1BBE1231" w14:textId="77777777" w:rsidR="00D07EC0" w:rsidRPr="00C12363" w:rsidRDefault="00D07EC0" w:rsidP="00D07EC0">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65CCB006" w14:textId="77777777" w:rsidR="00D07EC0" w:rsidRPr="00C12363" w:rsidRDefault="00D07EC0" w:rsidP="00D07EC0">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м. Київ                                                                                                 «____»____________2025 року</w:t>
      </w:r>
    </w:p>
    <w:p w14:paraId="7889C84B" w14:textId="77777777" w:rsidR="00D07EC0" w:rsidRPr="00C12363" w:rsidRDefault="00D07EC0" w:rsidP="00D07EC0">
      <w:pPr>
        <w:tabs>
          <w:tab w:val="left" w:pos="6915"/>
        </w:tabs>
        <w:spacing w:after="0" w:line="240" w:lineRule="auto"/>
        <w:ind w:firstLine="567"/>
        <w:jc w:val="both"/>
        <w:rPr>
          <w:rFonts w:ascii="Times New Roman" w:eastAsia="Times New Roman" w:hAnsi="Times New Roman"/>
          <w:sz w:val="24"/>
          <w:szCs w:val="24"/>
        </w:rPr>
      </w:pPr>
    </w:p>
    <w:p w14:paraId="58D5D796" w14:textId="27EFEB5E"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______ від «____»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00ED2874" w:rsidRPr="00ED2874">
        <w:rPr>
          <w:rFonts w:ascii="Times New Roman" w:eastAsia="Times New Roman" w:hAnsi="Times New Roman"/>
          <w:b/>
          <w:bCs/>
          <w:sz w:val="24"/>
          <w:szCs w:val="24"/>
        </w:rPr>
        <w:t>ДК 021:2015:33690000-3 Лікарські засоби різні (</w:t>
      </w:r>
      <w:proofErr w:type="spellStart"/>
      <w:r w:rsidR="00ED2874" w:rsidRPr="00ED2874">
        <w:rPr>
          <w:rFonts w:ascii="Times New Roman" w:eastAsia="Times New Roman" w:hAnsi="Times New Roman"/>
          <w:b/>
          <w:bCs/>
          <w:sz w:val="24"/>
          <w:szCs w:val="24"/>
        </w:rPr>
        <w:t>Кліндаміцин</w:t>
      </w:r>
      <w:proofErr w:type="spellEnd"/>
      <w:r w:rsidR="00ED2874" w:rsidRPr="00ED2874">
        <w:rPr>
          <w:rFonts w:ascii="Times New Roman" w:eastAsia="Times New Roman" w:hAnsi="Times New Roman"/>
          <w:b/>
          <w:bCs/>
          <w:sz w:val="24"/>
          <w:szCs w:val="24"/>
        </w:rPr>
        <w:t xml:space="preserve">, розчин для ін'єкцій, 150 мг/мл по 4 мл у ампулах, МНН: </w:t>
      </w:r>
      <w:proofErr w:type="spellStart"/>
      <w:r w:rsidR="00ED2874" w:rsidRPr="00ED2874">
        <w:rPr>
          <w:rFonts w:ascii="Times New Roman" w:eastAsia="Times New Roman" w:hAnsi="Times New Roman"/>
          <w:b/>
          <w:bCs/>
          <w:sz w:val="24"/>
          <w:szCs w:val="24"/>
        </w:rPr>
        <w:t>Clindamycin</w:t>
      </w:r>
      <w:proofErr w:type="spellEnd"/>
      <w:r w:rsidR="00ED2874" w:rsidRPr="00ED2874">
        <w:rPr>
          <w:rFonts w:ascii="Times New Roman" w:eastAsia="Times New Roman" w:hAnsi="Times New Roman"/>
          <w:b/>
          <w:bCs/>
          <w:sz w:val="24"/>
          <w:szCs w:val="24"/>
        </w:rPr>
        <w:t>)</w:t>
      </w:r>
      <w:r w:rsidRPr="00C12363">
        <w:rPr>
          <w:rFonts w:ascii="Times New Roman" w:eastAsia="Times New Roman" w:hAnsi="Times New Roman"/>
          <w:sz w:val="24"/>
          <w:szCs w:val="24"/>
        </w:rPr>
        <w:t>, а саме:</w:t>
      </w:r>
    </w:p>
    <w:p w14:paraId="1EBC7687"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D07EC0" w:rsidRPr="00C12363" w14:paraId="04D78526" w14:textId="77777777" w:rsidTr="00FE379B">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3F1BD523"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29CC6D1E"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2282E3BA"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2672985" w14:textId="77777777" w:rsidR="00D07EC0" w:rsidRPr="00C12363" w:rsidRDefault="00D07EC0" w:rsidP="00FE379B">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AB089B8" w14:textId="77777777" w:rsidR="00D07EC0" w:rsidRPr="00C12363" w:rsidRDefault="00D07EC0" w:rsidP="00FE379B">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01A00661" w14:textId="77777777" w:rsidR="00D07EC0" w:rsidRPr="00C12363" w:rsidRDefault="00D07EC0" w:rsidP="00FE379B">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732162FE"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62DFAD79"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3A0EE26F"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11903E"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D07EC0" w:rsidRPr="00C12363" w14:paraId="11EF24F6" w14:textId="77777777" w:rsidTr="00FE379B">
        <w:trPr>
          <w:trHeight w:val="339"/>
        </w:trPr>
        <w:tc>
          <w:tcPr>
            <w:tcW w:w="457" w:type="dxa"/>
            <w:tcBorders>
              <w:top w:val="single" w:sz="4" w:space="0" w:color="auto"/>
              <w:left w:val="single" w:sz="4" w:space="0" w:color="auto"/>
              <w:bottom w:val="single" w:sz="4" w:space="0" w:color="auto"/>
              <w:right w:val="single" w:sz="4" w:space="0" w:color="auto"/>
            </w:tcBorders>
            <w:noWrap/>
          </w:tcPr>
          <w:p w14:paraId="5B1BC87D" w14:textId="77777777" w:rsidR="00D07EC0" w:rsidRPr="00C12363" w:rsidRDefault="00D07EC0" w:rsidP="00FE379B">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tcPr>
          <w:p w14:paraId="53E73A67" w14:textId="0EBB968B" w:rsidR="00D07EC0" w:rsidRPr="00C12363" w:rsidRDefault="00D07EC0" w:rsidP="00FE379B">
            <w:pPr>
              <w:spacing w:after="0" w:line="240" w:lineRule="auto"/>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noWrap/>
          </w:tcPr>
          <w:p w14:paraId="68B856D6" w14:textId="77777777" w:rsidR="00D07EC0" w:rsidRPr="00C12363" w:rsidRDefault="00D07EC0" w:rsidP="00FE379B">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2E82C48" w14:textId="77777777" w:rsidR="00D07EC0" w:rsidRPr="00C12363" w:rsidRDefault="00D07EC0" w:rsidP="00FE379B">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tcPr>
          <w:p w14:paraId="1FF78626" w14:textId="42CEB326" w:rsidR="00D07EC0" w:rsidRPr="00C12363" w:rsidRDefault="00D07EC0" w:rsidP="00FE379B">
            <w:pPr>
              <w:spacing w:after="0" w:line="240" w:lineRule="auto"/>
              <w:jc w:val="center"/>
              <w:rPr>
                <w:rFonts w:ascii="Times New Roman" w:hAnsi="Times New Roman"/>
                <w:bCs/>
                <w:sz w:val="24"/>
                <w:szCs w:val="24"/>
              </w:rPr>
            </w:pPr>
          </w:p>
        </w:tc>
        <w:tc>
          <w:tcPr>
            <w:tcW w:w="710" w:type="dxa"/>
            <w:tcBorders>
              <w:top w:val="single" w:sz="4" w:space="0" w:color="auto"/>
              <w:left w:val="single" w:sz="4" w:space="0" w:color="auto"/>
              <w:bottom w:val="single" w:sz="4" w:space="0" w:color="auto"/>
              <w:right w:val="single" w:sz="4" w:space="0" w:color="auto"/>
            </w:tcBorders>
            <w:noWrap/>
          </w:tcPr>
          <w:p w14:paraId="75E217ED" w14:textId="7AC3C0F7" w:rsidR="00D07EC0" w:rsidRPr="00C12363" w:rsidRDefault="00D07EC0" w:rsidP="00FE379B">
            <w:pPr>
              <w:spacing w:after="0" w:line="240" w:lineRule="auto"/>
              <w:ind w:left="-107" w:right="-110" w:firstLine="107"/>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7DBCD1CF" w14:textId="77777777" w:rsidR="00D07EC0" w:rsidRPr="00C12363" w:rsidRDefault="00D07EC0" w:rsidP="00FE379B">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4FC9F5FF" w14:textId="77777777" w:rsidR="00D07EC0" w:rsidRPr="00C12363" w:rsidRDefault="00D07EC0" w:rsidP="00FE379B">
            <w:pPr>
              <w:spacing w:after="0" w:line="240" w:lineRule="auto"/>
              <w:jc w:val="center"/>
              <w:rPr>
                <w:rFonts w:ascii="Times New Roman" w:hAnsi="Times New Roman"/>
                <w:bCs/>
                <w:sz w:val="24"/>
                <w:szCs w:val="24"/>
              </w:rPr>
            </w:pPr>
          </w:p>
        </w:tc>
      </w:tr>
      <w:tr w:rsidR="00D07EC0" w:rsidRPr="00C12363" w14:paraId="6E8F57B3" w14:textId="77777777" w:rsidTr="00FE379B">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1E69A55F" w14:textId="77777777" w:rsidR="00D07EC0" w:rsidRPr="00C12363" w:rsidRDefault="00D07EC0" w:rsidP="00FE379B">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55F9E33C" w14:textId="77777777" w:rsidR="00D07EC0" w:rsidRPr="00C12363" w:rsidRDefault="00D07EC0" w:rsidP="00FE379B">
            <w:pPr>
              <w:rPr>
                <w:rFonts w:ascii="Times New Roman" w:eastAsia="Times New Roman" w:hAnsi="Times New Roman"/>
                <w:sz w:val="24"/>
                <w:szCs w:val="24"/>
              </w:rPr>
            </w:pPr>
          </w:p>
        </w:tc>
      </w:tr>
    </w:tbl>
    <w:p w14:paraId="0C24653E" w14:textId="77777777" w:rsidR="00D07EC0" w:rsidRPr="00C12363" w:rsidRDefault="00D07EC0" w:rsidP="00D07EC0">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6B4CAEB2" w14:textId="77777777" w:rsidR="00D07EC0" w:rsidRPr="00C12363" w:rsidRDefault="00D07EC0" w:rsidP="00D07EC0">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D07EC0" w14:paraId="369818E1" w14:textId="77777777" w:rsidTr="00FE379B">
        <w:tc>
          <w:tcPr>
            <w:tcW w:w="4962" w:type="dxa"/>
          </w:tcPr>
          <w:p w14:paraId="77D6E530" w14:textId="77777777" w:rsidR="00D07EC0" w:rsidRPr="00C12363" w:rsidRDefault="00D07EC0" w:rsidP="00FE379B">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0A234C77" w14:textId="77777777" w:rsidR="00D07EC0" w:rsidRPr="00C12363" w:rsidRDefault="00D07EC0" w:rsidP="00FE379B">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0739259C" w14:textId="77777777" w:rsidR="00D07EC0" w:rsidRPr="00C12363" w:rsidRDefault="00D07EC0" w:rsidP="00FE379B">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366483E0" w14:textId="77777777" w:rsidR="00D07EC0" w:rsidRPr="00C12363" w:rsidRDefault="00D07EC0" w:rsidP="00FE379B">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4923F6AD" w14:textId="77777777" w:rsidR="00D07EC0" w:rsidRPr="00C12363" w:rsidRDefault="00D07EC0" w:rsidP="00FE379B">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03BB1D93" w14:textId="77777777" w:rsidR="00D07EC0" w:rsidRPr="00C12363" w:rsidRDefault="00D07EC0" w:rsidP="00FE379B">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3C6A31E5" w14:textId="77777777" w:rsidR="00D07EC0" w:rsidRPr="00C12363" w:rsidRDefault="00D07EC0" w:rsidP="00FE379B">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5108FF73" w14:textId="77777777" w:rsidR="00D07EC0" w:rsidRPr="00C12363" w:rsidRDefault="00D07EC0" w:rsidP="00FE379B">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613CAFC6" w14:textId="77777777" w:rsidR="00D07EC0" w:rsidRPr="00C12363" w:rsidRDefault="00D07EC0" w:rsidP="00FE379B">
            <w:pPr>
              <w:rPr>
                <w:rFonts w:ascii="Times New Roman" w:eastAsia="Times New Roman" w:hAnsi="Times New Roman"/>
                <w:sz w:val="24"/>
                <w:szCs w:val="24"/>
              </w:rPr>
            </w:pPr>
          </w:p>
          <w:p w14:paraId="70302654" w14:textId="77777777" w:rsidR="00D07EC0" w:rsidRPr="00C12363" w:rsidRDefault="00D07EC0" w:rsidP="00FE379B">
            <w:pPr>
              <w:widowControl w:val="0"/>
              <w:jc w:val="both"/>
              <w:rPr>
                <w:rFonts w:ascii="Times New Roman" w:eastAsia="Times New Roman" w:hAnsi="Times New Roman"/>
                <w:sz w:val="24"/>
                <w:szCs w:val="24"/>
              </w:rPr>
            </w:pPr>
          </w:p>
          <w:p w14:paraId="023B57D6" w14:textId="77777777" w:rsidR="00D07EC0" w:rsidRPr="00C12363" w:rsidRDefault="00D07EC0" w:rsidP="00FE379B">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39A54ED6" w14:textId="77777777" w:rsidR="00D07EC0" w:rsidRPr="00C12363" w:rsidRDefault="00D07EC0" w:rsidP="00FE379B">
            <w:pPr>
              <w:widowControl w:val="0"/>
              <w:jc w:val="both"/>
              <w:rPr>
                <w:rFonts w:ascii="Times New Roman" w:eastAsia="Times New Roman" w:hAnsi="Times New Roman"/>
                <w:sz w:val="24"/>
                <w:szCs w:val="24"/>
              </w:rPr>
            </w:pPr>
          </w:p>
          <w:p w14:paraId="15CE3406" w14:textId="77777777" w:rsidR="00D07EC0" w:rsidRPr="00C12363" w:rsidRDefault="00D07EC0" w:rsidP="00FE379B">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22AE9137" w14:textId="77777777" w:rsidR="00D07EC0" w:rsidRPr="00C12363" w:rsidRDefault="00D07EC0" w:rsidP="00FE379B">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1E05A5F4" w14:textId="77777777" w:rsidR="00D07EC0" w:rsidRPr="00C12363" w:rsidRDefault="00D07EC0" w:rsidP="00FE379B">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59BC333E"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406B4CE"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053102A"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D9FE01D"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65B5F6"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E02A144"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5F19421"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FCC9B71"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7415A4"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B6F1B62"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07A3A2C"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C166CF9"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35F4EC5" w14:textId="77777777" w:rsidR="00D07EC0" w:rsidRPr="00C12363" w:rsidRDefault="00D07EC0" w:rsidP="00FE379B">
            <w:pPr>
              <w:tabs>
                <w:tab w:val="left" w:pos="5387"/>
              </w:tabs>
              <w:rPr>
                <w:rFonts w:ascii="Times New Roman" w:eastAsia="Times New Roman" w:hAnsi="Times New Roman"/>
                <w:b/>
                <w:sz w:val="24"/>
                <w:szCs w:val="24"/>
              </w:rPr>
            </w:pPr>
          </w:p>
          <w:p w14:paraId="3A5DABE4" w14:textId="77777777" w:rsidR="00D07EC0"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lastRenderedPageBreak/>
              <w:t>______________________________</w:t>
            </w:r>
          </w:p>
        </w:tc>
      </w:tr>
    </w:tbl>
    <w:p w14:paraId="03FF3B6B" w14:textId="77777777" w:rsidR="00D07EC0" w:rsidRDefault="00D07EC0" w:rsidP="00D07EC0">
      <w:pPr>
        <w:tabs>
          <w:tab w:val="left" w:pos="851"/>
        </w:tabs>
        <w:spacing w:after="0" w:line="240" w:lineRule="auto"/>
        <w:ind w:firstLine="567"/>
        <w:jc w:val="both"/>
        <w:rPr>
          <w:sz w:val="24"/>
          <w:szCs w:val="24"/>
        </w:rPr>
      </w:pPr>
    </w:p>
    <w:p w14:paraId="0ABC743B" w14:textId="77777777" w:rsidR="00D07EC0" w:rsidRDefault="00D07EC0" w:rsidP="00F26433">
      <w:pPr>
        <w:spacing w:after="0" w:line="240" w:lineRule="auto"/>
        <w:ind w:left="5660" w:firstLine="700"/>
        <w:rPr>
          <w:rFonts w:ascii="Times New Roman" w:eastAsia="Times New Roman" w:hAnsi="Times New Roman" w:cs="Times New Roman"/>
          <w:b/>
          <w:color w:val="000000"/>
          <w:sz w:val="24"/>
          <w:szCs w:val="24"/>
        </w:rPr>
      </w:pPr>
    </w:p>
    <w:p w14:paraId="2ED6D6F1" w14:textId="471BA602"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13EB377D"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F96153" w:rsidRPr="00F96153">
        <w:rPr>
          <w:rFonts w:ascii="Times New Roman" w:hAnsi="Times New Roman" w:cs="Times New Roman"/>
          <w:b/>
          <w:bCs/>
        </w:rPr>
        <w:t>ДК 021:2015:33690000-3 Лікарські засоби різні (</w:t>
      </w:r>
      <w:proofErr w:type="spellStart"/>
      <w:r w:rsidR="00F96153" w:rsidRPr="00F96153">
        <w:rPr>
          <w:rFonts w:ascii="Times New Roman" w:hAnsi="Times New Roman" w:cs="Times New Roman"/>
          <w:b/>
          <w:bCs/>
        </w:rPr>
        <w:t>Кліндаміцин</w:t>
      </w:r>
      <w:proofErr w:type="spellEnd"/>
      <w:r w:rsidR="00F96153" w:rsidRPr="00F96153">
        <w:rPr>
          <w:rFonts w:ascii="Times New Roman" w:hAnsi="Times New Roman" w:cs="Times New Roman"/>
          <w:b/>
          <w:bCs/>
        </w:rPr>
        <w:t xml:space="preserve">, розчин для ін'єкцій, 150 мг/мл по 4 мл у ампулах, МНН: </w:t>
      </w:r>
      <w:proofErr w:type="spellStart"/>
      <w:r w:rsidR="00F96153" w:rsidRPr="00F96153">
        <w:rPr>
          <w:rFonts w:ascii="Times New Roman" w:hAnsi="Times New Roman" w:cs="Times New Roman"/>
          <w:b/>
          <w:bCs/>
        </w:rPr>
        <w:t>Clindamycin</w:t>
      </w:r>
      <w:proofErr w:type="spellEnd"/>
      <w:r w:rsidR="0026218A" w:rsidRPr="00B5709C">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7"/>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0"/>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w:t>
            </w:r>
            <w:r w:rsidRPr="006F592A">
              <w:rPr>
                <w:color w:val="000000"/>
                <w:sz w:val="24"/>
                <w:szCs w:val="24"/>
              </w:rPr>
              <w:lastRenderedPageBreak/>
              <w:t xml:space="preserve">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3" w:name="_Hlk137800270"/>
      <w:bookmarkStart w:id="14" w:name="_Hlk137221924"/>
    </w:p>
    <w:bookmarkEnd w:id="13"/>
    <w:bookmarkEnd w:id="14"/>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86F9" w14:textId="77777777" w:rsidR="00AE7761" w:rsidRDefault="00AE7761" w:rsidP="00A5280A">
      <w:pPr>
        <w:spacing w:after="0" w:line="240" w:lineRule="auto"/>
      </w:pPr>
      <w:r>
        <w:separator/>
      </w:r>
    </w:p>
  </w:endnote>
  <w:endnote w:type="continuationSeparator" w:id="0">
    <w:p w14:paraId="3B4EB58F" w14:textId="77777777" w:rsidR="00AE7761" w:rsidRDefault="00AE776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BC6D79" w:rsidRDefault="00BC6D79">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BC6D79" w:rsidRDefault="00BC6D79">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3CE1" w14:textId="77777777" w:rsidR="00BC6D79" w:rsidRDefault="00BC6D79">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152C" w14:textId="77777777" w:rsidR="00BC6D79" w:rsidRDefault="00BC6D79">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21AEBCA" w14:textId="77777777" w:rsidR="00BC6D79" w:rsidRDefault="00BC6D79">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3417" w14:textId="77777777" w:rsidR="00AE7761" w:rsidRDefault="00AE7761" w:rsidP="00A5280A">
      <w:pPr>
        <w:spacing w:after="0" w:line="240" w:lineRule="auto"/>
      </w:pPr>
      <w:r>
        <w:separator/>
      </w:r>
    </w:p>
  </w:footnote>
  <w:footnote w:type="continuationSeparator" w:id="0">
    <w:p w14:paraId="32C78AD9" w14:textId="77777777" w:rsidR="00AE7761" w:rsidRDefault="00AE7761"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BC6D79" w:rsidRPr="00642680" w:rsidRDefault="00BC6D79"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BC6D79" w:rsidRPr="00767A25" w:rsidRDefault="00BC6D79"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5460"/>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B5E"/>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1117"/>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293"/>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2A17"/>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E8B"/>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C09"/>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3639"/>
    <w:rsid w:val="006D3F83"/>
    <w:rsid w:val="006E165A"/>
    <w:rsid w:val="006E2889"/>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5C57"/>
    <w:rsid w:val="007A6455"/>
    <w:rsid w:val="007A6D75"/>
    <w:rsid w:val="007A7B5C"/>
    <w:rsid w:val="007B0FE0"/>
    <w:rsid w:val="007B3BB6"/>
    <w:rsid w:val="007B49C4"/>
    <w:rsid w:val="007B4CFC"/>
    <w:rsid w:val="007B50B9"/>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20B3"/>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085"/>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E7761"/>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E69"/>
    <w:rsid w:val="00C73D69"/>
    <w:rsid w:val="00C82648"/>
    <w:rsid w:val="00C82B1D"/>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3807"/>
    <w:rsid w:val="00E944CB"/>
    <w:rsid w:val="00E96CBB"/>
    <w:rsid w:val="00E96F71"/>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335"/>
    <w:rsid w:val="00EE7F22"/>
    <w:rsid w:val="00EF0267"/>
    <w:rsid w:val="00EF0518"/>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5312"/>
    <w:rsid w:val="00F1763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EB2"/>
    <w:rsid w:val="00F91E4C"/>
    <w:rsid w:val="00F92D01"/>
    <w:rsid w:val="00F944D2"/>
    <w:rsid w:val="00F94D36"/>
    <w:rsid w:val="00F95AE3"/>
    <w:rsid w:val="00F96153"/>
    <w:rsid w:val="00FA0696"/>
    <w:rsid w:val="00FA17AC"/>
    <w:rsid w:val="00FA2720"/>
    <w:rsid w:val="00FA4415"/>
    <w:rsid w:val="00FA4547"/>
    <w:rsid w:val="00FA50F0"/>
    <w:rsid w:val="00FA6780"/>
    <w:rsid w:val="00FB1237"/>
    <w:rsid w:val="00FB24C1"/>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F20"/>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117"/>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1045-B71D-4248-884F-3A00B290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41</Pages>
  <Words>66347</Words>
  <Characters>37819</Characters>
  <Application>Microsoft Office Word</Application>
  <DocSecurity>0</DocSecurity>
  <Lines>315</Lines>
  <Paragraphs>207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282</cp:revision>
  <cp:lastPrinted>2025-03-19T07:49:00Z</cp:lastPrinted>
  <dcterms:created xsi:type="dcterms:W3CDTF">2024-08-14T08:32:00Z</dcterms:created>
  <dcterms:modified xsi:type="dcterms:W3CDTF">2025-04-15T15:38:00Z</dcterms:modified>
</cp:coreProperties>
</file>