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44CF2C5D" w:rsidR="002B72AC" w:rsidRDefault="007D7DD7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7D7DD7">
        <w:rPr>
          <w:rFonts w:ascii="Times New Roman" w:hAnsi="Times New Roman"/>
          <w:b/>
          <w:bCs/>
          <w:sz w:val="24"/>
          <w:szCs w:val="24"/>
        </w:rPr>
        <w:t xml:space="preserve">ДК 021:2015:33690000-3 - Лікарські засоби різні (Набір, сумісний з приладом </w:t>
      </w:r>
      <w:proofErr w:type="spellStart"/>
      <w:r w:rsidRPr="007D7DD7">
        <w:rPr>
          <w:rFonts w:ascii="Times New Roman" w:hAnsi="Times New Roman"/>
          <w:b/>
          <w:bCs/>
          <w:sz w:val="24"/>
          <w:szCs w:val="24"/>
        </w:rPr>
        <w:t>Abbott</w:t>
      </w:r>
      <w:proofErr w:type="spellEnd"/>
      <w:r w:rsidRPr="007D7DD7">
        <w:rPr>
          <w:rFonts w:ascii="Times New Roman" w:hAnsi="Times New Roman"/>
          <w:b/>
          <w:bCs/>
          <w:sz w:val="24"/>
          <w:szCs w:val="24"/>
        </w:rPr>
        <w:t xml:space="preserve"> m2000sp та </w:t>
      </w:r>
      <w:proofErr w:type="spellStart"/>
      <w:r w:rsidRPr="007D7DD7">
        <w:rPr>
          <w:rFonts w:ascii="Times New Roman" w:hAnsi="Times New Roman"/>
          <w:b/>
          <w:bCs/>
          <w:sz w:val="24"/>
          <w:szCs w:val="24"/>
        </w:rPr>
        <w:t>ампліфікатором</w:t>
      </w:r>
      <w:proofErr w:type="spellEnd"/>
      <w:r w:rsidRPr="007D7D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7DD7">
        <w:rPr>
          <w:rFonts w:ascii="Times New Roman" w:hAnsi="Times New Roman"/>
          <w:b/>
          <w:bCs/>
          <w:sz w:val="24"/>
          <w:szCs w:val="24"/>
        </w:rPr>
        <w:t>Abbott</w:t>
      </w:r>
      <w:proofErr w:type="spellEnd"/>
      <w:r w:rsidRPr="007D7D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7DD7">
        <w:rPr>
          <w:rFonts w:ascii="Times New Roman" w:hAnsi="Times New Roman"/>
          <w:b/>
          <w:bCs/>
          <w:sz w:val="24"/>
          <w:szCs w:val="24"/>
        </w:rPr>
        <w:t>Real-time</w:t>
      </w:r>
      <w:proofErr w:type="spellEnd"/>
      <w:r w:rsidRPr="007D7DD7">
        <w:rPr>
          <w:rFonts w:ascii="Times New Roman" w:hAnsi="Times New Roman"/>
          <w:b/>
          <w:bCs/>
          <w:sz w:val="24"/>
          <w:szCs w:val="24"/>
        </w:rPr>
        <w:t xml:space="preserve"> m2000rt)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49CCABAB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D7DD7" w:rsidRPr="007D7DD7">
        <w:rPr>
          <w:rFonts w:ascii="Times New Roman" w:hAnsi="Times New Roman"/>
          <w:bCs/>
          <w:sz w:val="24"/>
          <w:szCs w:val="24"/>
        </w:rPr>
        <w:t xml:space="preserve">ДК 021:2015:33690000-3 - Лікарські засоби різні (Набір, сумісний з приладом </w:t>
      </w:r>
      <w:proofErr w:type="spellStart"/>
      <w:r w:rsidR="007D7DD7" w:rsidRPr="007D7DD7">
        <w:rPr>
          <w:rFonts w:ascii="Times New Roman" w:hAnsi="Times New Roman"/>
          <w:bCs/>
          <w:sz w:val="24"/>
          <w:szCs w:val="24"/>
        </w:rPr>
        <w:t>Abbott</w:t>
      </w:r>
      <w:proofErr w:type="spellEnd"/>
      <w:r w:rsidR="007D7DD7" w:rsidRPr="007D7DD7">
        <w:rPr>
          <w:rFonts w:ascii="Times New Roman" w:hAnsi="Times New Roman"/>
          <w:bCs/>
          <w:sz w:val="24"/>
          <w:szCs w:val="24"/>
        </w:rPr>
        <w:t xml:space="preserve"> m2000sp та </w:t>
      </w:r>
      <w:proofErr w:type="spellStart"/>
      <w:r w:rsidR="007D7DD7" w:rsidRPr="007D7DD7">
        <w:rPr>
          <w:rFonts w:ascii="Times New Roman" w:hAnsi="Times New Roman"/>
          <w:bCs/>
          <w:sz w:val="24"/>
          <w:szCs w:val="24"/>
        </w:rPr>
        <w:t>ампліфікатором</w:t>
      </w:r>
      <w:proofErr w:type="spellEnd"/>
      <w:r w:rsidR="007D7DD7" w:rsidRPr="007D7D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7DD7" w:rsidRPr="007D7DD7">
        <w:rPr>
          <w:rFonts w:ascii="Times New Roman" w:hAnsi="Times New Roman"/>
          <w:bCs/>
          <w:sz w:val="24"/>
          <w:szCs w:val="24"/>
        </w:rPr>
        <w:t>Abbott</w:t>
      </w:r>
      <w:proofErr w:type="spellEnd"/>
      <w:r w:rsidR="007D7DD7" w:rsidRPr="007D7D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7DD7" w:rsidRPr="007D7DD7">
        <w:rPr>
          <w:rFonts w:ascii="Times New Roman" w:hAnsi="Times New Roman"/>
          <w:bCs/>
          <w:sz w:val="24"/>
          <w:szCs w:val="24"/>
        </w:rPr>
        <w:t>Real-time</w:t>
      </w:r>
      <w:proofErr w:type="spellEnd"/>
      <w:r w:rsidR="007D7DD7" w:rsidRPr="007D7DD7">
        <w:rPr>
          <w:rFonts w:ascii="Times New Roman" w:hAnsi="Times New Roman"/>
          <w:bCs/>
          <w:sz w:val="24"/>
          <w:szCs w:val="24"/>
        </w:rPr>
        <w:t xml:space="preserve"> m2000rt)</w:t>
      </w:r>
      <w:r w:rsidR="007D7DD7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4D647DDF" w14:textId="2F981A01" w:rsidR="00C2475A" w:rsidRDefault="00256D0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D0E">
        <w:rPr>
          <w:rFonts w:ascii="Times New Roman" w:hAnsi="Times New Roman"/>
          <w:sz w:val="24"/>
          <w:szCs w:val="24"/>
        </w:rPr>
        <w:t>UA-2024-08-22-011207-a</w:t>
      </w:r>
    </w:p>
    <w:p w14:paraId="4190DC4C" w14:textId="77777777" w:rsidR="00781DC3" w:rsidRPr="0024553B" w:rsidRDefault="00781DC3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DEE4B58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256D0E" w:rsidRPr="00256D0E">
        <w:rPr>
          <w:rFonts w:ascii="Times New Roman" w:hAnsi="Times New Roman"/>
          <w:sz w:val="24"/>
          <w:szCs w:val="24"/>
        </w:rPr>
        <w:t>1 621 515,23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256D0E">
        <w:rPr>
          <w:rFonts w:ascii="Times New Roman" w:hAnsi="Times New Roman"/>
          <w:sz w:val="24"/>
          <w:szCs w:val="24"/>
        </w:rPr>
        <w:t>бе</w:t>
      </w:r>
      <w:r w:rsidR="007B5C52" w:rsidRPr="007B5C52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400A305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56D0E" w:rsidRPr="00256D0E">
        <w:rPr>
          <w:rFonts w:ascii="Times New Roman" w:hAnsi="Times New Roman"/>
          <w:sz w:val="24"/>
          <w:szCs w:val="24"/>
        </w:rPr>
        <w:t>1 621 515,23</w:t>
      </w:r>
      <w:r w:rsidR="00256D0E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256D0E">
        <w:rPr>
          <w:rFonts w:ascii="Times New Roman" w:hAnsi="Times New Roman"/>
          <w:sz w:val="24"/>
          <w:szCs w:val="24"/>
        </w:rPr>
        <w:t>бе</w:t>
      </w:r>
      <w:r w:rsidR="007B5C52" w:rsidRPr="007B5C52">
        <w:rPr>
          <w:rFonts w:ascii="Times New Roman" w:hAnsi="Times New Roman"/>
          <w:sz w:val="24"/>
          <w:szCs w:val="24"/>
        </w:rPr>
        <w:t>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18659816" w:rsidR="00781DC3" w:rsidRDefault="00256D0E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56D0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 кошти міжнародної технічної допомоги, виділені за проектом 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(PEPFAR)», який реалізується Замовником в рамках Угоди між Урядом України і Урядом Сполучених Штатів Америки про гуманітарне і техніко-економічне співробітництво від 07 травня 1992 року та у відповідності до 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допомоги».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2ECA9D5A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</w:t>
      </w:r>
      <w:r w:rsidR="007D7DD7">
        <w:rPr>
          <w:rFonts w:ascii="Times New Roman" w:hAnsi="Times New Roman"/>
          <w:sz w:val="24"/>
          <w:szCs w:val="24"/>
        </w:rPr>
        <w:t>5.11.</w:t>
      </w:r>
      <w:r w:rsidR="00781DC3" w:rsidRPr="00781DC3">
        <w:rPr>
          <w:rFonts w:ascii="Times New Roman" w:hAnsi="Times New Roman"/>
          <w:sz w:val="24"/>
          <w:szCs w:val="24"/>
        </w:rPr>
        <w:t>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lastRenderedPageBreak/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5C3E617" w14:textId="77777777" w:rsidR="007D7DD7" w:rsidRPr="007D7DD7" w:rsidRDefault="007D7DD7" w:rsidP="007D7D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60714144"/>
      <w:r w:rsidRPr="007D7D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075EEAAF" w14:textId="77777777" w:rsidR="007D7DD7" w:rsidRPr="007D7DD7" w:rsidRDefault="007D7DD7" w:rsidP="007D7D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7D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5F5DE562" w14:textId="77777777" w:rsidR="007D7DD7" w:rsidRPr="007D7DD7" w:rsidRDefault="007D7DD7" w:rsidP="007D7DD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1" w:name="_Hlk172798992"/>
      <w:r w:rsidRPr="007D7D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ДК 021:2015:33690000-3 - Лікарські засоби різні (Набір, сумісний з приладом </w:t>
      </w:r>
      <w:proofErr w:type="spellStart"/>
      <w:r w:rsidRPr="007D7D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Abbott</w:t>
      </w:r>
      <w:proofErr w:type="spellEnd"/>
      <w:r w:rsidRPr="007D7D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m2000sp та </w:t>
      </w:r>
      <w:proofErr w:type="spellStart"/>
      <w:r w:rsidRPr="007D7D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ампліфікатором</w:t>
      </w:r>
      <w:proofErr w:type="spellEnd"/>
      <w:r w:rsidRPr="007D7D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D7D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Abbott</w:t>
      </w:r>
      <w:proofErr w:type="spellEnd"/>
      <w:r w:rsidRPr="007D7D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D7D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Real-time</w:t>
      </w:r>
      <w:proofErr w:type="spellEnd"/>
      <w:r w:rsidRPr="007D7D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m2000rt)</w:t>
      </w:r>
    </w:p>
    <w:bookmarkEnd w:id="1"/>
    <w:p w14:paraId="3035C814" w14:textId="77777777" w:rsidR="007D7DD7" w:rsidRPr="007D7DD7" w:rsidRDefault="007D7DD7" w:rsidP="007D7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7D7DD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Обґрунтування необхідності посилання на конкретного виробника та торгову марку:</w:t>
      </w:r>
    </w:p>
    <w:p w14:paraId="1A497B30" w14:textId="77777777" w:rsidR="007D7DD7" w:rsidRPr="007D7DD7" w:rsidRDefault="007D7DD7" w:rsidP="007D7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D7DD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Оскільки </w:t>
      </w:r>
      <w:proofErr w:type="spellStart"/>
      <w:r w:rsidRPr="007D7DD7">
        <w:rPr>
          <w:rFonts w:ascii="Times New Roman" w:eastAsia="Calibri" w:hAnsi="Times New Roman" w:cs="Times New Roman"/>
          <w:sz w:val="24"/>
          <w:szCs w:val="24"/>
          <w:lang w:eastAsia="uk-UA"/>
        </w:rPr>
        <w:t>Референс</w:t>
      </w:r>
      <w:proofErr w:type="spellEnd"/>
      <w:r w:rsidRPr="007D7DD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-лабораторія з діагностики ВІЛ/СНІДу, вірусних та особливо небезпечних патогенів Центру громадського здоров’я МОЗ України оснащена приладом </w:t>
      </w:r>
      <w:proofErr w:type="spellStart"/>
      <w:r w:rsidRPr="007D7DD7">
        <w:rPr>
          <w:rFonts w:ascii="Times New Roman" w:eastAsia="Calibri" w:hAnsi="Times New Roman" w:cs="Times New Roman"/>
          <w:sz w:val="24"/>
          <w:szCs w:val="24"/>
          <w:lang w:eastAsia="uk-UA"/>
        </w:rPr>
        <w:t>Abbott</w:t>
      </w:r>
      <w:proofErr w:type="spellEnd"/>
      <w:r w:rsidRPr="007D7DD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m2000sp та </w:t>
      </w:r>
      <w:proofErr w:type="spellStart"/>
      <w:r w:rsidRPr="007D7DD7">
        <w:rPr>
          <w:rFonts w:ascii="Times New Roman" w:eastAsia="Calibri" w:hAnsi="Times New Roman" w:cs="Times New Roman"/>
          <w:sz w:val="24"/>
          <w:szCs w:val="24"/>
          <w:lang w:eastAsia="uk-UA"/>
        </w:rPr>
        <w:t>ампліфікатором</w:t>
      </w:r>
      <w:proofErr w:type="spellEnd"/>
      <w:r w:rsidRPr="007D7DD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D7DD7">
        <w:rPr>
          <w:rFonts w:ascii="Times New Roman" w:eastAsia="Calibri" w:hAnsi="Times New Roman" w:cs="Times New Roman"/>
          <w:sz w:val="24"/>
          <w:szCs w:val="24"/>
          <w:lang w:eastAsia="uk-UA"/>
        </w:rPr>
        <w:t>AbbottReal-time</w:t>
      </w:r>
      <w:proofErr w:type="spellEnd"/>
      <w:r w:rsidRPr="007D7DD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m2000rt, медичні вироби та витратні матеріали, які входять до набору та які плануються до закупівлі для здійснення досліджень методом ПЛР з визначення рівня вірусного навантаження ВІЛ-1, мають бути сумісними із зазначеним обладнанням.</w:t>
      </w:r>
    </w:p>
    <w:p w14:paraId="1007A4B3" w14:textId="77777777" w:rsidR="007D7DD7" w:rsidRPr="007D7DD7" w:rsidRDefault="007D7DD7" w:rsidP="007D7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D7DD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Тому, для дотримання принципів Закону, а саме максимальної економії та ефективності, замовником було прийнято рішення  провести закупівлю </w:t>
      </w:r>
      <w:r w:rsidRPr="007D7DD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набору, сумісного з приладом </w:t>
      </w:r>
      <w:proofErr w:type="spellStart"/>
      <w:r w:rsidRPr="007D7DD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Abbott</w:t>
      </w:r>
      <w:proofErr w:type="spellEnd"/>
      <w:r w:rsidRPr="007D7DD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m2000sp та </w:t>
      </w:r>
      <w:proofErr w:type="spellStart"/>
      <w:r w:rsidRPr="007D7DD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ампліфікатором</w:t>
      </w:r>
      <w:proofErr w:type="spellEnd"/>
      <w:r w:rsidRPr="007D7DD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7D7DD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Abbott</w:t>
      </w:r>
      <w:proofErr w:type="spellEnd"/>
      <w:r w:rsidRPr="007D7DD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7D7DD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Real-time</w:t>
      </w:r>
      <w:proofErr w:type="spellEnd"/>
      <w:r w:rsidRPr="007D7DD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m2000rt, який включає в себе:</w:t>
      </w:r>
    </w:p>
    <w:p w14:paraId="10462CB7" w14:textId="77777777" w:rsidR="007D7DD7" w:rsidRPr="007D7DD7" w:rsidRDefault="007D7DD7" w:rsidP="007D7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27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06"/>
        <w:gridCol w:w="8387"/>
        <w:gridCol w:w="1706"/>
        <w:gridCol w:w="1560"/>
      </w:tblGrid>
      <w:tr w:rsidR="007D7DD7" w:rsidRPr="007D7DD7" w14:paraId="56861C97" w14:textId="77777777" w:rsidTr="007D7DD7">
        <w:trPr>
          <w:trHeight w:val="70"/>
          <w:tblHeader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E191B" w14:textId="77777777" w:rsidR="007D7DD7" w:rsidRPr="007D7DD7" w:rsidRDefault="007D7DD7" w:rsidP="007D7DD7">
            <w:pPr>
              <w:jc w:val="center"/>
              <w:rPr>
                <w:b/>
                <w:bCs/>
                <w:spacing w:val="-5"/>
                <w:sz w:val="24"/>
                <w:szCs w:val="24"/>
                <w:highlight w:val="yellow"/>
                <w:lang w:eastAsia="ru-RU"/>
              </w:rPr>
            </w:pPr>
            <w:r w:rsidRPr="007D7DD7">
              <w:rPr>
                <w:bCs/>
                <w:spacing w:val="-5"/>
                <w:sz w:val="24"/>
                <w:szCs w:val="24"/>
                <w:lang w:eastAsia="ru-RU"/>
              </w:rPr>
              <w:t>МЕДИКО-ТЕХНІЧНІ ВИМОГИ</w:t>
            </w:r>
          </w:p>
        </w:tc>
      </w:tr>
      <w:tr w:rsidR="007D7DD7" w:rsidRPr="007D7DD7" w14:paraId="1C189B67" w14:textId="77777777" w:rsidTr="007D7DD7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3A964" w14:textId="77777777" w:rsidR="007D7DD7" w:rsidRPr="007D7DD7" w:rsidRDefault="007D7DD7" w:rsidP="007D7DD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bookmarkStart w:id="2" w:name="_Hlk129627399"/>
            <w:r w:rsidRPr="007D7DD7">
              <w:rPr>
                <w:b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647AF" w14:textId="77777777" w:rsidR="007D7DD7" w:rsidRPr="007D7DD7" w:rsidRDefault="007D7DD7" w:rsidP="007D7DD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D7DD7">
              <w:rPr>
                <w:b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8BCD8" w14:textId="77777777" w:rsidR="007D7DD7" w:rsidRPr="007D7DD7" w:rsidRDefault="007D7DD7" w:rsidP="007D7DD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D7DD7">
              <w:rPr>
                <w:b/>
                <w:sz w:val="24"/>
                <w:szCs w:val="24"/>
                <w:lang w:eastAsia="de-DE"/>
              </w:rPr>
              <w:t>Опис предмета закупівлі</w:t>
            </w:r>
          </w:p>
          <w:p w14:paraId="1DF1941F" w14:textId="77777777" w:rsidR="007D7DD7" w:rsidRPr="007D7DD7" w:rsidRDefault="007D7DD7" w:rsidP="007D7DD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D7DD7">
              <w:rPr>
                <w:b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C2115" w14:textId="77777777" w:rsidR="007D7DD7" w:rsidRPr="007D7DD7" w:rsidRDefault="007D7DD7" w:rsidP="007D7DD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D7DD7">
              <w:rPr>
                <w:b/>
                <w:sz w:val="24"/>
                <w:szCs w:val="24"/>
                <w:lang w:eastAsia="de-DE"/>
              </w:rPr>
              <w:t>Одиниця</w:t>
            </w:r>
          </w:p>
          <w:p w14:paraId="4D1E08D5" w14:textId="77777777" w:rsidR="007D7DD7" w:rsidRPr="007D7DD7" w:rsidRDefault="007D7DD7" w:rsidP="007D7DD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D7DD7">
              <w:rPr>
                <w:b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A3EE" w14:textId="77777777" w:rsidR="007D7DD7" w:rsidRPr="007D7DD7" w:rsidRDefault="007D7DD7" w:rsidP="007D7DD7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  <w:p w14:paraId="4EAE9F0D" w14:textId="77777777" w:rsidR="007D7DD7" w:rsidRPr="007D7DD7" w:rsidRDefault="007D7DD7" w:rsidP="007D7DD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D7DD7">
              <w:rPr>
                <w:b/>
                <w:sz w:val="24"/>
                <w:szCs w:val="24"/>
                <w:lang w:eastAsia="de-DE"/>
              </w:rPr>
              <w:t>Кількість</w:t>
            </w:r>
          </w:p>
        </w:tc>
      </w:tr>
      <w:tr w:rsidR="007D7DD7" w:rsidRPr="007D7DD7" w14:paraId="0A04AA47" w14:textId="77777777" w:rsidTr="007D7DD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E848C" w14:textId="77777777" w:rsidR="007D7DD7" w:rsidRPr="007D7DD7" w:rsidRDefault="007D7DD7" w:rsidP="007D7DD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D7DD7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FFEFAA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mSample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Preparation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System</w:t>
            </w:r>
            <w:proofErr w:type="spellEnd"/>
            <w:r w:rsidRPr="007D7DD7">
              <w:rPr>
                <w:sz w:val="24"/>
                <w:szCs w:val="24"/>
              </w:rPr>
              <w:br/>
              <w:t xml:space="preserve">(4 х 24 </w:t>
            </w:r>
            <w:proofErr w:type="spellStart"/>
            <w:r w:rsidRPr="007D7DD7">
              <w:rPr>
                <w:sz w:val="24"/>
                <w:szCs w:val="24"/>
              </w:rPr>
              <w:t>Preps</w:t>
            </w:r>
            <w:proofErr w:type="spellEnd"/>
            <w:r w:rsidRPr="007D7DD7">
              <w:rPr>
                <w:sz w:val="24"/>
                <w:szCs w:val="24"/>
              </w:rPr>
              <w:t>)</w:t>
            </w:r>
          </w:p>
          <w:p w14:paraId="2F9A0987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Набір реагентів для підготовки зразків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мСемпл</w:t>
            </w:r>
            <w:proofErr w:type="spellEnd"/>
            <w:r w:rsidRPr="007D7DD7">
              <w:rPr>
                <w:sz w:val="24"/>
                <w:szCs w:val="24"/>
              </w:rPr>
              <w:t xml:space="preserve"> Систем (4 x 24 реакцій),</w:t>
            </w:r>
          </w:p>
          <w:p w14:paraId="436C3F6F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або еквівалент</w:t>
            </w:r>
          </w:p>
          <w:p w14:paraId="2ACA696E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B6E37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1. Реагенти повинні бути призначені для діагностики </w:t>
            </w:r>
            <w:proofErr w:type="spellStart"/>
            <w:r w:rsidRPr="007D7DD7">
              <w:rPr>
                <w:sz w:val="24"/>
                <w:szCs w:val="24"/>
              </w:rPr>
              <w:t>in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vitro</w:t>
            </w:r>
            <w:proofErr w:type="spellEnd"/>
            <w:r w:rsidRPr="007D7DD7">
              <w:rPr>
                <w:sz w:val="24"/>
                <w:szCs w:val="24"/>
              </w:rPr>
              <w:t xml:space="preserve"> для виконання особливої функції в аналізуванні, які використовують для кількісного визначення</w:t>
            </w:r>
          </w:p>
          <w:p w14:paraId="2CFFF1DF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нуклеїнової кислоти, виділеної з вірусу імунодефіциту людини 1 (ВІЛ-1), у клінічному зразку.</w:t>
            </w:r>
          </w:p>
          <w:p w14:paraId="71EED332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2. Термін придатності медичних виробів на момент поставки замовнику повинен становити не менше 75% та/або 7 місяців від загального терміну придатності.</w:t>
            </w:r>
          </w:p>
          <w:p w14:paraId="72292789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3. Аналітична чутливість наборів реагентів має бути достатньою для виявлення 40 копій РНК ВІЛ-1 в 1 мл плазми крові та 839 копій РНК ВІЛ-1 у зразку сухої краплини крові.</w:t>
            </w:r>
          </w:p>
          <w:p w14:paraId="2FDEB512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4. Лінійний діапазон наборів реагентів повинен становити від 40 до 10 000 000 копій РНК ВІЛ-1 в 1 мл плазми крові та 839 до 10 000 000 копій РНК ВІЛ-1 у зразку сухої краплини крові.</w:t>
            </w:r>
          </w:p>
          <w:p w14:paraId="0DD54896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5. Реагенти повинні бути сумісними з обладнанням для проведення </w:t>
            </w:r>
            <w:proofErr w:type="spellStart"/>
            <w:r w:rsidRPr="007D7DD7">
              <w:rPr>
                <w:sz w:val="24"/>
                <w:szCs w:val="24"/>
              </w:rPr>
              <w:t>полімеразної</w:t>
            </w:r>
            <w:proofErr w:type="spellEnd"/>
            <w:r w:rsidRPr="007D7DD7">
              <w:rPr>
                <w:sz w:val="24"/>
                <w:szCs w:val="24"/>
              </w:rPr>
              <w:t xml:space="preserve"> ланцюгової реакції у режимі «реального часу» - приладом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m2000sp та </w:t>
            </w:r>
            <w:proofErr w:type="spellStart"/>
            <w:r w:rsidRPr="007D7DD7">
              <w:rPr>
                <w:sz w:val="24"/>
                <w:szCs w:val="24"/>
              </w:rPr>
              <w:t>ампліфікатором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Real-Time</w:t>
            </w:r>
            <w:proofErr w:type="spellEnd"/>
            <w:r w:rsidRPr="007D7DD7">
              <w:rPr>
                <w:sz w:val="24"/>
                <w:szCs w:val="24"/>
              </w:rPr>
              <w:t xml:space="preserve"> m2000rt, якими устаткована </w:t>
            </w:r>
            <w:proofErr w:type="spellStart"/>
            <w:r w:rsidRPr="007D7DD7">
              <w:rPr>
                <w:sz w:val="24"/>
                <w:szCs w:val="24"/>
              </w:rPr>
              <w:t>Референс</w:t>
            </w:r>
            <w:proofErr w:type="spellEnd"/>
            <w:r w:rsidRPr="007D7DD7">
              <w:rPr>
                <w:sz w:val="24"/>
                <w:szCs w:val="24"/>
              </w:rPr>
              <w:t>-лабораторія з діагностики ВІЛ/СНІДу, вірусних та особливо небезпечних патогенів ДУ «Центр громадського здоров’я МОЗ України».</w:t>
            </w:r>
          </w:p>
          <w:p w14:paraId="4A4E5C30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lastRenderedPageBreak/>
              <w:t xml:space="preserve"> 6.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ВІЛ-1.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337208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lastRenderedPageBreak/>
              <w:t>набір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AA7985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16</w:t>
            </w:r>
          </w:p>
        </w:tc>
      </w:tr>
      <w:tr w:rsidR="007D7DD7" w:rsidRPr="007D7DD7" w14:paraId="041ABAFE" w14:textId="77777777" w:rsidTr="007D7DD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519CA" w14:textId="77777777" w:rsidR="007D7DD7" w:rsidRPr="007D7DD7" w:rsidRDefault="007D7DD7" w:rsidP="007D7DD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D7DD7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BB5CD6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  <w:lang w:val="en-US"/>
              </w:rPr>
              <w:t>Abbott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RealTime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HIV</w:t>
            </w:r>
            <w:r w:rsidRPr="007D7DD7">
              <w:rPr>
                <w:sz w:val="24"/>
                <w:szCs w:val="24"/>
              </w:rPr>
              <w:t xml:space="preserve">-1 </w:t>
            </w:r>
            <w:r w:rsidRPr="007D7DD7">
              <w:rPr>
                <w:sz w:val="24"/>
                <w:szCs w:val="24"/>
                <w:lang w:val="en-US"/>
              </w:rPr>
              <w:t>Amplification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Reagent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Kit</w:t>
            </w:r>
            <w:r w:rsidRPr="007D7DD7">
              <w:rPr>
                <w:sz w:val="24"/>
                <w:szCs w:val="24"/>
              </w:rPr>
              <w:t xml:space="preserve">                                                                              Набір реагентів для ампліфікації </w:t>
            </w:r>
            <w:r w:rsidRPr="007D7DD7">
              <w:rPr>
                <w:sz w:val="24"/>
                <w:szCs w:val="24"/>
                <w:lang w:val="en-US"/>
              </w:rPr>
              <w:t>Abbott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RealTime</w:t>
            </w:r>
            <w:r w:rsidRPr="007D7DD7">
              <w:rPr>
                <w:sz w:val="24"/>
                <w:szCs w:val="24"/>
              </w:rPr>
              <w:t xml:space="preserve"> ВІЛ-1, або еквівалент</w:t>
            </w:r>
          </w:p>
          <w:p w14:paraId="44E53A5C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CB33D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1. Реагенти повинні бути призначені для діагностики </w:t>
            </w:r>
            <w:proofErr w:type="spellStart"/>
            <w:r w:rsidRPr="007D7DD7">
              <w:rPr>
                <w:sz w:val="24"/>
                <w:szCs w:val="24"/>
              </w:rPr>
              <w:t>in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vitro</w:t>
            </w:r>
            <w:proofErr w:type="spellEnd"/>
            <w:r w:rsidRPr="007D7DD7">
              <w:rPr>
                <w:sz w:val="24"/>
                <w:szCs w:val="24"/>
              </w:rPr>
              <w:t xml:space="preserve"> для виконання особливої функції в аналізуванні, які використовують для кількісного визначення</w:t>
            </w:r>
          </w:p>
          <w:p w14:paraId="01750082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нуклеїнової кислоти, виділеної з вірусу імунодефіциту людини 1 (ВІЛ-1), у клінічному зразку.</w:t>
            </w:r>
          </w:p>
          <w:p w14:paraId="00A12A70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2. Термін придатності медичних виробів на момент поставки замовнику повинен становити не менше 75% та/або 7 місяців від загального терміну придатності.</w:t>
            </w:r>
          </w:p>
          <w:p w14:paraId="41E5A86F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3. Аналітична чутливість наборів реагентів має бути достатньою для виявлення 40 копій РНК ВІЛ-1 в 1 мл плазми крові та 839 копій РНК ВІЛ-1 у зразку сухої краплини крові.</w:t>
            </w:r>
          </w:p>
          <w:p w14:paraId="227B93EF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4. Лінійний діапазон наборів реагентів повинен становити від 40 до 10 000 000 копій РНК ВІЛ-1 в 1 мл плазми крові та 839 до 10 000 000 копій РНК ВІЛ-1 у зразку сухої краплини крові.</w:t>
            </w:r>
          </w:p>
          <w:p w14:paraId="79E70EBD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5. Реагенти повинні бути сумісними з обладнанням для проведення </w:t>
            </w:r>
            <w:proofErr w:type="spellStart"/>
            <w:r w:rsidRPr="007D7DD7">
              <w:rPr>
                <w:sz w:val="24"/>
                <w:szCs w:val="24"/>
              </w:rPr>
              <w:t>полімеразної</w:t>
            </w:r>
            <w:proofErr w:type="spellEnd"/>
            <w:r w:rsidRPr="007D7DD7">
              <w:rPr>
                <w:sz w:val="24"/>
                <w:szCs w:val="24"/>
              </w:rPr>
              <w:t xml:space="preserve"> ланцюгової реакції у режимі «реального часу» - приладом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m2000sp та </w:t>
            </w:r>
            <w:proofErr w:type="spellStart"/>
            <w:r w:rsidRPr="007D7DD7">
              <w:rPr>
                <w:sz w:val="24"/>
                <w:szCs w:val="24"/>
              </w:rPr>
              <w:t>ампліфікатором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Real-Time</w:t>
            </w:r>
            <w:proofErr w:type="spellEnd"/>
            <w:r w:rsidRPr="007D7DD7">
              <w:rPr>
                <w:sz w:val="24"/>
                <w:szCs w:val="24"/>
              </w:rPr>
              <w:t xml:space="preserve"> m2000rt, якими устаткована </w:t>
            </w:r>
            <w:proofErr w:type="spellStart"/>
            <w:r w:rsidRPr="007D7DD7">
              <w:rPr>
                <w:sz w:val="24"/>
                <w:szCs w:val="24"/>
              </w:rPr>
              <w:t>Референс</w:t>
            </w:r>
            <w:proofErr w:type="spellEnd"/>
            <w:r w:rsidRPr="007D7DD7">
              <w:rPr>
                <w:sz w:val="24"/>
                <w:szCs w:val="24"/>
              </w:rPr>
              <w:t>-лабораторія з діагностики ВІЛ/СНІДу, вірусних та особливо небезпечних патогенів ДУ «Центр громадського здоров’я МОЗ України».</w:t>
            </w:r>
          </w:p>
          <w:p w14:paraId="302D5D7A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6.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ВІЛ-1.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67CBB0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набір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FE0BE2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16</w:t>
            </w:r>
          </w:p>
        </w:tc>
      </w:tr>
      <w:tr w:rsidR="007D7DD7" w:rsidRPr="007D7DD7" w14:paraId="5F1AF68A" w14:textId="77777777" w:rsidTr="007D7DD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4463E" w14:textId="77777777" w:rsidR="007D7DD7" w:rsidRPr="007D7DD7" w:rsidRDefault="007D7DD7" w:rsidP="007D7DD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D7DD7">
              <w:rPr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877331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  <w:lang w:val="en-US"/>
              </w:rPr>
              <w:t>Abbott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RealTime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HIV</w:t>
            </w:r>
            <w:r w:rsidRPr="007D7DD7">
              <w:rPr>
                <w:sz w:val="24"/>
                <w:szCs w:val="24"/>
              </w:rPr>
              <w:t xml:space="preserve">-1 </w:t>
            </w:r>
            <w:r w:rsidRPr="007D7DD7">
              <w:rPr>
                <w:sz w:val="24"/>
                <w:szCs w:val="24"/>
                <w:lang w:val="en-US"/>
              </w:rPr>
              <w:t>Control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Kit</w:t>
            </w:r>
          </w:p>
          <w:p w14:paraId="105B0143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Набір контролів </w:t>
            </w:r>
            <w:r w:rsidRPr="007D7DD7">
              <w:rPr>
                <w:sz w:val="24"/>
                <w:szCs w:val="24"/>
                <w:lang w:val="en-US"/>
              </w:rPr>
              <w:t>Abbott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RealTime</w:t>
            </w:r>
            <w:r w:rsidRPr="007D7DD7">
              <w:rPr>
                <w:sz w:val="24"/>
                <w:szCs w:val="24"/>
              </w:rPr>
              <w:t xml:space="preserve"> ВІЛ-1,</w:t>
            </w:r>
          </w:p>
          <w:p w14:paraId="0E4C0E61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або еквівалент</w:t>
            </w:r>
          </w:p>
          <w:p w14:paraId="16D06B12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83E1F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lastRenderedPageBreak/>
              <w:t>1. Реагенти повинні бути призначені для підтвердження якості аналізування, під час кількісного визначення нуклеїнової кислоти, виділеної з вірусу імунодефіциту людини 1 (ВІЛ-1), в клінічному зразку.</w:t>
            </w:r>
          </w:p>
          <w:p w14:paraId="55640806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lastRenderedPageBreak/>
              <w:t>2.Термін придатності медичних виробів на момент поставки замовнику повинен становити не менше 75% та/або 7 місяців від загального терміну придатності.</w:t>
            </w:r>
          </w:p>
          <w:p w14:paraId="7994A312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3. Аналітична чутливість наборів реагентів має бути достатньою для виявлення 40 копій РНК ВІЛ-1 в 1 мл плазми крові та 839 копій РНК ВІЛ-1 у зразку сухої краплини крові.</w:t>
            </w:r>
          </w:p>
          <w:p w14:paraId="5640E206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4. Лінійний діапазон наборів реагентів повинен становити від 40 до 10 000 000 копій РНК ВІЛ-1 в 1 мл плазми крові та 839 до 10 000 000 копій РНК ВІЛ-1 у зразку сухої краплини крові.</w:t>
            </w:r>
          </w:p>
          <w:p w14:paraId="122BDD05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5. Реагенти повинні бути сумісними з обладнанням для проведення </w:t>
            </w:r>
            <w:proofErr w:type="spellStart"/>
            <w:r w:rsidRPr="007D7DD7">
              <w:rPr>
                <w:sz w:val="24"/>
                <w:szCs w:val="24"/>
              </w:rPr>
              <w:t>полімеразної</w:t>
            </w:r>
            <w:proofErr w:type="spellEnd"/>
            <w:r w:rsidRPr="007D7DD7">
              <w:rPr>
                <w:sz w:val="24"/>
                <w:szCs w:val="24"/>
              </w:rPr>
              <w:t xml:space="preserve"> ланцюгової реакції у режимі «реального часу» - приладом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m2000sp та </w:t>
            </w:r>
            <w:proofErr w:type="spellStart"/>
            <w:r w:rsidRPr="007D7DD7">
              <w:rPr>
                <w:sz w:val="24"/>
                <w:szCs w:val="24"/>
              </w:rPr>
              <w:t>ампліфікатором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Real-Time</w:t>
            </w:r>
            <w:proofErr w:type="spellEnd"/>
            <w:r w:rsidRPr="007D7DD7">
              <w:rPr>
                <w:sz w:val="24"/>
                <w:szCs w:val="24"/>
              </w:rPr>
              <w:t xml:space="preserve"> m2000rt, якими устаткована </w:t>
            </w:r>
            <w:proofErr w:type="spellStart"/>
            <w:r w:rsidRPr="007D7DD7">
              <w:rPr>
                <w:sz w:val="24"/>
                <w:szCs w:val="24"/>
              </w:rPr>
              <w:t>Референс</w:t>
            </w:r>
            <w:proofErr w:type="spellEnd"/>
            <w:r w:rsidRPr="007D7DD7">
              <w:rPr>
                <w:sz w:val="24"/>
                <w:szCs w:val="24"/>
              </w:rPr>
              <w:t>-лабораторія з діагностики ВІЛ/СНІДу, вірусних та особливо небезпечних патогенів ДУ «Центр громадського здоров’я МОЗ України».</w:t>
            </w:r>
          </w:p>
          <w:p w14:paraId="37CABE51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6.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ВІЛ-1.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3F76C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lastRenderedPageBreak/>
              <w:t>набір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67EDCE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5</w:t>
            </w:r>
          </w:p>
        </w:tc>
      </w:tr>
      <w:tr w:rsidR="007D7DD7" w:rsidRPr="007D7DD7" w14:paraId="640A77F5" w14:textId="77777777" w:rsidTr="007D7DD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0EBE5" w14:textId="77777777" w:rsidR="007D7DD7" w:rsidRPr="007D7DD7" w:rsidRDefault="007D7DD7" w:rsidP="007D7DD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1668EA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  <w:lang w:val="en-US"/>
              </w:rPr>
              <w:t>Abbott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RealTime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HIV</w:t>
            </w:r>
            <w:r w:rsidRPr="007D7DD7">
              <w:rPr>
                <w:sz w:val="24"/>
                <w:szCs w:val="24"/>
              </w:rPr>
              <w:t xml:space="preserve">-1 </w:t>
            </w:r>
            <w:r w:rsidRPr="007D7DD7">
              <w:rPr>
                <w:sz w:val="24"/>
                <w:szCs w:val="24"/>
                <w:lang w:val="en-US"/>
              </w:rPr>
              <w:t>Calibrator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Kit</w:t>
            </w:r>
            <w:r w:rsidRPr="007D7DD7">
              <w:rPr>
                <w:sz w:val="24"/>
                <w:szCs w:val="24"/>
              </w:rPr>
              <w:t xml:space="preserve"> </w:t>
            </w:r>
          </w:p>
          <w:p w14:paraId="69C39FBD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Набір </w:t>
            </w:r>
            <w:proofErr w:type="spellStart"/>
            <w:r w:rsidRPr="007D7DD7">
              <w:rPr>
                <w:sz w:val="24"/>
                <w:szCs w:val="24"/>
              </w:rPr>
              <w:t>калібраторів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Abbott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RealTime</w:t>
            </w:r>
            <w:r w:rsidRPr="007D7DD7">
              <w:rPr>
                <w:sz w:val="24"/>
                <w:szCs w:val="24"/>
              </w:rPr>
              <w:t xml:space="preserve"> ВІЛ-1, </w:t>
            </w:r>
          </w:p>
          <w:p w14:paraId="10D4017C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або еквівалент</w:t>
            </w:r>
          </w:p>
          <w:p w14:paraId="3049B423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905E23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1. Реагенти повинні бути призначені для підтвердження якості аналізування, під час кількісного визначення нуклеїнової кислоти, виділеної з вірусу імунодефіциту людини 1 (ВІЛ-1), в клінічному зразку.</w:t>
            </w:r>
          </w:p>
          <w:p w14:paraId="3B7819C4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2. Термін придатності медичних виробів на момент поставки замовнику повинен становити не менше 75% та/або 7 місяців від загального терміну придатності.</w:t>
            </w:r>
          </w:p>
          <w:p w14:paraId="09813EC3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3. Аналітична чутливість наборів реагентів має бути достатньою для виявлення 40 копій РНК ВІЛ-1 в 1 мл плазми крові та 839 копій РНК ВІЛ-1 у зразку сухої краплини крові.</w:t>
            </w:r>
          </w:p>
          <w:p w14:paraId="3E51680D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4. Лінійний діапазон наборів реагентів повинен становити від 40 до 10 000 000 копій РНК ВІЛ-1 в 1 мл плазми крові та 839 до 10 000 000 копій РНК ВІЛ-1 у зразку сухої краплини крові.</w:t>
            </w:r>
          </w:p>
          <w:p w14:paraId="541190D0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5. Реагенти повинні бути сумісними з обладнанням для проведення </w:t>
            </w:r>
            <w:proofErr w:type="spellStart"/>
            <w:r w:rsidRPr="007D7DD7">
              <w:rPr>
                <w:sz w:val="24"/>
                <w:szCs w:val="24"/>
              </w:rPr>
              <w:t>полімеразної</w:t>
            </w:r>
            <w:proofErr w:type="spellEnd"/>
            <w:r w:rsidRPr="007D7DD7">
              <w:rPr>
                <w:sz w:val="24"/>
                <w:szCs w:val="24"/>
              </w:rPr>
              <w:t xml:space="preserve"> ланцюгової реакції у режимі «реального часу» - приладом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</w:rPr>
              <w:lastRenderedPageBreak/>
              <w:t xml:space="preserve">m2000sp та </w:t>
            </w:r>
            <w:proofErr w:type="spellStart"/>
            <w:r w:rsidRPr="007D7DD7">
              <w:rPr>
                <w:sz w:val="24"/>
                <w:szCs w:val="24"/>
              </w:rPr>
              <w:t>ампліфікатором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Real-Time</w:t>
            </w:r>
            <w:proofErr w:type="spellEnd"/>
            <w:r w:rsidRPr="007D7DD7">
              <w:rPr>
                <w:sz w:val="24"/>
                <w:szCs w:val="24"/>
              </w:rPr>
              <w:t xml:space="preserve"> m2000rt, якими устаткована </w:t>
            </w:r>
            <w:proofErr w:type="spellStart"/>
            <w:r w:rsidRPr="007D7DD7">
              <w:rPr>
                <w:sz w:val="24"/>
                <w:szCs w:val="24"/>
              </w:rPr>
              <w:t>Референс</w:t>
            </w:r>
            <w:proofErr w:type="spellEnd"/>
            <w:r w:rsidRPr="007D7DD7">
              <w:rPr>
                <w:sz w:val="24"/>
                <w:szCs w:val="24"/>
              </w:rPr>
              <w:t>-лабораторія з діагностики ВІЛ/СНІДу, вірусних та особливо небезпечних патогенів ДУ «Центр громадського здоров’я МОЗ України».</w:t>
            </w:r>
          </w:p>
          <w:p w14:paraId="40ED7073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6.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ВІЛ-1.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FFD367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lastRenderedPageBreak/>
              <w:t>набір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5DF846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2</w:t>
            </w:r>
          </w:p>
        </w:tc>
      </w:tr>
      <w:tr w:rsidR="007D7DD7" w:rsidRPr="007D7DD7" w14:paraId="30454787" w14:textId="77777777" w:rsidTr="007D7DD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8ECBE" w14:textId="77777777" w:rsidR="007D7DD7" w:rsidRPr="007D7DD7" w:rsidRDefault="007D7DD7" w:rsidP="007D7DD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D7DD7">
              <w:rPr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8ED65D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  <w:lang w:val="en-US"/>
              </w:rPr>
              <w:t>Master</w:t>
            </w:r>
            <w:r w:rsidRPr="007D7DD7">
              <w:rPr>
                <w:sz w:val="24"/>
                <w:szCs w:val="24"/>
                <w:lang w:val="ru-RU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Mix</w:t>
            </w:r>
            <w:r w:rsidRPr="007D7DD7">
              <w:rPr>
                <w:sz w:val="24"/>
                <w:szCs w:val="24"/>
                <w:lang w:val="ru-RU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Tubes</w:t>
            </w:r>
            <w:r w:rsidRPr="007D7D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  <w:lang w:val="ru-RU"/>
              </w:rPr>
              <w:t>Пробірки</w:t>
            </w:r>
            <w:proofErr w:type="spellEnd"/>
            <w:r w:rsidRPr="007D7DD7">
              <w:rPr>
                <w:sz w:val="24"/>
                <w:szCs w:val="24"/>
                <w:lang w:val="ru-RU"/>
              </w:rPr>
              <w:t xml:space="preserve"> для мастер-</w:t>
            </w:r>
            <w:proofErr w:type="spellStart"/>
            <w:r w:rsidRPr="007D7DD7">
              <w:rPr>
                <w:sz w:val="24"/>
                <w:szCs w:val="24"/>
                <w:lang w:val="ru-RU"/>
              </w:rPr>
              <w:t>міксу</w:t>
            </w:r>
            <w:proofErr w:type="spellEnd"/>
            <w:r w:rsidRPr="007D7DD7">
              <w:rPr>
                <w:sz w:val="24"/>
                <w:szCs w:val="24"/>
                <w:lang w:val="ru-RU"/>
              </w:rPr>
              <w:t>,</w:t>
            </w:r>
            <w:r w:rsidRPr="007D7DD7">
              <w:rPr>
                <w:sz w:val="24"/>
                <w:szCs w:val="24"/>
              </w:rPr>
              <w:t xml:space="preserve"> </w:t>
            </w:r>
          </w:p>
          <w:p w14:paraId="61C2A778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або еквівалент</w:t>
            </w:r>
          </w:p>
          <w:p w14:paraId="039F8B60" w14:textId="77777777" w:rsidR="007D7DD7" w:rsidRPr="007D7DD7" w:rsidRDefault="007D7DD7" w:rsidP="007D7DD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B2A11E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1. Реагенти повинні бути призначені для використання спільно з вихідним виробом для IVD (діагностика </w:t>
            </w:r>
            <w:proofErr w:type="spellStart"/>
            <w:r w:rsidRPr="007D7DD7">
              <w:rPr>
                <w:sz w:val="24"/>
                <w:szCs w:val="24"/>
              </w:rPr>
              <w:t>in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vitro</w:t>
            </w:r>
            <w:proofErr w:type="spellEnd"/>
            <w:r w:rsidRPr="007D7DD7">
              <w:rPr>
                <w:sz w:val="24"/>
                <w:szCs w:val="24"/>
              </w:rPr>
              <w:t xml:space="preserve"> ) для виконання особливої функції в аналізуванні, які використовують для кількісного визначення нуклеїнової кислоти, виділеної з вірусу імунодефіциту людини 1 (ВІЛ-1), у клінічному зразку.</w:t>
            </w:r>
          </w:p>
          <w:p w14:paraId="51DBBB10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2. Термін придатності медичних виробів на момент поставки замовнику повинен становити не менше 75% та/або 7 місяців від загального терміну придатності.</w:t>
            </w:r>
          </w:p>
          <w:p w14:paraId="75A4335E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3. Аналітична чутливість наборів реагентів має бути достатньою для виявлення 40 копій РНК ВІЛ-1 в 1 мл плазми крові та 839 копій РНК ВІЛ-1 у зразку сухої краплини крові.</w:t>
            </w:r>
          </w:p>
          <w:p w14:paraId="3753A631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4. Лінійний діапазон наборів реагентів повинен становити від 40 до 10 000 000 копій РНК ВІЛ-1 в 1 мл плазми крові та 839 до 10 000 000 копій РНК ВІЛ-1 у зразку сухої краплини крові.</w:t>
            </w:r>
          </w:p>
          <w:p w14:paraId="1F1B882F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5. Реагенти повинні бути сумісними з обладнанням для проведення </w:t>
            </w:r>
            <w:proofErr w:type="spellStart"/>
            <w:r w:rsidRPr="007D7DD7">
              <w:rPr>
                <w:sz w:val="24"/>
                <w:szCs w:val="24"/>
              </w:rPr>
              <w:t>полімеразної</w:t>
            </w:r>
            <w:proofErr w:type="spellEnd"/>
            <w:r w:rsidRPr="007D7DD7">
              <w:rPr>
                <w:sz w:val="24"/>
                <w:szCs w:val="24"/>
              </w:rPr>
              <w:t xml:space="preserve"> ланцюгової реакції у режимі «реального часу» - приладом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m2000sp та </w:t>
            </w:r>
            <w:proofErr w:type="spellStart"/>
            <w:r w:rsidRPr="007D7DD7">
              <w:rPr>
                <w:sz w:val="24"/>
                <w:szCs w:val="24"/>
              </w:rPr>
              <w:t>ампліфікатором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Real-Time</w:t>
            </w:r>
            <w:proofErr w:type="spellEnd"/>
            <w:r w:rsidRPr="007D7DD7">
              <w:rPr>
                <w:sz w:val="24"/>
                <w:szCs w:val="24"/>
              </w:rPr>
              <w:t xml:space="preserve"> m2000rt, якими устаткована </w:t>
            </w:r>
            <w:proofErr w:type="spellStart"/>
            <w:r w:rsidRPr="007D7DD7">
              <w:rPr>
                <w:sz w:val="24"/>
                <w:szCs w:val="24"/>
              </w:rPr>
              <w:t>Референс</w:t>
            </w:r>
            <w:proofErr w:type="spellEnd"/>
            <w:r w:rsidRPr="007D7DD7">
              <w:rPr>
                <w:sz w:val="24"/>
                <w:szCs w:val="24"/>
              </w:rPr>
              <w:t>-лабораторія з діагностики ВІЛ/СНІДу, вірусних та особливо небезпечних патогенів ДУ «Центр громадського здоров’я МОЗ України».</w:t>
            </w:r>
          </w:p>
          <w:p w14:paraId="7E443981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6.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ВІЛ-1.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5F002D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D7DD7">
              <w:rPr>
                <w:bCs/>
                <w:sz w:val="24"/>
                <w:szCs w:val="24"/>
              </w:rPr>
              <w:t>паковання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9690FE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11</w:t>
            </w:r>
          </w:p>
        </w:tc>
      </w:tr>
      <w:tr w:rsidR="007D7DD7" w:rsidRPr="007D7DD7" w14:paraId="1B755510" w14:textId="77777777" w:rsidTr="007D7DD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5C50E" w14:textId="77777777" w:rsidR="007D7DD7" w:rsidRPr="007D7DD7" w:rsidRDefault="007D7DD7" w:rsidP="007D7DD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D7DD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F5A112" w14:textId="77777777" w:rsidR="007D7DD7" w:rsidRPr="007D7DD7" w:rsidRDefault="007D7DD7" w:rsidP="007D7DD7">
            <w:pPr>
              <w:rPr>
                <w:sz w:val="24"/>
                <w:szCs w:val="24"/>
                <w:lang w:val="en-US"/>
              </w:rPr>
            </w:pPr>
            <w:r w:rsidRPr="007D7DD7">
              <w:rPr>
                <w:sz w:val="24"/>
                <w:szCs w:val="24"/>
                <w:lang w:val="en-US"/>
              </w:rPr>
              <w:t xml:space="preserve">AHN </w:t>
            </w:r>
            <w:proofErr w:type="spellStart"/>
            <w:r w:rsidRPr="007D7DD7">
              <w:rPr>
                <w:sz w:val="24"/>
                <w:szCs w:val="24"/>
                <w:lang w:val="en-US"/>
              </w:rPr>
              <w:t>myTip</w:t>
            </w:r>
            <w:proofErr w:type="spellEnd"/>
            <w:r w:rsidRPr="007D7DD7">
              <w:rPr>
                <w:sz w:val="24"/>
                <w:szCs w:val="24"/>
                <w:lang w:val="en-US"/>
              </w:rPr>
              <w:t>® FT 1000 µL, clear, sterile, racked case / 4 x 8 x 96 tips</w:t>
            </w:r>
          </w:p>
          <w:p w14:paraId="6D311A76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  <w:lang w:val="ru-RU"/>
              </w:rPr>
              <w:t xml:space="preserve">Наконечники з </w:t>
            </w:r>
            <w:proofErr w:type="spellStart"/>
            <w:r w:rsidRPr="007D7DD7">
              <w:rPr>
                <w:sz w:val="24"/>
                <w:szCs w:val="24"/>
                <w:lang w:val="ru-RU"/>
              </w:rPr>
              <w:t>фільтром</w:t>
            </w:r>
            <w:proofErr w:type="spellEnd"/>
            <w:r w:rsidRPr="007D7DD7">
              <w:rPr>
                <w:sz w:val="24"/>
                <w:szCs w:val="24"/>
                <w:lang w:val="ru-RU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AHN</w:t>
            </w:r>
            <w:r w:rsidRPr="007D7D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  <w:lang w:val="en-US"/>
              </w:rPr>
              <w:t>myTip</w:t>
            </w:r>
            <w:proofErr w:type="spellEnd"/>
            <w:r w:rsidRPr="007D7DD7">
              <w:rPr>
                <w:sz w:val="24"/>
                <w:szCs w:val="24"/>
                <w:lang w:val="ru-RU"/>
              </w:rPr>
              <w:t xml:space="preserve">® </w:t>
            </w:r>
            <w:r w:rsidRPr="007D7DD7">
              <w:rPr>
                <w:sz w:val="24"/>
                <w:szCs w:val="24"/>
                <w:lang w:val="en-US"/>
              </w:rPr>
              <w:t>FT</w:t>
            </w:r>
            <w:r w:rsidRPr="007D7DD7">
              <w:rPr>
                <w:sz w:val="24"/>
                <w:szCs w:val="24"/>
                <w:lang w:val="ru-RU"/>
              </w:rPr>
              <w:t xml:space="preserve"> 1000 µ</w:t>
            </w:r>
            <w:r w:rsidRPr="007D7DD7">
              <w:rPr>
                <w:sz w:val="24"/>
                <w:szCs w:val="24"/>
                <w:lang w:val="en-US"/>
              </w:rPr>
              <w:t>l</w:t>
            </w:r>
            <w:r w:rsidRPr="007D7DD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D7DD7">
              <w:rPr>
                <w:sz w:val="24"/>
                <w:szCs w:val="24"/>
                <w:lang w:val="ru-RU"/>
              </w:rPr>
              <w:t>незабарвлені</w:t>
            </w:r>
            <w:proofErr w:type="spellEnd"/>
            <w:r w:rsidRPr="007D7DD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D7DD7">
              <w:rPr>
                <w:sz w:val="24"/>
                <w:szCs w:val="24"/>
                <w:lang w:val="ru-RU"/>
              </w:rPr>
              <w:t>стерильні</w:t>
            </w:r>
            <w:proofErr w:type="spellEnd"/>
            <w:r w:rsidRPr="007D7DD7">
              <w:rPr>
                <w:sz w:val="24"/>
                <w:szCs w:val="24"/>
                <w:lang w:val="ru-RU"/>
              </w:rPr>
              <w:t xml:space="preserve">, упаковка / 4 х 8 х 96 </w:t>
            </w:r>
            <w:proofErr w:type="spellStart"/>
            <w:r w:rsidRPr="007D7DD7">
              <w:rPr>
                <w:sz w:val="24"/>
                <w:szCs w:val="24"/>
                <w:lang w:val="ru-RU"/>
              </w:rPr>
              <w:t>наконечників</w:t>
            </w:r>
            <w:proofErr w:type="spellEnd"/>
            <w:r w:rsidRPr="007D7DD7">
              <w:rPr>
                <w:sz w:val="24"/>
                <w:szCs w:val="24"/>
              </w:rPr>
              <w:t>,</w:t>
            </w:r>
          </w:p>
          <w:p w14:paraId="0FD1026D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або еквівалент </w:t>
            </w:r>
          </w:p>
          <w:p w14:paraId="6056D641" w14:textId="77777777" w:rsidR="007D7DD7" w:rsidRPr="007D7DD7" w:rsidRDefault="007D7DD7" w:rsidP="007D7DD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666077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1. Реагенти повинні бути призначені для використання спільно з вихідним виробом для IVD (діагностика </w:t>
            </w:r>
            <w:proofErr w:type="spellStart"/>
            <w:r w:rsidRPr="007D7DD7">
              <w:rPr>
                <w:sz w:val="24"/>
                <w:szCs w:val="24"/>
              </w:rPr>
              <w:t>in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vitro</w:t>
            </w:r>
            <w:proofErr w:type="spellEnd"/>
            <w:r w:rsidRPr="007D7DD7">
              <w:rPr>
                <w:sz w:val="24"/>
                <w:szCs w:val="24"/>
              </w:rPr>
              <w:t xml:space="preserve"> ) для виконання особливої функції в аналізуванні, які використовують для кількісного визначення нуклеїнової кислоти, виділеної з вірусу імунодефіциту людини 1 (ВІЛ-1), у клінічному зразку.</w:t>
            </w:r>
          </w:p>
          <w:p w14:paraId="388FA1CD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2. Термін придатності медичних виробів на момент поставки замовнику повинен становити не менше 75% та/або 7 місяців від загального терміну придатності.</w:t>
            </w:r>
          </w:p>
          <w:p w14:paraId="793F16F4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3. Аналітична чутливість наборів реагентів має бути достатньою для виявлення 40 копій РНК ВІЛ-1 в 1 мл плазми крові та 839 копій РНК ВІЛ-1 у зразку сухої краплини крові.</w:t>
            </w:r>
          </w:p>
          <w:p w14:paraId="0460748C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4. Лінійний діапазон наборів реагентів повинен становити від 40 до 10 000 000 копій РНК ВІЛ-1 в 1 мл плазми крові та 839 до 10 000 000 копій РНК ВІЛ-1 у зразку сухої краплини крові.</w:t>
            </w:r>
          </w:p>
          <w:p w14:paraId="0363D38A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5. Реагенти повинні бути сумісними з обладнанням для проведення </w:t>
            </w:r>
            <w:proofErr w:type="spellStart"/>
            <w:r w:rsidRPr="007D7DD7">
              <w:rPr>
                <w:sz w:val="24"/>
                <w:szCs w:val="24"/>
              </w:rPr>
              <w:t>полімеразної</w:t>
            </w:r>
            <w:proofErr w:type="spellEnd"/>
            <w:r w:rsidRPr="007D7DD7">
              <w:rPr>
                <w:sz w:val="24"/>
                <w:szCs w:val="24"/>
              </w:rPr>
              <w:t xml:space="preserve"> ланцюгової реакції у режимі «реального часу» - приладом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m2000sp та </w:t>
            </w:r>
            <w:proofErr w:type="spellStart"/>
            <w:r w:rsidRPr="007D7DD7">
              <w:rPr>
                <w:sz w:val="24"/>
                <w:szCs w:val="24"/>
              </w:rPr>
              <w:t>ампліфікатором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Real-Time</w:t>
            </w:r>
            <w:proofErr w:type="spellEnd"/>
            <w:r w:rsidRPr="007D7DD7">
              <w:rPr>
                <w:sz w:val="24"/>
                <w:szCs w:val="24"/>
              </w:rPr>
              <w:t xml:space="preserve"> m2000rt, якими устаткована </w:t>
            </w:r>
            <w:proofErr w:type="spellStart"/>
            <w:r w:rsidRPr="007D7DD7">
              <w:rPr>
                <w:sz w:val="24"/>
                <w:szCs w:val="24"/>
              </w:rPr>
              <w:t>Референс</w:t>
            </w:r>
            <w:proofErr w:type="spellEnd"/>
            <w:r w:rsidRPr="007D7DD7">
              <w:rPr>
                <w:sz w:val="24"/>
                <w:szCs w:val="24"/>
              </w:rPr>
              <w:t>-лабораторія з діагностики ВІЛ/СНІДу, вірусних та особливо небезпечних патогенів ДУ «Центр громадського здоров’я МОЗ України».</w:t>
            </w:r>
          </w:p>
          <w:p w14:paraId="27B6FCD9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6.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ВІЛ-1.</w:t>
            </w:r>
          </w:p>
          <w:p w14:paraId="320ECEA6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7. Наконечники з фільтрами повинні бути вільними від РНК-аз та ДНК-аз, </w:t>
            </w:r>
            <w:proofErr w:type="spellStart"/>
            <w:r w:rsidRPr="007D7DD7">
              <w:rPr>
                <w:sz w:val="24"/>
                <w:szCs w:val="24"/>
              </w:rPr>
              <w:t>апирогенними</w:t>
            </w:r>
            <w:proofErr w:type="spellEnd"/>
            <w:r w:rsidRPr="007D7DD7">
              <w:rPr>
                <w:sz w:val="24"/>
                <w:szCs w:val="24"/>
              </w:rPr>
              <w:t xml:space="preserve"> та нараховувати не менше 96 штук в штативі. </w:t>
            </w:r>
          </w:p>
          <w:p w14:paraId="7D1A8A85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8. Наконечники повинні бути універсальними (підходити для роботи дозаторами </w:t>
            </w:r>
            <w:proofErr w:type="spellStart"/>
            <w:r w:rsidRPr="007D7DD7">
              <w:rPr>
                <w:sz w:val="24"/>
                <w:szCs w:val="24"/>
              </w:rPr>
              <w:t>піпетковими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одноканальними</w:t>
            </w:r>
            <w:proofErr w:type="spellEnd"/>
            <w:r w:rsidRPr="007D7DD7">
              <w:rPr>
                <w:sz w:val="24"/>
                <w:szCs w:val="24"/>
              </w:rPr>
              <w:t xml:space="preserve"> будь-якого виробника).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4116CF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D7DD7">
              <w:rPr>
                <w:sz w:val="24"/>
                <w:szCs w:val="24"/>
              </w:rPr>
              <w:t>паковання</w:t>
            </w:r>
            <w:proofErr w:type="spellEnd"/>
            <w:r w:rsidRPr="007D7DD7">
              <w:rPr>
                <w:sz w:val="24"/>
                <w:szCs w:val="24"/>
              </w:rPr>
              <w:t>(штатив)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150534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22</w:t>
            </w:r>
          </w:p>
        </w:tc>
      </w:tr>
      <w:tr w:rsidR="007D7DD7" w:rsidRPr="007D7DD7" w14:paraId="17558E6B" w14:textId="77777777" w:rsidTr="007D7DD7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D10FD" w14:textId="77777777" w:rsidR="007D7DD7" w:rsidRPr="007D7DD7" w:rsidRDefault="007D7DD7" w:rsidP="007D7DD7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91B35E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  <w:lang w:val="en-US"/>
              </w:rPr>
              <w:t>Abbott</w:t>
            </w:r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  <w:lang w:val="en-US"/>
              </w:rPr>
              <w:t>mSample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Preparation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System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DBS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Buffer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Kit</w:t>
            </w:r>
            <w:r w:rsidRPr="007D7DD7">
              <w:rPr>
                <w:sz w:val="24"/>
                <w:szCs w:val="24"/>
              </w:rPr>
              <w:t xml:space="preserve"> </w:t>
            </w:r>
          </w:p>
          <w:p w14:paraId="529B07EC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lastRenderedPageBreak/>
              <w:t xml:space="preserve">Набір буферів </w:t>
            </w:r>
            <w:proofErr w:type="spellStart"/>
            <w:r w:rsidRPr="007D7DD7">
              <w:rPr>
                <w:sz w:val="24"/>
                <w:szCs w:val="24"/>
              </w:rPr>
              <w:t>мСэмпл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DBS</w:t>
            </w:r>
            <w:r w:rsidRPr="007D7DD7">
              <w:rPr>
                <w:sz w:val="24"/>
                <w:szCs w:val="24"/>
              </w:rPr>
              <w:t xml:space="preserve"> </w:t>
            </w:r>
            <w:r w:rsidRPr="007D7DD7">
              <w:rPr>
                <w:sz w:val="24"/>
                <w:szCs w:val="24"/>
                <w:lang w:val="en-US"/>
              </w:rPr>
              <w:t>Abbott</w:t>
            </w:r>
            <w:r w:rsidRPr="007D7DD7">
              <w:rPr>
                <w:sz w:val="24"/>
                <w:szCs w:val="24"/>
              </w:rPr>
              <w:t>,</w:t>
            </w:r>
          </w:p>
          <w:p w14:paraId="208BBC5B" w14:textId="77777777" w:rsidR="007D7DD7" w:rsidRPr="007D7DD7" w:rsidRDefault="007D7DD7" w:rsidP="007D7DD7">
            <w:pPr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або еквівалент</w:t>
            </w:r>
          </w:p>
          <w:p w14:paraId="2BC5BDCF" w14:textId="77777777" w:rsidR="007D7DD7" w:rsidRPr="007D7DD7" w:rsidRDefault="007D7DD7" w:rsidP="007D7D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0F845E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  <w:lang w:val="ru-RU"/>
              </w:rPr>
              <w:lastRenderedPageBreak/>
              <w:t>1</w:t>
            </w:r>
            <w:r w:rsidRPr="007D7DD7">
              <w:rPr>
                <w:sz w:val="24"/>
                <w:szCs w:val="24"/>
              </w:rPr>
              <w:t xml:space="preserve">. Реагенти повинні бути призначені для діагностики </w:t>
            </w:r>
            <w:proofErr w:type="spellStart"/>
            <w:r w:rsidRPr="007D7DD7">
              <w:rPr>
                <w:sz w:val="24"/>
                <w:szCs w:val="24"/>
              </w:rPr>
              <w:t>in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vitro</w:t>
            </w:r>
            <w:proofErr w:type="spellEnd"/>
            <w:r w:rsidRPr="007D7DD7">
              <w:rPr>
                <w:sz w:val="24"/>
                <w:szCs w:val="24"/>
              </w:rPr>
              <w:t xml:space="preserve"> для виконання особливої функції в аналізуванні, які використовують для кількісного визначення</w:t>
            </w:r>
          </w:p>
          <w:p w14:paraId="5A55DFA4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lastRenderedPageBreak/>
              <w:t>нуклеїнової кислоти, виділеної з вірусу імунодефіциту людини 1 (ВІЛ-1), у клінічному зразку.</w:t>
            </w:r>
          </w:p>
          <w:p w14:paraId="2B717A16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2. Термін придатності медичних виробів на момент поставки замовнику повинен становити не менше 75% та/або 7 місяців від загального терміну придатності.</w:t>
            </w:r>
          </w:p>
          <w:p w14:paraId="3B6559DC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3. Аналітична чутливість наборів реагентів має бути достатньою для виявлення 40 копій РНК ВІЛ-1 в 1 мл плазми крові та 839 копій РНК ВІЛ-1 у зразку сухої краплини крові.</w:t>
            </w:r>
          </w:p>
          <w:p w14:paraId="3A352BC8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4. Лінійний діапазон наборів реагентів повинен становити від 40 до 10 000 000 копій РНК ВІЛ-1 в 1 мл плазми крові та 839 до 10 000 000 копій РНК ВІЛ-1 у зразку сухої краплини крові.</w:t>
            </w:r>
          </w:p>
          <w:p w14:paraId="24DD6FD9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5. Реагенти повинні бути сумісними з обладнанням для проведення </w:t>
            </w:r>
            <w:proofErr w:type="spellStart"/>
            <w:r w:rsidRPr="007D7DD7">
              <w:rPr>
                <w:sz w:val="24"/>
                <w:szCs w:val="24"/>
              </w:rPr>
              <w:t>полімеразної</w:t>
            </w:r>
            <w:proofErr w:type="spellEnd"/>
            <w:r w:rsidRPr="007D7DD7">
              <w:rPr>
                <w:sz w:val="24"/>
                <w:szCs w:val="24"/>
              </w:rPr>
              <w:t xml:space="preserve"> ланцюгової реакції у режимі «реального часу» - приладом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m2000sp та </w:t>
            </w:r>
            <w:proofErr w:type="spellStart"/>
            <w:r w:rsidRPr="007D7DD7">
              <w:rPr>
                <w:sz w:val="24"/>
                <w:szCs w:val="24"/>
              </w:rPr>
              <w:t>ампліфікатором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Abbott</w:t>
            </w:r>
            <w:proofErr w:type="spellEnd"/>
            <w:r w:rsidRPr="007D7DD7">
              <w:rPr>
                <w:sz w:val="24"/>
                <w:szCs w:val="24"/>
              </w:rPr>
              <w:t xml:space="preserve"> </w:t>
            </w:r>
            <w:proofErr w:type="spellStart"/>
            <w:r w:rsidRPr="007D7DD7">
              <w:rPr>
                <w:sz w:val="24"/>
                <w:szCs w:val="24"/>
              </w:rPr>
              <w:t>Real-Time</w:t>
            </w:r>
            <w:proofErr w:type="spellEnd"/>
            <w:r w:rsidRPr="007D7DD7">
              <w:rPr>
                <w:sz w:val="24"/>
                <w:szCs w:val="24"/>
              </w:rPr>
              <w:t xml:space="preserve"> m2000rt, якими устаткована </w:t>
            </w:r>
            <w:proofErr w:type="spellStart"/>
            <w:r w:rsidRPr="007D7DD7">
              <w:rPr>
                <w:sz w:val="24"/>
                <w:szCs w:val="24"/>
              </w:rPr>
              <w:t>Референс</w:t>
            </w:r>
            <w:proofErr w:type="spellEnd"/>
            <w:r w:rsidRPr="007D7DD7">
              <w:rPr>
                <w:sz w:val="24"/>
                <w:szCs w:val="24"/>
              </w:rPr>
              <w:t>-лабораторія з діагностики ВІЛ/СНІДу, вірусних та особливо небезпечних патогенів ДУ «Центр громадського здоров’я МОЗ України».</w:t>
            </w:r>
          </w:p>
          <w:p w14:paraId="5E18A9A7" w14:textId="77777777" w:rsidR="007D7DD7" w:rsidRPr="007D7DD7" w:rsidRDefault="007D7DD7" w:rsidP="007D7D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 xml:space="preserve"> 6. У кожній упаковці наборів реагентів для підготовки зразків та ампліфікації повинна бути достатня кількість реагентів для проведення не менше ніж 96 досліджень з визначення рівня вірусного навантаження ВІЛ-1.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52FE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lastRenderedPageBreak/>
              <w:t>набір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49C69F" w14:textId="77777777" w:rsidR="007D7DD7" w:rsidRPr="007D7DD7" w:rsidRDefault="007D7DD7" w:rsidP="007D7DD7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D7DD7">
              <w:rPr>
                <w:sz w:val="24"/>
                <w:szCs w:val="24"/>
              </w:rPr>
              <w:t>10</w:t>
            </w:r>
          </w:p>
        </w:tc>
      </w:tr>
      <w:bookmarkEnd w:id="0"/>
      <w:bookmarkEnd w:id="2"/>
    </w:tbl>
    <w:p w14:paraId="7F9A69BE" w14:textId="0024384F" w:rsidR="00A52318" w:rsidRPr="0024553B" w:rsidRDefault="00A52318" w:rsidP="007D7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3ED7" w14:textId="77777777" w:rsidR="006D6B76" w:rsidRDefault="006D6B76" w:rsidP="0024553B">
      <w:pPr>
        <w:spacing w:after="0" w:line="240" w:lineRule="auto"/>
      </w:pPr>
      <w:r>
        <w:separator/>
      </w:r>
    </w:p>
  </w:endnote>
  <w:endnote w:type="continuationSeparator" w:id="0">
    <w:p w14:paraId="09973817" w14:textId="77777777" w:rsidR="006D6B76" w:rsidRDefault="006D6B7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2929A" w14:textId="77777777" w:rsidR="006D6B76" w:rsidRDefault="006D6B76" w:rsidP="0024553B">
      <w:pPr>
        <w:spacing w:after="0" w:line="240" w:lineRule="auto"/>
      </w:pPr>
      <w:r>
        <w:separator/>
      </w:r>
    </w:p>
  </w:footnote>
  <w:footnote w:type="continuationSeparator" w:id="0">
    <w:p w14:paraId="51E66B8C" w14:textId="77777777" w:rsidR="006D6B76" w:rsidRDefault="006D6B7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56D0E"/>
    <w:rsid w:val="002A3EB4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74F26"/>
    <w:rsid w:val="00497721"/>
    <w:rsid w:val="004D5770"/>
    <w:rsid w:val="0056319D"/>
    <w:rsid w:val="00590320"/>
    <w:rsid w:val="005F6CE1"/>
    <w:rsid w:val="006C75C1"/>
    <w:rsid w:val="006D6B76"/>
    <w:rsid w:val="00726D70"/>
    <w:rsid w:val="007622E0"/>
    <w:rsid w:val="00781DC3"/>
    <w:rsid w:val="007B5C52"/>
    <w:rsid w:val="007D7DD7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C1C0E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D693C"/>
    <w:rsid w:val="00E44481"/>
    <w:rsid w:val="00EA2847"/>
    <w:rsid w:val="00F00724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9592</Words>
  <Characters>5469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16</cp:revision>
  <dcterms:created xsi:type="dcterms:W3CDTF">2023-07-07T13:56:00Z</dcterms:created>
  <dcterms:modified xsi:type="dcterms:W3CDTF">2025-02-03T09:26:00Z</dcterms:modified>
</cp:coreProperties>
</file>