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2534BA06" w:rsidR="002B72AC" w:rsidRDefault="007971B6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88967728"/>
      <w:r w:rsidRPr="007971B6">
        <w:rPr>
          <w:rFonts w:ascii="Times New Roman" w:hAnsi="Times New Roman"/>
          <w:b/>
          <w:bCs/>
          <w:sz w:val="24"/>
          <w:szCs w:val="24"/>
        </w:rPr>
        <w:t>ДК 021:2015: 33690000-3-Лікарські засоби різні (Реактиви лабораторні)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20CB76E0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971B6" w:rsidRPr="007971B6">
        <w:rPr>
          <w:rFonts w:ascii="Times New Roman" w:hAnsi="Times New Roman"/>
          <w:bCs/>
          <w:sz w:val="24"/>
          <w:szCs w:val="24"/>
        </w:rPr>
        <w:t>ДК 021:2015: 33690000-3-Лікарські засоби різні (Реактиви лабораторні)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0B0ABB44" w14:textId="46A31839" w:rsidR="00D64641" w:rsidRDefault="007971B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1B6">
        <w:rPr>
          <w:rFonts w:ascii="Times New Roman" w:hAnsi="Times New Roman"/>
          <w:sz w:val="24"/>
          <w:szCs w:val="24"/>
        </w:rPr>
        <w:t>UA-2024-11-18-015822-a</w:t>
      </w:r>
    </w:p>
    <w:p w14:paraId="65DE1485" w14:textId="77777777" w:rsidR="007971B6" w:rsidRPr="0024553B" w:rsidRDefault="007971B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7F3C353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971B6" w:rsidRPr="007971B6">
        <w:rPr>
          <w:rFonts w:ascii="Times New Roman" w:hAnsi="Times New Roman"/>
          <w:sz w:val="24"/>
          <w:szCs w:val="24"/>
        </w:rPr>
        <w:t>17 454,57</w:t>
      </w:r>
      <w:r w:rsidR="007971B6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7FAFA1F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971B6" w:rsidRPr="007971B6">
        <w:rPr>
          <w:rFonts w:ascii="Times New Roman" w:hAnsi="Times New Roman"/>
          <w:sz w:val="24"/>
          <w:szCs w:val="24"/>
        </w:rPr>
        <w:t>17 454,57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0754F8B" w14:textId="77777777" w:rsidR="007971B6" w:rsidRPr="007971B6" w:rsidRDefault="007971B6" w:rsidP="007971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1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3F796083" w14:textId="77777777" w:rsidR="007971B6" w:rsidRPr="007971B6" w:rsidRDefault="007971B6" w:rsidP="007971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971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2E785357" w14:textId="77777777" w:rsidR="007971B6" w:rsidRPr="007971B6" w:rsidRDefault="007971B6" w:rsidP="007971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71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 33690000-3-Лікарські засоби різні (Реактиви лабораторні)</w:t>
      </w: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4407"/>
        <w:gridCol w:w="6237"/>
        <w:gridCol w:w="1701"/>
        <w:gridCol w:w="1418"/>
      </w:tblGrid>
      <w:tr w:rsidR="007971B6" w:rsidRPr="007971B6" w14:paraId="0531E00E" w14:textId="77777777" w:rsidTr="00E272AC">
        <w:trPr>
          <w:trHeight w:val="301"/>
          <w:tblHeader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21EA99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ТЕХНІЧНІ ВИМОГИ</w:t>
            </w:r>
          </w:p>
        </w:tc>
      </w:tr>
      <w:tr w:rsidR="007971B6" w:rsidRPr="007971B6" w14:paraId="0C73882A" w14:textId="77777777" w:rsidTr="00E272AC">
        <w:trPr>
          <w:trHeight w:val="5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56D1ED9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4559A7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предмету закупівлі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D8D27F2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Опис предмета закупівлі</w:t>
            </w:r>
          </w:p>
          <w:p w14:paraId="3B42454F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(технічні, якісні характеристики)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869ABBB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</w:t>
            </w:r>
          </w:p>
          <w:p w14:paraId="08EE2271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2AC061E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7971B6" w:rsidRPr="007971B6" w14:paraId="7F55C360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73B6FE0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E3FBC31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Вазелінова олія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E237924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зберігання культур мікроорганізмів, флакон 100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1EB5603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C4F755A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5</w:t>
            </w:r>
          </w:p>
        </w:tc>
      </w:tr>
      <w:tr w:rsidR="007971B6" w:rsidRPr="007971B6" w14:paraId="32573251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835373C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C94A7ED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Гліцерин,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DFB1299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лабораторних цілей, флакон 100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405802E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2131D49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</w:t>
            </w:r>
          </w:p>
        </w:tc>
      </w:tr>
      <w:tr w:rsidR="007971B6" w:rsidRPr="007971B6" w14:paraId="15042E66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6321B21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B479954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Глюкоза,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фарм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4D20B46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приготування поживних середовищ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9075B83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A4E9DAF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 xml:space="preserve">0,1 </w:t>
            </w:r>
          </w:p>
        </w:tc>
      </w:tr>
      <w:tr w:rsidR="007971B6" w:rsidRPr="007971B6" w14:paraId="2ED8F38A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C74C124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62263DD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Сахароза,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05DCA55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приготування поживних середовищ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9280FCB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0F2D4C1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 xml:space="preserve">0,1 </w:t>
            </w:r>
          </w:p>
        </w:tc>
      </w:tr>
      <w:tr w:rsidR="007971B6" w:rsidRPr="007971B6" w14:paraId="25A21C9D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403BFB0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EDD9283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Мальтоза,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54A81B0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приготування поживних середовищ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65DE51A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B2AD7B6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0,1 </w:t>
            </w:r>
          </w:p>
        </w:tc>
      </w:tr>
      <w:tr w:rsidR="007971B6" w:rsidRPr="007971B6" w14:paraId="3C4D45A8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7306F0D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8213284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Крохмаль водорозчинний,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C9BE844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приготування поживних середовищ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42A4B59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5997C96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0,1</w:t>
            </w:r>
          </w:p>
        </w:tc>
      </w:tr>
      <w:tr w:rsidR="007971B6" w:rsidRPr="007971B6" w14:paraId="7E8703A6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B761C96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D33AF88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Сечовина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2E1FD27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приготування поживних середовищ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2B987AC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296CEC3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0,1</w:t>
            </w:r>
          </w:p>
        </w:tc>
      </w:tr>
      <w:tr w:rsidR="007971B6" w:rsidRPr="007971B6" w14:paraId="50E30794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CA3FE54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A609C47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Калій хлористий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чда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7583FBC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лабораторних цілей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F91F760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DCBDCD1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0,1 </w:t>
            </w:r>
          </w:p>
        </w:tc>
      </w:tr>
      <w:tr w:rsidR="007971B6" w:rsidRPr="007971B6" w14:paraId="44A17906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0A6A7D0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4809163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Натрій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гідрокис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NaOH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35626A1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Реактив кваліфікації ЧДА для лабораторних цілей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B14DA03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9FC71AA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0,1</w:t>
            </w:r>
          </w:p>
        </w:tc>
      </w:tr>
      <w:tr w:rsidR="007971B6" w:rsidRPr="007971B6" w14:paraId="146C75FA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1ACB519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9AC325C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Телурит калію 2% по 5 мл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E14C8B1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приготування поживних середовищ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E6413E7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ампула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05C6A73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20 </w:t>
            </w:r>
          </w:p>
        </w:tc>
      </w:tr>
      <w:tr w:rsidR="007971B6" w:rsidRPr="007971B6" w14:paraId="334F3166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FF6B424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6698505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shd w:val="clear" w:color="auto" w:fill="FFFFFF"/>
                <w:lang w:eastAsia="uk-UA"/>
              </w:rPr>
              <w:t xml:space="preserve">Фосфат калію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shd w:val="clear" w:color="auto" w:fill="FFFFFF"/>
                <w:lang w:eastAsia="uk-UA"/>
              </w:rPr>
              <w:t>однозаміщений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shd w:val="clear" w:color="auto" w:fill="FFFFFF"/>
                <w:lang w:eastAsia="uk-UA"/>
              </w:rPr>
              <w:t>чда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920F6A5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ідентифікації мікроорганізмів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0A2EC02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545014A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0,05 </w:t>
            </w:r>
          </w:p>
        </w:tc>
      </w:tr>
      <w:tr w:rsidR="007971B6" w:rsidRPr="007971B6" w14:paraId="63009FEF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026F4C5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188CD74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shd w:val="clear" w:color="auto" w:fill="FFFFFF"/>
                <w:lang w:eastAsia="uk-UA"/>
              </w:rPr>
              <w:t xml:space="preserve">Фосфат калію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shd w:val="clear" w:color="auto" w:fill="FFFFFF"/>
                <w:lang w:eastAsia="uk-UA"/>
              </w:rPr>
              <w:t>двозаміщений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shd w:val="clear" w:color="auto" w:fill="FFFFFF"/>
                <w:lang w:eastAsia="uk-UA"/>
              </w:rPr>
              <w:t>чда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83EDB92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ідентифікації мікроорганізмів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E7A3EA4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2C1E1D0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0,05 </w:t>
            </w:r>
          </w:p>
        </w:tc>
      </w:tr>
      <w:tr w:rsidR="007971B6" w:rsidRPr="007971B6" w14:paraId="5D67E4CD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A047695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8460C0C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Реактив для проби на індол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248DAA4" w14:textId="77777777" w:rsidR="007971B6" w:rsidRPr="007971B6" w:rsidRDefault="007971B6" w:rsidP="007971B6">
            <w:pPr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Додатковий реагент для визначення індолу</w:t>
            </w:r>
          </w:p>
          <w:p w14:paraId="3FF8747C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Erba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Lachema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99987A6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1F5CA8A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</w:t>
            </w:r>
          </w:p>
        </w:tc>
      </w:tr>
      <w:tr w:rsidR="007971B6" w:rsidRPr="007971B6" w14:paraId="06DE26B9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5C1700D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8F48BED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Реактив на фенілаланін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8A8B778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Додатковий реагент для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визначеня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фенілаланину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B937585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3106421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</w:t>
            </w:r>
          </w:p>
        </w:tc>
      </w:tr>
      <w:tr w:rsidR="007971B6" w:rsidRPr="007971B6" w14:paraId="05F9722A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3804DCB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C351C45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Термоіндикатор хімічний 110</w:t>
            </w:r>
            <w:r w:rsidRPr="007971B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℃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C8A4D65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Для контролю стерилізації, 100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шт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пакованні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0C7FCB9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паковання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33727A9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3</w:t>
            </w:r>
          </w:p>
        </w:tc>
      </w:tr>
      <w:tr w:rsidR="007971B6" w:rsidRPr="007971B6" w14:paraId="5A151B8C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D9D5AB9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28AE3E28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Індикатор хімічний для стерилізації зовнішній-121/20 </w:t>
            </w:r>
            <w:r w:rsidRPr="007971B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℃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F933AEE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Для контролю стерилізації, 1000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шт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пакованні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E48915C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паковання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0FD222F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</w:t>
            </w:r>
          </w:p>
        </w:tc>
      </w:tr>
      <w:tr w:rsidR="007971B6" w:rsidRPr="007971B6" w14:paraId="65E99E28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6CEA5B8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0B87834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Індикатор хімічний для стерилізації зовнішній-132/20 </w:t>
            </w:r>
            <w:r w:rsidRPr="007971B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℃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FE86689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Для контролю стерилізації, 1000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шт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пакованні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1B29B84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паковання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C04F9A1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</w:t>
            </w:r>
          </w:p>
        </w:tc>
      </w:tr>
      <w:tr w:rsidR="007971B6" w:rsidRPr="007971B6" w14:paraId="0E6047FD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E654A5C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EE27F7E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Індикатор хімічний для стерилізації зовнішній-160/150 </w:t>
            </w:r>
            <w:r w:rsidRPr="007971B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℃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241D6F8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Для контролю стерилізації, 1000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шт</w:t>
            </w:r>
            <w:proofErr w:type="spellEnd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пакованні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2E0CBE5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proofErr w:type="spellStart"/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паковання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4FB0E4B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1</w:t>
            </w:r>
          </w:p>
        </w:tc>
      </w:tr>
      <w:tr w:rsidR="007971B6" w:rsidRPr="007971B6" w14:paraId="4660C6D8" w14:textId="77777777" w:rsidTr="00E272AC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EB6683D" w14:textId="77777777" w:rsidR="007971B6" w:rsidRPr="007971B6" w:rsidRDefault="007971B6" w:rsidP="007971B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56C9AFE5" w14:textId="77777777" w:rsidR="007971B6" w:rsidRPr="007971B6" w:rsidRDefault="007971B6" w:rsidP="0079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 xml:space="preserve">Біологічний індикатор для контролю парової стерилізації 121-135 </w:t>
            </w:r>
            <w:r w:rsidRPr="007971B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℃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26DC5D3" w14:textId="77777777" w:rsidR="007971B6" w:rsidRPr="007971B6" w:rsidRDefault="007971B6" w:rsidP="007971B6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Для контролю парової стерилізації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84AFD22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штуки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FDDADCA" w14:textId="77777777" w:rsidR="007971B6" w:rsidRPr="007971B6" w:rsidRDefault="007971B6" w:rsidP="0079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71B6">
              <w:rPr>
                <w:rFonts w:ascii="Times New Roman" w:eastAsia="Calibri" w:hAnsi="Times New Roman" w:cs="Calibri"/>
                <w:sz w:val="24"/>
                <w:szCs w:val="24"/>
                <w:lang w:eastAsia="uk-UA"/>
              </w:rPr>
              <w:t>24</w:t>
            </w:r>
          </w:p>
        </w:tc>
      </w:tr>
    </w:tbl>
    <w:p w14:paraId="7F9A69BE" w14:textId="0024384F" w:rsidR="00A52318" w:rsidRPr="0024553B" w:rsidRDefault="00A52318" w:rsidP="00797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9ADCF" w14:textId="77777777" w:rsidR="00E51264" w:rsidRDefault="00E51264" w:rsidP="0024553B">
      <w:pPr>
        <w:spacing w:after="0" w:line="240" w:lineRule="auto"/>
      </w:pPr>
      <w:r>
        <w:separator/>
      </w:r>
    </w:p>
  </w:endnote>
  <w:endnote w:type="continuationSeparator" w:id="0">
    <w:p w14:paraId="17834B73" w14:textId="77777777" w:rsidR="00E51264" w:rsidRDefault="00E5126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0D55" w14:textId="77777777" w:rsidR="00E51264" w:rsidRDefault="00E51264" w:rsidP="0024553B">
      <w:pPr>
        <w:spacing w:after="0" w:line="240" w:lineRule="auto"/>
      </w:pPr>
      <w:r>
        <w:separator/>
      </w:r>
    </w:p>
  </w:footnote>
  <w:footnote w:type="continuationSeparator" w:id="0">
    <w:p w14:paraId="3D6BA99F" w14:textId="77777777" w:rsidR="00E51264" w:rsidRDefault="00E5126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1B40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74F26"/>
    <w:rsid w:val="00497721"/>
    <w:rsid w:val="004D5770"/>
    <w:rsid w:val="0056319D"/>
    <w:rsid w:val="00590320"/>
    <w:rsid w:val="005F6CE1"/>
    <w:rsid w:val="006C75C1"/>
    <w:rsid w:val="00726D70"/>
    <w:rsid w:val="007622E0"/>
    <w:rsid w:val="00781DC3"/>
    <w:rsid w:val="007971B6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94270"/>
    <w:rsid w:val="00AC1C0E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64641"/>
    <w:rsid w:val="00DD693C"/>
    <w:rsid w:val="00E44481"/>
    <w:rsid w:val="00E51264"/>
    <w:rsid w:val="00F00724"/>
    <w:rsid w:val="00F723AD"/>
    <w:rsid w:val="00F73895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2983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17</cp:revision>
  <dcterms:created xsi:type="dcterms:W3CDTF">2023-07-07T13:56:00Z</dcterms:created>
  <dcterms:modified xsi:type="dcterms:W3CDTF">2025-01-28T12:42:00Z</dcterms:modified>
</cp:coreProperties>
</file>